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126919">
      <w:pPr>
        <w:pStyle w:val="10"/>
        <w:widowControl w:val="0"/>
        <w:wordWrap/>
        <w:autoSpaceDE w:val="0"/>
        <w:autoSpaceDN w:val="0"/>
        <w:adjustRightInd/>
        <w:snapToGrid/>
        <w:spacing w:before="0"/>
        <w:ind w:left="0" w:right="0"/>
        <w:jc w:val="center"/>
        <w:textAlignment w:val="auto"/>
        <w:rPr>
          <w:rFonts w:hint="eastAsia" w:eastAsia="黑体"/>
          <w:lang w:eastAsia="zh-CN"/>
        </w:rPr>
        <w:sectPr>
          <w:footerReference r:id="rId5" w:type="default"/>
          <w:footerReference r:id="rId6" w:type="even"/>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rFonts w:hint="eastAsia" w:eastAsia="黑体"/>
          <w:lang w:eastAsia="zh-CN"/>
        </w:rPr>
        <w:drawing>
          <wp:anchor distT="0" distB="0" distL="114300" distR="114300" simplePos="0" relativeHeight="251686912" behindDoc="0" locked="0" layoutInCell="1" allowOverlap="1">
            <wp:simplePos x="0" y="0"/>
            <wp:positionH relativeFrom="column">
              <wp:posOffset>-2542540</wp:posOffset>
            </wp:positionH>
            <wp:positionV relativeFrom="paragraph">
              <wp:posOffset>488950</wp:posOffset>
            </wp:positionV>
            <wp:extent cx="10668000" cy="7546975"/>
            <wp:effectExtent l="0" t="0" r="15875" b="0"/>
            <wp:wrapNone/>
            <wp:docPr id="78" name="图片 78" descr="4805706568477a0fe71635ef3215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4805706568477a0fe71635ef3215a3c"/>
                    <pic:cNvPicPr>
                      <a:picLocks noChangeAspect="1"/>
                    </pic:cNvPicPr>
                  </pic:nvPicPr>
                  <pic:blipFill>
                    <a:blip r:embed="rId13"/>
                    <a:stretch>
                      <a:fillRect/>
                    </a:stretch>
                  </pic:blipFill>
                  <pic:spPr>
                    <a:xfrm rot="5400000">
                      <a:off x="0" y="0"/>
                      <a:ext cx="10668000" cy="7546975"/>
                    </a:xfrm>
                    <a:prstGeom prst="rect">
                      <a:avLst/>
                    </a:prstGeom>
                  </pic:spPr>
                </pic:pic>
              </a:graphicData>
            </a:graphic>
          </wp:anchor>
        </w:drawing>
      </w:r>
    </w:p>
    <w:p w14:paraId="6F9446D6">
      <w:pPr>
        <w:pStyle w:val="10"/>
        <w:widowControl w:val="0"/>
        <w:wordWrap/>
        <w:autoSpaceDE w:val="0"/>
        <w:autoSpaceDN w:val="0"/>
        <w:adjustRightInd/>
        <w:snapToGrid/>
        <w:spacing w:before="0"/>
        <w:ind w:left="0" w:right="0"/>
        <w:jc w:val="center"/>
        <w:textAlignment w:val="auto"/>
        <w:rPr>
          <w:rFonts w:hint="eastAsia" w:eastAsia="黑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10464" behindDoc="0" locked="0" layoutInCell="1" allowOverlap="1">
                <wp:simplePos x="0" y="0"/>
                <wp:positionH relativeFrom="column">
                  <wp:posOffset>3878580</wp:posOffset>
                </wp:positionH>
                <wp:positionV relativeFrom="paragraph">
                  <wp:posOffset>7833995</wp:posOffset>
                </wp:positionV>
                <wp:extent cx="262890" cy="159385"/>
                <wp:effectExtent l="0" t="0" r="3810" b="12065"/>
                <wp:wrapNone/>
                <wp:docPr id="107" name="矩形 107"/>
                <wp:cNvGraphicFramePr/>
                <a:graphic xmlns:a="http://schemas.openxmlformats.org/drawingml/2006/main">
                  <a:graphicData uri="http://schemas.microsoft.com/office/word/2010/wordprocessingShape">
                    <wps:wsp>
                      <wps:cNvSpPr/>
                      <wps:spPr>
                        <a:xfrm>
                          <a:off x="0" y="0"/>
                          <a:ext cx="26289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4pt;margin-top:616.85pt;height:12.55pt;width:20.7pt;z-index:251710464;v-text-anchor:middle;mso-width-relative:page;mso-height-relative:page;" fillcolor="#4F81BD" filled="t" stroked="f" coordsize="21600,21600" o:gfxdata="UEsDBAoAAAAAAIdO4kAAAAAAAAAAAAAAAAAEAAAAZHJzL1BLAwQUAAAACACHTuJACEGpxdoAAAAN&#10;AQAADwAAAGRycy9kb3ducmV2LnhtbE2PzU7DMBCE70i8g7VI3KidhKZWiFOhCjiCWjiUmxubJGCv&#10;Q+z+8PZsT3CcndHMt/Xy5B072CkOARVkMwHMYhvMgJ2Ct9fHGwksJo1Gu4BWwY+NsGwuL2pdmXDE&#10;tT1sUseoBGOlFfQpjRXnse2t13EWRovkfYTJ60Ry6riZ9JHKveO5ECX3ekBa6PVoV71tvzZ7r2Db&#10;fn+624cX+d6NyIvnlXy6d1Gp66tM3AFL9pT+wnDGJ3RoiGkX9mgicwrKTBB6IiMvigUwipTzPAe2&#10;O5/mUgJvav7/i+YXUEsDBBQAAAAIAIdO4kBXqCAUfQIAAAMFAAAOAAAAZHJzL2Uyb0RvYy54bWyt&#10;VM1uEzEQviPxDpbvdJOQlDRqUoVEQUgVrVQQZ8dr767wH7aTTXkZJG48BI+DeA0+e7dpVXrogRw2&#10;Y8/nb2Y+z/j84qAV2QsfGmvmdHgyoEQYbsvGVHP66ePm1ZSSEJkpmbJGzOmtCPRi8fLFeetmYmRr&#10;q0rhCUhMmLVuTusY3awoAq+FZuHEOmHglNZrFrH0VVF61oJdq2I0GJwWrfWl85aLELC77py0Z/TP&#10;IbRSNlysLd9pYWLH6oViESWFunGBLnK2Ugoer6QMIhI1p6g05i+CwN6mb7E4Z7PKM1c3vE+BPSeF&#10;RzVp1hgEPVKtWWRk55t/qHTDvQ1WxhNuddEVkhVBFcPBI21uauZErgVSB3cUPfw/Wv5hf+1JU6IT&#10;Bm8oMUzjyv98//n71w+SdqBP68IMsBt37ftVgJmKPUiv0z/KIIes6e1RU3GIhGNzdDqankFtDtdw&#10;cvZ6Okmcxf1h50N8J6wmyZhTjyvLSrL9ZYgd9A6SYjkW46ZRqoeralUL/iWfkNVK5byCr7YwyZ7h&#10;1seb6fDtug96hGyfxG7yr8f2EKR6FzPFV4a0qGoyHqSiGAZAovFgagcRg6koYarCZPHoc1bGpnRR&#10;CHhQ4ZqFukssWNWUfSxloEkSupM2WVtb3uJqvO16Nji+aXD+koV4zTyaFPExxvEKH6kskrK9RUlt&#10;/ben9hMevQMvJS2aHgl/3TEvKFHvDbrqbDgegzbmxXjyZoSFf+jZPvSYnV5ZKDzEg+F4NhM+qjtT&#10;eqs/Y9qXKSpczHDE7qTpF6vYDSPeCy6WywzDZEDxS3PjeCJPyhm73EUrm9wQ9+r0omE2ckv1c5yG&#10;7+E6o+7frs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EGpxdoAAAANAQAADwAAAAAAAAABACAA&#10;AAAiAAAAZHJzL2Rvd25yZXYueG1sUEsBAhQAFAAAAAgAh07iQFeoIBR9AgAAAwUAAA4AAAAAAAAA&#10;AQAgAAAAKQ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09440" behindDoc="0" locked="0" layoutInCell="1" allowOverlap="1">
                <wp:simplePos x="0" y="0"/>
                <wp:positionH relativeFrom="column">
                  <wp:posOffset>3878580</wp:posOffset>
                </wp:positionH>
                <wp:positionV relativeFrom="paragraph">
                  <wp:posOffset>7421245</wp:posOffset>
                </wp:positionV>
                <wp:extent cx="262890" cy="159385"/>
                <wp:effectExtent l="0" t="0" r="3810" b="12065"/>
                <wp:wrapNone/>
                <wp:docPr id="106" name="矩形 106"/>
                <wp:cNvGraphicFramePr/>
                <a:graphic xmlns:a="http://schemas.openxmlformats.org/drawingml/2006/main">
                  <a:graphicData uri="http://schemas.microsoft.com/office/word/2010/wordprocessingShape">
                    <wps:wsp>
                      <wps:cNvSpPr/>
                      <wps:spPr>
                        <a:xfrm>
                          <a:off x="0" y="0"/>
                          <a:ext cx="26289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4pt;margin-top:584.35pt;height:12.55pt;width:20.7pt;z-index:251709440;v-text-anchor:middle;mso-width-relative:page;mso-height-relative:page;" fillcolor="#4F81BD" filled="t" stroked="f" coordsize="21600,21600" o:gfxdata="UEsDBAoAAAAAAIdO4kAAAAAAAAAAAAAAAAAEAAAAZHJzL1BLAwQUAAAACACHTuJAt1dkr9oAAAAN&#10;AQAADwAAAGRycy9kb3ducmV2LnhtbE2PzU7DMBCE70i8g7VI3KidFEIIcSpUAUcqCge4ufGSBOx1&#10;iN0f3p7tCY6zM5r5tl4cvBM7nOIQSEM2UyCQ2mAH6jS8vjxclCBiMmSNC4QafjDCojk9qU1lw56e&#10;cbdOneASipXR0Kc0VlLGtkdv4iyMSOx9hMmbxHLqpJ3Mnsu9k7lShfRmIF7ozYjLHtuv9dZreGu/&#10;P93l/ap870aS86dl+XjnotbnZ5m6BZHwkP7CcMRndGiYaRO2ZKNwGopMMXpiIyvKaxAcKa7yHMTm&#10;eLqZlyCbWv7/ovkFUEsDBBQAAAAIAIdO4kDC9+5ifQIAAAMFAAAOAAAAZHJzL2Uyb0RvYy54bWyt&#10;VM1uEzEQviPxDpbvdJOQlDRqUoVEQUgVrVQQZ8dr767wH7aTTXkZJG48BI+DeA0+e7dpVXrogRw2&#10;Y8/nb2Y+z/j84qAV2QsfGmvmdHgyoEQYbsvGVHP66ePm1ZSSEJkpmbJGzOmtCPRi8fLFeetmYmRr&#10;q0rhCUhMmLVuTusY3awoAq+FZuHEOmHglNZrFrH0VVF61oJdq2I0GJwWrfWl85aLELC77py0Z/TP&#10;IbRSNlysLd9pYWLH6oViESWFunGBLnK2Ugoer6QMIhI1p6g05i+CwN6mb7E4Z7PKM1c3vE+BPSeF&#10;RzVp1hgEPVKtWWRk55t/qHTDvQ1WxhNuddEVkhVBFcPBI21uauZErgVSB3cUPfw/Wv5hf+1JU6IT&#10;BqeUGKZx5X++//z96wdJO9CndWEG2I279v0qwEzFHqTX6R9lkEPW9PaoqThEwrE5Oh1Nz6A2h2s4&#10;OXs9nSTO4v6w8yG+E1aTZMypx5VlJdn+MsQOegdJsRyLcdMo1cNVtaoF/5JPyGqlcl7BV1uYZM9w&#10;6+PNdPh23Qc9QrZPYjf512N7CFK9i5niK0NaVDUZD1JRDAMg0XgwtYOIwVSUMFVhsnj0OStjU7oo&#10;BDyocM1C3SUWrGrKPpYy0CQJ3UmbrK0tb3E13nY9GxzfNDh/yUK8Zh5NivgY43iFj1QWSdneoqS2&#10;/ttT+wmP3oGXkhZNj4S/7pgXlKj3Bl11NhyPQRvzYjx5M8LCP/RsH3rMTq8sFB7iwXA8mwkf1Z0p&#10;vdWfMe3LFBUuZjhid9L0i1XshhHvBRfLZYZhMqD4pblxPJEn5Yxd7qKVTW6Ie3V60TAbuaX6OU7D&#10;93CdUfdv1+I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1dkr9oAAAANAQAADwAAAAAAAAABACAA&#10;AAAiAAAAZHJzL2Rvd25yZXYueG1sUEsBAhQAFAAAAAgAh07iQML37mJ9AgAAAwUAAA4AAAAAAAAA&#10;AQAgAAAAKQ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08416" behindDoc="0" locked="0" layoutInCell="1" allowOverlap="1">
                <wp:simplePos x="0" y="0"/>
                <wp:positionH relativeFrom="column">
                  <wp:posOffset>3869055</wp:posOffset>
                </wp:positionH>
                <wp:positionV relativeFrom="paragraph">
                  <wp:posOffset>6332220</wp:posOffset>
                </wp:positionV>
                <wp:extent cx="262890" cy="159385"/>
                <wp:effectExtent l="0" t="0" r="3810" b="12065"/>
                <wp:wrapNone/>
                <wp:docPr id="105" name="矩形 105"/>
                <wp:cNvGraphicFramePr/>
                <a:graphic xmlns:a="http://schemas.openxmlformats.org/drawingml/2006/main">
                  <a:graphicData uri="http://schemas.microsoft.com/office/word/2010/wordprocessingShape">
                    <wps:wsp>
                      <wps:cNvSpPr/>
                      <wps:spPr>
                        <a:xfrm>
                          <a:off x="0" y="0"/>
                          <a:ext cx="26289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65pt;margin-top:498.6pt;height:12.55pt;width:20.7pt;z-index:251708416;v-text-anchor:middle;mso-width-relative:page;mso-height-relative:page;" fillcolor="#4F81BD" filled="t" stroked="f" coordsize="21600,21600" o:gfxdata="UEsDBAoAAAAAAIdO4kAAAAAAAAAAAAAAAAAEAAAAZHJzL1BLAwQUAAAACACHTuJAuYkQKdoAAAAM&#10;AQAADwAAAGRycy9kb3ducmV2LnhtbE2Py07DMBBF90j8gzVI7KjdBNIkxKlQBSxBFBbtzk2GJGCP&#10;Q+w++HuGFSxH9+jeM9Xy5Kw44BQGTxrmMwUCqfHtQJ2Gt9eHqxxEiIZaYz2hhm8MsKzPzypTtv5I&#10;L3hYx05wCYXSaOhjHEspQ9OjM2HmRyTO3v3kTORz6mQ7mSOXOysTpTLpzEC80JsRVz02n+u907Bp&#10;vj7s9f1zvu1GkunTKn+8s0Hry4u5ugUR8RT/YPjVZ3Wo2Wnn99QGYTVkqkgZ1VAUiwQEE9mNWoDY&#10;MaqSJAVZV/L/E/UPUEsDBBQAAAAIAIdO4kB9F7z5fQIAAAMFAAAOAAAAZHJzL2Uyb0RvYy54bWyt&#10;VM1uEzEQviPxDpbvdJOQlDRqUoVEQUgVrVQQZ8dr767wH7aTTXkZJG48BI+DeA0+e7dpVXrogRyc&#10;sWf2+2Y+z/j84qAV2QsfGmvmdHgyoEQYbsvGVHP66ePm1ZSSEJkpmbJGzOmtCPRi8fLFeetmYmRr&#10;q0rhCUBMmLVuTusY3awoAq+FZuHEOmHglNZrFrH1VVF61gJdq2I0GJwWrfWl85aLEHC67py0R/TP&#10;AbRSNlysLd9pYWKH6oViESWFunGBLnK2Ugoer6QMIhI1p6g05hUksLdpLRbnbFZ55uqG9ymw56Tw&#10;qCbNGgPSI9SaRUZ2vvkHSjfc22BlPOFWF10hWRFUMRw80uamZk7kWiB1cEfRw/+D5R/21540JTph&#10;MKHEMI0r//P95+9fP0g6gT6tCzOE3bhr3+8CzFTsQXqd/lEGOWRNb4+aikMkHIej09H0DGpzuIaT&#10;s9fTjFncf+x8iO+E1SQZc+pxZVlJtr8MEYQIvQtJXI7FuGmU6sNVtaoF/5K/kNVK5byCr7YwyZ7h&#10;1seb6fDtOhUCpGPI9snYTf71sX1I4u85E78ypEVVk/EgFcUwABKNB1M7iBhMRQlTFSaLR5+zMjal&#10;C/qujjULdZdYsKopey5lkF4SupM2WVtb3uJqvO16Nji+aaDQJQvxmnk0KfgxxvEKi1QWSdneoqS2&#10;/ttT5ykevQMvJS2aHgl/3TEvKFHvDbrqbDgeAzbmzXjyZoSNf+jZPvSYnV5ZKDzEg+F4NlN8VHem&#10;9FZ/xrQvEytczHBwd9L0m1XshhHvBRfLZQ7DZEDxS3PjeAJPyhm73EUrm9wQ9+r0omE28u32c5yG&#10;7+E+R92/XYu/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uYkQKdoAAAAMAQAADwAAAAAAAAABACAA&#10;AAAiAAAAZHJzL2Rvd25yZXYueG1sUEsBAhQAFAAAAAgAh07iQH0XvPl9AgAAAwUAAA4AAAAAAAAA&#10;AQAgAAAAKQ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07392" behindDoc="0" locked="0" layoutInCell="1" allowOverlap="1">
                <wp:simplePos x="0" y="0"/>
                <wp:positionH relativeFrom="column">
                  <wp:posOffset>1628775</wp:posOffset>
                </wp:positionH>
                <wp:positionV relativeFrom="paragraph">
                  <wp:posOffset>6330950</wp:posOffset>
                </wp:positionV>
                <wp:extent cx="817880" cy="143510"/>
                <wp:effectExtent l="0" t="0" r="1270" b="8890"/>
                <wp:wrapNone/>
                <wp:docPr id="102" name="矩形 102"/>
                <wp:cNvGraphicFramePr/>
                <a:graphic xmlns:a="http://schemas.openxmlformats.org/drawingml/2006/main">
                  <a:graphicData uri="http://schemas.microsoft.com/office/word/2010/wordprocessingShape">
                    <wps:wsp>
                      <wps:cNvSpPr/>
                      <wps:spPr>
                        <a:xfrm>
                          <a:off x="0" y="0"/>
                          <a:ext cx="817880" cy="14351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25pt;margin-top:498.5pt;height:11.3pt;width:64.4pt;z-index:251707392;v-text-anchor:middle;mso-width-relative:page;mso-height-relative:page;" fillcolor="#4F81BD" filled="t" stroked="f" coordsize="21600,21600" o:gfxdata="UEsDBAoAAAAAAIdO4kAAAAAAAAAAAAAAAAAEAAAAZHJzL1BLAwQUAAAACACHTuJASNB8TtoAAAAM&#10;AQAADwAAAGRycy9kb3ducmV2LnhtbE2PTU+EMBCG7yb+h2ZMvLktiyAgZWM26lHj6kFvXRgBbadI&#10;ux/+e8eTHifz5H2ft14dnRV7nMPoSUOyUCCQWt+N1Gt4eb67KECEaKgz1hNq+MYAq+b0pDZV5w/0&#10;hPtN7AWHUKiMhiHGqZIytAM6ExZ+QuLfu5+diXzOvexmc+BwZ+VSqVw6MxI3DGbC9YDt52bnNLy2&#10;Xx/28vaxeOsnkunDuri/sUHr87NEXYOIeIx/MPzqszo07LT1O+qCsBqWWZ4xqqEsr3gUE2mRpSC2&#10;jKqkzEE2tfw/ovkBUEsDBBQAAAAIAIdO4kAq3nfmfgIAAAMFAAAOAAAAZHJzL2Uyb0RvYy54bWyt&#10;VM1uEzEQviPxDpbvdLMhhRA1qUKiIKSKViqIs+O1d1f4D9vJprwMEjcegsdBvAafvdu0Kj30QA7O&#10;2PPtfDOfZ3x2ftCK7IUPrTVzWp6MKBGG26o19Zx++rh5MaUkRGYqpqwRc3ojAj1fPH921rmZGNvG&#10;qkp4giAmzDo3p02MblYUgTdCs3BinTBwSus1i9j6uqg86xBdq2I8Gr0qOusr5y0XIeB03TvpENE/&#10;JaCVsuVibflOCxP7qF4oFlFSaFoX6CJnK6Xg8VLKICJRc4pKY15BAnub1mJxxma1Z65p+ZACe0oK&#10;D2rSrDUgPYZas8jIzrf/hNIt9zZYGU+41UVfSFYEVZSjB9pcN8yJXAukDu4oevh/YfmH/ZUnbYVO&#10;GI0pMUzjyv98//n71w+STqBP58IMsGt35YddgJmKPUiv0z/KIIes6c1RU3GIhONwWr6eTqE2h6uc&#10;vDwts+bF3cfOh/hOWE2SMaceV5aVZPuLEEEI6C0kcTkW46ZVaoCretUI/iV/IeuVynkFX29hkj3D&#10;rU820/LtOhWCSEfI9lHsJv8G7ABJ/ANn4leGdHM6Pp2MUlEMAyDReDC1g4jB1JQwVWOyePQ5K2NT&#10;uqDv61iz0PSJBavaauBSBukloXtpk7W11Q2uxtu+Z4PjmxYKXbAQr5hHk4IfYxwvsUhlkZQdLEoa&#10;6789dp7w6B14KenQ9Ej46455QYl6b9BVb8rJBGFj3kxOX4+x8fc92/ses9MrC4VLPBiOZzPho7o1&#10;pbf6M6Z9mVjhYoaDu5dm2KxiP4x4L7hYLjMMkwHFL8y14yl4Us7Y5S5a2eaGuFNnEA2zkW93mOM0&#10;fPf3GXX3di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EjQfE7aAAAADAEAAA8AAAAAAAAAAQAg&#10;AAAAIgAAAGRycy9kb3ducmV2LnhtbFBLAQIUABQAAAAIAIdO4kAq3nfmfgIAAAMFAAAOAAAAAAAA&#10;AAEAIAAAACkBAABkcnMvZTJvRG9jLnhtbFBLBQYAAAAABgAGAFkBAAAZ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06368" behindDoc="0" locked="0" layoutInCell="1" allowOverlap="1">
                <wp:simplePos x="0" y="0"/>
                <wp:positionH relativeFrom="column">
                  <wp:posOffset>690245</wp:posOffset>
                </wp:positionH>
                <wp:positionV relativeFrom="paragraph">
                  <wp:posOffset>-354330</wp:posOffset>
                </wp:positionV>
                <wp:extent cx="484505" cy="135255"/>
                <wp:effectExtent l="0" t="0" r="10795" b="17145"/>
                <wp:wrapNone/>
                <wp:docPr id="99" name="矩形 99"/>
                <wp:cNvGraphicFramePr/>
                <a:graphic xmlns:a="http://schemas.openxmlformats.org/drawingml/2006/main">
                  <a:graphicData uri="http://schemas.microsoft.com/office/word/2010/wordprocessingShape">
                    <wps:wsp>
                      <wps:cNvSpPr/>
                      <wps:spPr>
                        <a:xfrm>
                          <a:off x="1697990" y="725805"/>
                          <a:ext cx="484505" cy="13525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5pt;margin-top:-27.9pt;height:10.65pt;width:38.15pt;z-index:251706368;v-text-anchor:middle;mso-width-relative:page;mso-height-relative:page;" fillcolor="#4F81BD" filled="t" stroked="f" coordsize="21600,21600" o:gfxdata="UEsDBAoAAAAAAIdO4kAAAAAAAAAAAAAAAAAEAAAAZHJzL1BLAwQUAAAACACHTuJAECTcktgAAAAL&#10;AQAADwAAAGRycy9kb3ducmV2LnhtbE2PzU7DMBCE70i8g7VI3Fq7tAErxKlQBRxBLRzg5sZLErDX&#10;IXZ/eHu2JzjO7KfZmWp5DF7scUx9JAOzqQKB1ETXU2vg9eVhokGkbMlZHwkN/GCCZX1+VtnSxQOt&#10;cb/JreAQSqU10OU8lFKmpsNg0zQOSHz7iGOwmeXYSjfaA4cHL6+UupbB9sQfOjvgqsPma7MLBt6a&#10;70+/uH/W7+1Acv600o93PhlzeTFTtyAyHvMfDKf6XB1q7rSNO3JJeNZK3zBqYFIUvOFE6ILXbdmZ&#10;LwqQdSX/b6h/AVBLAwQUAAAACACHTuJAvPtmZYkCAAAMBQAADgAAAGRycy9lMm9Eb2MueG1srVTL&#10;bhMxFN0j8Q+W93SSMEOTqJMqJApCqmilglg7Hs9D+IXtPMrPILHjI/gcxG9w7Jk+VLrogiyca98z&#10;99x7fK/Pzo9Kkr1wvjO6pOOTESVCc1N1uinpp4+bV1NKfGC6YtJoUdIb4en54uWLs4Odi4lpjayE&#10;Iwii/fxgS9qGYOdZ5nkrFPMnxgoNZ22cYgFb12SVYwdEVzKbjEZvsoNxlXWGC+9xuu6ddIjonhPQ&#10;1HXHxdrwnRI69FGdkCygJN921tNFyrauBQ+Xde1FILKkqDSkFSSwt3HNFmds3jhm244PKbDnpPCo&#10;JsU6DdK7UGsWGNm57p9QquPOeFOHE25U1heSFEEV49Ejba5bZkWqBVJ7eye6/39h+Yf9lSNdVdLZ&#10;jBLNFG78z/efv3/9IDiAOgfr5wBd2ys37DzMWOqxdir+owhyRCe9mZ3OZtD1pqSnk2I6KnpxxTEQ&#10;Dn8+zQucEQ7/+HUxKZI/u49jnQ/vhFEkGiV1uLskKdtf+ABuQG8hkdayEDadlANcNqtW8C/pi7pZ&#10;yZSid80WJtkzXH++mY7frmNSiHQH2T6J3aTfgB0gkX/gjPxSk0NJJ0U+Qs2cYRJqdCBMZaGm1w0l&#10;TDYYMR5cykqbmC7o+zrWzLd9Yt7Irhq4pEZ6UfNe5WhtTXWDO3Kmb15v+aaDQhfMhyvm0K3gxzyH&#10;Syy1NEjKDBYlrXHfnjqPeDQRvJQc0P1I+OuOOUGJfK/RXrNxniNsSJu8OJ1g4x56tg89eqdWBgqP&#10;8XJYnsyID/LWrJ1RnzH2y8gKF9Mc3L00w2YV+qnEw8HFcplgGBEofqGvLY/Bo3LaLHfB1F1qiHt1&#10;BtEwJOl2h4GOU/hwn1D3j9ji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Ak3JLYAAAACwEAAA8A&#10;AAAAAAAAAQAgAAAAIgAAAGRycy9kb3ducmV2LnhtbFBLAQIUABQAAAAIAIdO4kC8+2ZliQIAAAwF&#10;AAAOAAAAAAAAAAEAIAAAACcBAABkcnMvZTJvRG9jLnhtbFBLBQYAAAAABgAGAFkBAAAiBgAAAAA=&#10;">
                <v:fill type="pattern" on="t" color2="#FFFFFF" o:title="大棋盘" focussize="0,0" r:id="rId14"/>
                <v:stroke on="f" weight="2pt"/>
                <v:imagedata o:title=""/>
                <o:lock v:ext="edit" aspectratio="f"/>
              </v:rect>
            </w:pict>
          </mc:Fallback>
        </mc:AlternateContent>
      </w:r>
      <w:r>
        <w:rPr>
          <w:rFonts w:hint="eastAsia" w:eastAsia="黑体"/>
          <w:lang w:eastAsia="zh-CN"/>
        </w:rPr>
        <w:drawing>
          <wp:anchor distT="0" distB="0" distL="114300" distR="114300" simplePos="0" relativeHeight="251687936" behindDoc="0" locked="0" layoutInCell="1" allowOverlap="1">
            <wp:simplePos x="0" y="0"/>
            <wp:positionH relativeFrom="column">
              <wp:posOffset>-2552065</wp:posOffset>
            </wp:positionH>
            <wp:positionV relativeFrom="paragraph">
              <wp:posOffset>482600</wp:posOffset>
            </wp:positionV>
            <wp:extent cx="10676255" cy="7552690"/>
            <wp:effectExtent l="0" t="0" r="10160" b="10795"/>
            <wp:wrapNone/>
            <wp:docPr id="80" name="图片 80" descr="e5202f4907da2f61e759a08016c4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e5202f4907da2f61e759a08016c4bb0"/>
                    <pic:cNvPicPr>
                      <a:picLocks noChangeAspect="1"/>
                    </pic:cNvPicPr>
                  </pic:nvPicPr>
                  <pic:blipFill>
                    <a:blip r:embed="rId15"/>
                    <a:stretch>
                      <a:fillRect/>
                    </a:stretch>
                  </pic:blipFill>
                  <pic:spPr>
                    <a:xfrm rot="5400000">
                      <a:off x="0" y="0"/>
                      <a:ext cx="10676255" cy="7552690"/>
                    </a:xfrm>
                    <a:prstGeom prst="rect">
                      <a:avLst/>
                    </a:prstGeom>
                  </pic:spPr>
                </pic:pic>
              </a:graphicData>
            </a:graphic>
          </wp:anchor>
        </w:drawing>
      </w:r>
    </w:p>
    <w:p w14:paraId="45071029">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13536" behindDoc="0" locked="0" layoutInCell="1" allowOverlap="1">
                <wp:simplePos x="0" y="0"/>
                <wp:positionH relativeFrom="column">
                  <wp:posOffset>1211580</wp:posOffset>
                </wp:positionH>
                <wp:positionV relativeFrom="paragraph">
                  <wp:posOffset>5087620</wp:posOffset>
                </wp:positionV>
                <wp:extent cx="349250" cy="159385"/>
                <wp:effectExtent l="0" t="0" r="12700" b="12065"/>
                <wp:wrapNone/>
                <wp:docPr id="110" name="矩形 110"/>
                <wp:cNvGraphicFramePr/>
                <a:graphic xmlns:a="http://schemas.openxmlformats.org/drawingml/2006/main">
                  <a:graphicData uri="http://schemas.microsoft.com/office/word/2010/wordprocessingShape">
                    <wps:wsp>
                      <wps:cNvSpPr/>
                      <wps:spPr>
                        <a:xfrm>
                          <a:off x="0" y="0"/>
                          <a:ext cx="34925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4pt;margin-top:400.6pt;height:12.55pt;width:27.5pt;z-index:251713536;v-text-anchor:middle;mso-width-relative:page;mso-height-relative:page;" fillcolor="#4F81BD" filled="t" stroked="f" coordsize="21600,21600" o:gfxdata="UEsDBAoAAAAAAIdO4kAAAAAAAAAAAAAAAAAEAAAAZHJzL1BLAwQUAAAACACHTuJAP2KnDNgAAAAL&#10;AQAADwAAAGRycy9kb3ducmV2LnhtbE2PzU7DMBCE70h9B2uRuFE7aalCiFNVFXAEUTjAzY2XJNRe&#10;p7H7w9uznOA4s6PZb6rl2TtxxDH2gTRkUwUCqQm2p1bD2+vDdQEiJkPWuECo4RsjLOvJRWVKG070&#10;gsdNagWXUCyNhi6loZQyNh16E6dhQOLbZxi9SSzHVtrRnLjcO5krtZDe9MQfOjPgusNmtzl4De/N&#10;/svN75+Lj3YgOXtaF48rF7W+uszUHYiE5/QXhl98RoeambbhQDYKx/pWMXrSUKgsB8GJfH7Dzpad&#10;fDEDWVfy/4b6B1BLAwQUAAAACACHTuJAGc7C5X0CAAADBQAADgAAAGRycy9lMm9Eb2MueG1srVTB&#10;bhMxEL0j8Q+W73SzaQJt1E0VEgUhVTRSQZwdr727wmsb28mm/AwSNz6Cz0H8Bs/ebVqVHnogh83Y&#10;8/xm5nnGF5eHVpG9cL4xuqD5yYgSobkpG10V9NPH9aszSnxgumTKaFHQW+Hp5fzli4vOzsTY1EaV&#10;whGQaD/rbEHrEOwsyzyvRcv8ibFCwymNa1nA0lVZ6VgH9lZl49HoddYZV1pnuPAeu6veSQdG9xxC&#10;I2XDxcrwXSt06FmdUCygJF831tN5ylZKwcO1lF4EogqKSkP6Igjsbfxm8ws2qxyzdcOHFNhzUnhU&#10;U8sajaBHqhULjOxc8w9V23BnvJHhhJs26wtJiqCKfPRIm5uaWZFqgdTeHkX3/4+Wf9hvHGlKdEIO&#10;TTRrceV/vv/8/esHiTvQp7N+BtiN3bhh5WHGYg/StfEfZZBD0vT2qKk4BMKxeTo5H0/BzOHKp+en&#10;Z9PImd0fts6Hd8K0JBoFdbiypCTbX/nQQ+8gMZZlIawbpQa4qpa14F/SCVktVcrLu2oLk+wZbn2y&#10;PsvfroagR8j2Sew6/QbsAEGqdzFjfKVJV9DxdDKKRTEMgETjwWwtRPS6ooSpCpPFg0tZaRPTRSHg&#10;QYUr5us+MW9UUw6xlIYmUehe2mhtTXmLq3Gm71lv+brB+Svmw4Y5NCniY4zDNT5SGSRlBouS2rhv&#10;T+1HPHoHXko6ND0S/rpjTlCi3mt01Xk+mYA2pMVk+maMhXvo2T706F27NFA4x4NheTIjPqg7UzrT&#10;fsa0L2JUuJjmiN1LMyyWoR9GvBdcLBYJhsmA4lf6xvJIHpXTZrELRjapIe7VGUTDbKSWGuY4Dt/D&#10;dULdv13z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9ipwzYAAAACwEAAA8AAAAAAAAAAQAgAAAA&#10;IgAAAGRycy9kb3ducmV2LnhtbFBLAQIUABQAAAAIAIdO4kAZzsLlfQIAAAMFAAAOAAAAAAAAAAEA&#10;IAAAACcBAABkcnMvZTJvRG9jLnhtbFBLBQYAAAAABgAGAFkBAAAW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12512" behindDoc="0" locked="0" layoutInCell="1" allowOverlap="1">
                <wp:simplePos x="0" y="0"/>
                <wp:positionH relativeFrom="column">
                  <wp:posOffset>3297555</wp:posOffset>
                </wp:positionH>
                <wp:positionV relativeFrom="paragraph">
                  <wp:posOffset>4728845</wp:posOffset>
                </wp:positionV>
                <wp:extent cx="349250" cy="159385"/>
                <wp:effectExtent l="0" t="0" r="12700" b="12065"/>
                <wp:wrapNone/>
                <wp:docPr id="109" name="矩形 109"/>
                <wp:cNvGraphicFramePr/>
                <a:graphic xmlns:a="http://schemas.openxmlformats.org/drawingml/2006/main">
                  <a:graphicData uri="http://schemas.microsoft.com/office/word/2010/wordprocessingShape">
                    <wps:wsp>
                      <wps:cNvSpPr/>
                      <wps:spPr>
                        <a:xfrm>
                          <a:off x="0" y="0"/>
                          <a:ext cx="34925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9.65pt;margin-top:372.35pt;height:12.55pt;width:27.5pt;z-index:251712512;v-text-anchor:middle;mso-width-relative:page;mso-height-relative:page;" fillcolor="#4F81BD" filled="t" stroked="f" coordsize="21600,21600" o:gfxdata="UEsDBAoAAAAAAIdO4kAAAAAAAAAAAAAAAAAEAAAAZHJzL1BLAwQUAAAACACHTuJAB/Hmd9oAAAAL&#10;AQAADwAAAGRycy9kb3ducmV2LnhtbE2PTU/DMAyG70j8h8hI3Fha1q1daTqhCTgyMXYYt6wxbSFx&#10;SpN98O8xJzj69aPXj6vl2VlxxDH0nhSkkwQEUuNNT62C7evjTQEiRE1GW0+o4BsDLOvLi0qXxp/o&#10;BY+b2AouoVBqBV2MQyllaDp0Okz8gMS7dz86HXkcW2lGfeJyZ+Vtksyl0z3xhU4PuOqw+dwcnIJd&#10;8/Vhs4d18dYOJKfPq+Lp3galrq/S5A5ExHP8g+FXn9WhZqe9P5AJwiqYpYspowryLMtBMDHLM072&#10;nMwXBci6kv9/qH8AUEsDBBQAAAAIAIdO4kAyyI8TfgIAAAMFAAAOAAAAZHJzL2Uyb0RvYy54bWyt&#10;VM1uEzEQviPxDpbvdJM0gSZqUoVEQUgVrVQQZ8dr767wH7aTTXkZJG48BI+DeA0+e7dpVXrogRw2&#10;Y8/nb2Y+z/j84qAV2QsfGmvmdHgyoEQYbsvGVHP66ePm1RklITJTMmWNmNNbEejF4uWL89bNxMjW&#10;VpXCE5CYMGvdnNYxullRBF4LzcKJdcLAKa3XLGLpq6L0rAW7VsVoMHhdtNaXzlsuQsDuunPSntE/&#10;h9BK2XCxtnynhYkdqxeKRZQU6sYFusjZSil4vJIyiEjUnKLSmL8IAnubvsXinM0qz1zd8D4F9pwU&#10;HtWkWWMQ9Ei1ZpGRnW/+odIN9zZYGU+41UVXSFYEVQwHj7S5qZkTuRZIHdxR9PD/aPmH/bUnTYlO&#10;GEwpMUzjyv98//n71w+SdqBP68IMsBt37ftVgJmKPUiv0z/KIIes6e1RU3GIhGPzdDwdTaA2h2s4&#10;mZ6eTRJncX/Y+RDfCatJMubU48qykmx/GWIHvYOkWI7FuGmU6uGqWtWCf8knZLVSOa/gqy1Msme4&#10;9fHmbPh23Qc9QrZPYjf512N7CFK9i5niK0PaOR1NxoNUFMMASDQeTO0gYjAVJUxVmCwefc7K2JQu&#10;CgEPKlyzUHeJBauaso+lDDRJQnfSJmtry1tcjbddzwbHNw3OX7IQr5lHkyI+xjhe4SOVRVK2tyip&#10;rf/21H7Co3fgpaRF0yPhrzvmBSXqvUFXTYfjMWhjXownb0ZY+Iee7UOP2emVhcJDPBiOZzPho7oz&#10;pbf6M6Z9maLCxQxH7E6afrGK3TDiveBiucwwTAYUvzQ3jifypJyxy120sskNca9OLxpmI7dUP8dp&#10;+B6uM+r+7Vr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fx5nfaAAAACwEAAA8AAAAAAAAAAQAg&#10;AAAAIgAAAGRycy9kb3ducmV2LnhtbFBLAQIUABQAAAAIAIdO4kAyyI8TfgIAAAMFAAAOAAAAAAAA&#10;AAEAIAAAACkBAABkcnMvZTJvRG9jLnhtbFBLBQYAAAAABgAGAFkBAAAZBgAAAAA=&#10;">
                <v:fill type="pattern" on="t" color2="#FFFFFF" o:title="大棋盘" focussize="0,0" r:id="rId14"/>
                <v:stroke on="f" weight="2pt"/>
                <v:imagedata o:title=""/>
                <o:lock v:ext="edit" aspectratio="f"/>
              </v:rect>
            </w:pict>
          </mc:Fallback>
        </mc:AlternateContent>
      </w:r>
      <w:r>
        <w:rPr>
          <w:rFonts w:hint="eastAsia" w:eastAsia="宋体"/>
          <w:lang w:eastAsia="zh-CN"/>
        </w:rPr>
        <w:drawing>
          <wp:anchor distT="0" distB="0" distL="114300" distR="114300" simplePos="0" relativeHeight="251688960" behindDoc="0" locked="0" layoutInCell="1" allowOverlap="1">
            <wp:simplePos x="0" y="0"/>
            <wp:positionH relativeFrom="column">
              <wp:posOffset>-2517140</wp:posOffset>
            </wp:positionH>
            <wp:positionV relativeFrom="paragraph">
              <wp:posOffset>516890</wp:posOffset>
            </wp:positionV>
            <wp:extent cx="10696575" cy="7567295"/>
            <wp:effectExtent l="0" t="0" r="14605" b="9525"/>
            <wp:wrapNone/>
            <wp:docPr id="81" name="图片 81" descr="Scan_20250708_102240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Scan_20250708_102240_005"/>
                    <pic:cNvPicPr>
                      <a:picLocks noChangeAspect="1"/>
                    </pic:cNvPicPr>
                  </pic:nvPicPr>
                  <pic:blipFill>
                    <a:blip r:embed="rId16"/>
                    <a:stretch>
                      <a:fillRect/>
                    </a:stretch>
                  </pic:blipFill>
                  <pic:spPr>
                    <a:xfrm rot="5400000">
                      <a:off x="0" y="0"/>
                      <a:ext cx="10696575" cy="7567295"/>
                    </a:xfrm>
                    <a:prstGeom prst="rect">
                      <a:avLst/>
                    </a:prstGeom>
                  </pic:spPr>
                </pic:pic>
              </a:graphicData>
            </a:graphic>
          </wp:anchor>
        </w:drawing>
      </w:r>
      <w:r>
        <w:rPr>
          <w:sz w:val="30"/>
        </w:rPr>
        <mc:AlternateContent>
          <mc:Choice Requires="wps">
            <w:drawing>
              <wp:anchor distT="0" distB="0" distL="114300" distR="114300" simplePos="0" relativeHeight="251711488" behindDoc="0" locked="0" layoutInCell="1" allowOverlap="1">
                <wp:simplePos x="0" y="0"/>
                <wp:positionH relativeFrom="column">
                  <wp:posOffset>773430</wp:posOffset>
                </wp:positionH>
                <wp:positionV relativeFrom="paragraph">
                  <wp:posOffset>4347845</wp:posOffset>
                </wp:positionV>
                <wp:extent cx="1207770" cy="175260"/>
                <wp:effectExtent l="0" t="0" r="11430" b="15240"/>
                <wp:wrapNone/>
                <wp:docPr id="108" name="矩形 108"/>
                <wp:cNvGraphicFramePr/>
                <a:graphic xmlns:a="http://schemas.openxmlformats.org/drawingml/2006/main">
                  <a:graphicData uri="http://schemas.microsoft.com/office/word/2010/wordprocessingShape">
                    <wps:wsp>
                      <wps:cNvSpPr/>
                      <wps:spPr>
                        <a:xfrm>
                          <a:off x="0" y="0"/>
                          <a:ext cx="1207770" cy="17526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9pt;margin-top:342.35pt;height:13.8pt;width:95.1pt;z-index:251711488;v-text-anchor:middle;mso-width-relative:page;mso-height-relative:page;" fillcolor="#4F81BD" filled="t" stroked="f" coordsize="21600,21600" o:gfxdata="UEsDBAoAAAAAAIdO4kAAAAAAAAAAAAAAAAAEAAAAZHJzL1BLAwQUAAAACACHTuJApN0cztkAAAAL&#10;AQAADwAAAGRycy9kb3ducmV2LnhtbE2PzU7DMBCE70i8g7VI3KjjpGqjNE6FKuAIonCAmxtvk4C9&#10;DrH7w9uznOA4mtHMN/X67J044hSHQBrULAOB1AY7UKfh9eX+pgQRkyFrXCDU8I0R1s3lRW0qG070&#10;jMdt6gSXUKyMhj6lsZIytj16E2dhRGJvHyZvEsupk3YyJy73TuZZtpDeDMQLvRlx02P7uT14DW/t&#10;14eb3z2V791IsnjclA+3Lmp9faWyFYiE5/QXhl98RoeGmXbhQDYKxzpXjJ40LMr5EgQnCpXzu52G&#10;pcoLkE0t/39ofgBQSwMEFAAAAAgAh07iQJFFqb1/AgAABAUAAA4AAABkcnMvZTJvRG9jLnhtbK1U&#10;zW4TMRC+I/EOlu90d6O0KVE3VUgUhFRBpYI4O157d4XXNraTTXkZJG48BI+DeA0+e7dpVXrogRyc&#10;Gc+38/PNjC8uD50ie+F8a3RJi5OcEqG5qVpdl/TTx82rc0p8YLpiymhR0lvh6eXi5YuL3s7FxDRG&#10;VcIRONF+3tuSNiHYeZZ53oiO+RNjhYZRGtexANXVWeVYD++dyiZ5fpb1xlXWGS68x+16MNLRo3uO&#10;QyNly8Xa8F0ndBi8OqFYQEm+aa2ni5StlIKHD1J6EYgqKSoN6UQQyNt4ZosLNq8ds03LxxTYc1J4&#10;VFPHWo2gR1drFhjZufYfV13LnfFGhhNuumwoJDGCKor8ETc3DbMi1QKqvT2S7v+fW/5+f+1IW2ES&#10;cjResw4t//P95+9fP0i8AT+99XPAbuy1GzUPMRZ7kK6L/yiDHBKnt0dOxSEQjstiks9mM9DNYStm&#10;p5OzRHp2/7V1PrwVpiNRKKlDzxKVbH/lAyICegeJwSwLYdMqNcJVvWoE/5K+kPVKpcS8q7cQyZ6h&#10;7dPNefFmHSuBpyNk+yR2k34jdoTE+GPMGF9p0pd0cjrNY1EMGyAxeRA7Cxa9rilhqsZq8eBSVtrE&#10;dBF+qGPNfDMk5o1qqzGW0kgvMj1wG6WtqW7RG2eGofWWb1owdMV8uGYOU4r42OPwAYdUBkmZUaKk&#10;Me7bU/cRj+GBlZIeU4+Ev+6YE5Sodxpj9bqYTuE2JGV6OptAcQ8t24cWvetWBgwXeDEsT2LEB3Un&#10;Sme6z1j3ZYwKE9McsQdqRmUVhm3Eg8HFcplgWA0wfqVvLI/OI3PaLHfByDYNxD07I2lYjtTdcZHj&#10;9j3UE+r+8Vr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TdHM7ZAAAACwEAAA8AAAAAAAAAAQAg&#10;AAAAIgAAAGRycy9kb3ducmV2LnhtbFBLAQIUABQAAAAIAIdO4kCRRam9fwIAAAQFAAAOAAAAAAAA&#10;AAEAIAAAACgBAABkcnMvZTJvRG9jLnhtbFBLBQYAAAAABgAGAFkBAAAZBgAAAAA=&#10;">
                <v:fill type="pattern" on="t" color2="#FFFFFF" o:title="大棋盘" focussize="0,0" r:id="rId14"/>
                <v:stroke on="f" weight="2pt"/>
                <v:imagedata o:title=""/>
                <o:lock v:ext="edit" aspectratio="f"/>
              </v:rect>
            </w:pict>
          </mc:Fallback>
        </mc:AlternateContent>
      </w:r>
    </w:p>
    <w:p w14:paraId="090D7E94">
      <w:pPr>
        <w:pStyle w:val="10"/>
        <w:widowControl w:val="0"/>
        <w:wordWrap/>
        <w:autoSpaceDE w:val="0"/>
        <w:autoSpaceDN w:val="0"/>
        <w:adjustRightInd/>
        <w:snapToGrid/>
        <w:spacing w:before="0"/>
        <w:ind w:left="0" w:right="0"/>
        <w:jc w:val="center"/>
        <w:textAlignment w:val="auto"/>
        <w:rPr>
          <w:rFonts w:hint="eastAsia" w:eastAsia="黑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rFonts w:hint="eastAsia" w:eastAsia="黑体"/>
          <w:lang w:eastAsia="zh-CN"/>
        </w:rPr>
        <w:drawing>
          <wp:anchor distT="0" distB="0" distL="114300" distR="114300" simplePos="0" relativeHeight="251689984" behindDoc="0" locked="0" layoutInCell="1" allowOverlap="1">
            <wp:simplePos x="0" y="0"/>
            <wp:positionH relativeFrom="column">
              <wp:posOffset>-2560955</wp:posOffset>
            </wp:positionH>
            <wp:positionV relativeFrom="paragraph">
              <wp:posOffset>492125</wp:posOffset>
            </wp:positionV>
            <wp:extent cx="10685145" cy="7559040"/>
            <wp:effectExtent l="0" t="0" r="3810" b="1905"/>
            <wp:wrapNone/>
            <wp:docPr id="82" name="图片 82" descr="Scan_20250708_10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Scan_20250708_102240"/>
                    <pic:cNvPicPr>
                      <a:picLocks noChangeAspect="1"/>
                    </pic:cNvPicPr>
                  </pic:nvPicPr>
                  <pic:blipFill>
                    <a:blip r:embed="rId17"/>
                    <a:stretch>
                      <a:fillRect/>
                    </a:stretch>
                  </pic:blipFill>
                  <pic:spPr>
                    <a:xfrm rot="5400000">
                      <a:off x="0" y="0"/>
                      <a:ext cx="10685145" cy="7559040"/>
                    </a:xfrm>
                    <a:prstGeom prst="rect">
                      <a:avLst/>
                    </a:prstGeom>
                  </pic:spPr>
                </pic:pic>
              </a:graphicData>
            </a:graphic>
          </wp:anchor>
        </w:drawing>
      </w:r>
    </w:p>
    <w:p w14:paraId="21CA5CC6">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rFonts w:hint="eastAsia" w:eastAsia="宋体"/>
          <w:lang w:eastAsia="zh-CN"/>
        </w:rPr>
        <w:drawing>
          <wp:anchor distT="0" distB="0" distL="114300" distR="114300" simplePos="0" relativeHeight="251691008" behindDoc="0" locked="0" layoutInCell="1" allowOverlap="1">
            <wp:simplePos x="0" y="0"/>
            <wp:positionH relativeFrom="column">
              <wp:posOffset>-2559685</wp:posOffset>
            </wp:positionH>
            <wp:positionV relativeFrom="paragraph">
              <wp:posOffset>504190</wp:posOffset>
            </wp:positionV>
            <wp:extent cx="10661650" cy="7542530"/>
            <wp:effectExtent l="0" t="0" r="1270" b="6350"/>
            <wp:wrapNone/>
            <wp:docPr id="86" name="图片 86" descr="Scan_20250708_102240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Scan_20250708_102240_006"/>
                    <pic:cNvPicPr>
                      <a:picLocks noChangeAspect="1"/>
                    </pic:cNvPicPr>
                  </pic:nvPicPr>
                  <pic:blipFill>
                    <a:blip r:embed="rId18"/>
                    <a:stretch>
                      <a:fillRect/>
                    </a:stretch>
                  </pic:blipFill>
                  <pic:spPr>
                    <a:xfrm rot="5400000">
                      <a:off x="0" y="0"/>
                      <a:ext cx="10661650" cy="7542530"/>
                    </a:xfrm>
                    <a:prstGeom prst="rect">
                      <a:avLst/>
                    </a:prstGeom>
                  </pic:spPr>
                </pic:pic>
              </a:graphicData>
            </a:graphic>
          </wp:anchor>
        </w:drawing>
      </w:r>
    </w:p>
    <w:p w14:paraId="5934514E">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14560" behindDoc="0" locked="0" layoutInCell="1" allowOverlap="1">
                <wp:simplePos x="0" y="0"/>
                <wp:positionH relativeFrom="column">
                  <wp:posOffset>3472180</wp:posOffset>
                </wp:positionH>
                <wp:positionV relativeFrom="paragraph">
                  <wp:posOffset>1069975</wp:posOffset>
                </wp:positionV>
                <wp:extent cx="349250" cy="159385"/>
                <wp:effectExtent l="18415" t="7620" r="31750" b="24130"/>
                <wp:wrapNone/>
                <wp:docPr id="111" name="矩形 111"/>
                <wp:cNvGraphicFramePr/>
                <a:graphic xmlns:a="http://schemas.openxmlformats.org/drawingml/2006/main">
                  <a:graphicData uri="http://schemas.microsoft.com/office/word/2010/wordprocessingShape">
                    <wps:wsp>
                      <wps:cNvSpPr/>
                      <wps:spPr>
                        <a:xfrm rot="15840000">
                          <a:off x="0" y="0"/>
                          <a:ext cx="34925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4pt;margin-top:84.25pt;height:12.55pt;width:27.5pt;rotation:-6291456f;z-index:251714560;v-text-anchor:middle;mso-width-relative:page;mso-height-relative:page;" fillcolor="#4F81BD" filled="t" stroked="f" coordsize="21600,21600" o:gfxdata="UEsDBAoAAAAAAIdO4kAAAAAAAAAAAAAAAAAEAAAAZHJzL1BLAwQUAAAACACHTuJA1NHE49gAAAAL&#10;AQAADwAAAGRycy9kb3ducmV2LnhtbE2PzU7DMBCE70i8g7VI3KidllohxOkBEQEHhEjhvo1NEjVe&#10;R7H7w9uznOC4M6PZb8rN2Y/i6OY4BDKQLRQIR22wA3UGPrb1TQ4iJiSLYyBn4NtF2FSXFyUWNpzo&#10;3R2b1AkuoViggT6lqZAytr3zGBdhcsTeV5g9Jj7nTtoZT1zuR7lUSkuPA/GHHif30Lt23xy8Ab3H&#10;1eNz2zyFz9oup9e3vN6+RGOurzJ1DyK5c/oLwy8+o0PFTLtwIBvFaGB9qxk9saHzNQhOaJWxsmPl&#10;bqVBVqX8v6H6AVBLAwQUAAAACACHTuJA6i63moYCAAASBQAADgAAAGRycy9lMm9Eb2MueG1srVRB&#10;btswELwX6B8I3htZjt06RuTAteGiQNAESIueaYqUhFIkS9KW088U6K2P6HOKfqNDSnGCNIccqgOx&#10;yx3N7o52dX5xaBXZC+cbowuan4woEZqbstFVQT993LyaUeID0yVTRouC3gpPLxYvX5x3di7Gpjaq&#10;FI6ARPt5Zwtah2DnWeZ5LVrmT4wVGkFpXMsCXFdlpWMd2FuVjUej11lnXGmd4cJ73K77IB0Y3XMI&#10;jZQNF2vDd63QoWd1QrGAlnzdWE8XqVopBQ9XUnoRiCooOg3pRBLY23hmi3M2rxyzdcOHEthzSnjU&#10;U8sajaRHqjULjOxc8w9V23BnvJHhhJs26xtJiqCLfPRIm5uaWZF6gdTeHkX3/4+Wf9hfO9KUmIQ8&#10;p0SzFp/8z/efv3/9IPEG+nTWzwG7sddu8DzM2OxBupY4A1Hz6WwywpM0QFfkkCS+PUosDoFwXJ5O&#10;zsZTiM8Ryqdnp7NpTJH1XJHTOh/eCdOSaBTU4QsmUra/9KGH3kESnIWwaZQa4Kpa1YJ/SW/IaqVS&#10;md5VW5hkzzAEk80sf7sekh4h2yexm/QM2AGCUu2QM+ZXmnQFHU/RPZpi2AeJOYTZWmjqdUUJUxUW&#10;jQeXqtImlotG+lbXzNd9Yd6ophxyKQ1Nou690tHamvIWXyqpjVTe8k0DhS6ZD9fMYWZxia0OVzik&#10;MijKDBYltXHfnrqPeIwSopR02AEU/HXHnKBEvdcYsrN8MgFtSM5k+mYMxz2MbB9G9K5dGSiMMUJ1&#10;yYz4oO5M6Uz7Gcu/jFkRYpojdy/N4KxCv5v4fXCxXCYYFgWKX+obyyN5VE6b5S4Y2aSBuFdnEA2r&#10;kkZqWOu4iw/9hLr/lS3+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NTRxOPYAAAACwEAAA8AAAAA&#10;AAAAAQAgAAAAIgAAAGRycy9kb3ducmV2LnhtbFBLAQIUABQAAAAIAIdO4kDqLreahgIAABIFAAAO&#10;AAAAAAAAAAEAIAAAACcBAABkcnMvZTJvRG9jLnhtbFBLBQYAAAAABgAGAFkBAAAfBgAAAAA=&#10;">
                <v:fill type="pattern" on="t" color2="#FFFFFF" o:title="大棋盘" focussize="0,0" r:id="rId14"/>
                <v:stroke on="f" weight="2pt"/>
                <v:imagedata o:title=""/>
                <o:lock v:ext="edit" aspectratio="f"/>
              </v:rect>
            </w:pict>
          </mc:Fallback>
        </mc:AlternateContent>
      </w:r>
      <w:r>
        <w:rPr>
          <w:rFonts w:hint="eastAsia" w:eastAsia="宋体"/>
          <w:lang w:eastAsia="zh-CN"/>
        </w:rPr>
        <w:drawing>
          <wp:anchor distT="0" distB="0" distL="114300" distR="114300" simplePos="0" relativeHeight="251692032" behindDoc="0" locked="0" layoutInCell="1" allowOverlap="1">
            <wp:simplePos x="0" y="0"/>
            <wp:positionH relativeFrom="column">
              <wp:posOffset>-2559685</wp:posOffset>
            </wp:positionH>
            <wp:positionV relativeFrom="paragraph">
              <wp:posOffset>496570</wp:posOffset>
            </wp:positionV>
            <wp:extent cx="10667365" cy="7546975"/>
            <wp:effectExtent l="0" t="0" r="15875" b="635"/>
            <wp:wrapNone/>
            <wp:docPr id="87" name="图片 87" descr="Scan_20250708_102240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Scan_20250708_102240_003"/>
                    <pic:cNvPicPr>
                      <a:picLocks noChangeAspect="1"/>
                    </pic:cNvPicPr>
                  </pic:nvPicPr>
                  <pic:blipFill>
                    <a:blip r:embed="rId19"/>
                    <a:stretch>
                      <a:fillRect/>
                    </a:stretch>
                  </pic:blipFill>
                  <pic:spPr>
                    <a:xfrm rot="5400000">
                      <a:off x="0" y="0"/>
                      <a:ext cx="10667365" cy="7546975"/>
                    </a:xfrm>
                    <a:prstGeom prst="rect">
                      <a:avLst/>
                    </a:prstGeom>
                  </pic:spPr>
                </pic:pic>
              </a:graphicData>
            </a:graphic>
          </wp:anchor>
        </w:drawing>
      </w:r>
    </w:p>
    <w:p w14:paraId="5FDF77B6">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16608" behindDoc="0" locked="0" layoutInCell="1" allowOverlap="1">
                <wp:simplePos x="0" y="0"/>
                <wp:positionH relativeFrom="column">
                  <wp:posOffset>4062095</wp:posOffset>
                </wp:positionH>
                <wp:positionV relativeFrom="paragraph">
                  <wp:posOffset>1548765</wp:posOffset>
                </wp:positionV>
                <wp:extent cx="856615" cy="159385"/>
                <wp:effectExtent l="0" t="0" r="12065" b="635"/>
                <wp:wrapNone/>
                <wp:docPr id="113" name="矩形 113"/>
                <wp:cNvGraphicFramePr/>
                <a:graphic xmlns:a="http://schemas.openxmlformats.org/drawingml/2006/main">
                  <a:graphicData uri="http://schemas.microsoft.com/office/word/2010/wordprocessingShape">
                    <wps:wsp>
                      <wps:cNvSpPr/>
                      <wps:spPr>
                        <a:xfrm rot="16200000">
                          <a:off x="0" y="0"/>
                          <a:ext cx="856615"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85pt;margin-top:121.95pt;height:12.55pt;width:67.45pt;rotation:-5898240f;z-index:251716608;v-text-anchor:middle;mso-width-relative:page;mso-height-relative:page;" fillcolor="#4F81BD" filled="t" stroked="f" coordsize="21600,21600" o:gfxdata="UEsDBAoAAAAAAIdO4kAAAAAAAAAAAAAAAAAEAAAAZHJzL1BLAwQUAAAACACHTuJABdJ//NcAAAAL&#10;AQAADwAAAGRycy9kb3ducmV2LnhtbE2PsU7DMBCGdyTewTokNmqnrRIc4nRAYmBChC7drrFJosbn&#10;KHbT9u05Jhjv7tN/31/trn4Ui5vjEMhAtlIgHLXBDtQZ2H+9PT2DiAnJ4hjIGbi5CLv6/q7C0oYL&#10;fbqlSZ3gEIolGuhTmkopY9s7j3EVJkd8+w6zx8Tj3Ek744XD/SjXSuXS40D8ocfJvfauPTVnb6DJ&#10;Oo2HbCF8t/0tqrgvPvTJmMeHTL2ASO6a/mD41Wd1qNnpGM5koxgN5BtdMGpgvd1oEEwUxTYHceRN&#10;rhXIupL/O9Q/UEsDBBQAAAAIAIdO4kCABBf7hQIAABIFAAAOAAAAZHJzL2Uyb0RvYy54bWytVEtu&#10;2zAQ3RfoHQjuG1mO7TpG7MC14aJA0ARIi65pivqg/JWkLaeXKZBdD9HjFL1GHynFCdIssqgWwgzn&#10;6c3M44zOLw5Kkr1wvjF6TvOTASVCc1M0uprTz582b6aU+MB0waTRYk5vhacXi9evzls7E0NTG1kI&#10;R0Ci/ay1c1qHYGdZ5nktFPMnxgqNYGmcYgGuq7LCsRbsSmbDwWCStcYV1hkuvMfpugvSntG9hNCU&#10;ZcPF2vCdEjp0rE5IFtCSrxvr6SJVW5aCh6uy9CIQOafoNKQ3ksDexne2OGezyjFbN7wvgb2khCc9&#10;KdZoJD1SrVlgZOeaf6hUw53xpgwn3KisayQpgi7ywRNtbmpmReoFUnt7FN3/P1r+cX/tSFNgEvJT&#10;SjRTuPI/P37+/nVH4gn0aa2fAXZjr13veZix2UPpFHEGouYTXC2epAG6Iock8e1RYnEIhONwOp5M&#10;8jElHKF8fHY6HccUWccVOa3z4b0wikRjTh1uMJGy/aUPHfQekuAshE0jZQ+X1aoW/Gv6oqxWMpXp&#10;XbWFSfYMQzDaTPN36z7pEbJ9FrtJT4/tISjV9jljfqlJO6fD8Qi9E86wDyXmEKay0NTrihImKywa&#10;Dy5VpU0sF410ra6Zr7vCvJFN0eeSGppE3Tulo7U1xS1uKqmNVN7yTQOFLpkP18xhZnGIrQ5XeJXS&#10;oCjTW5TUxn1/7jziMUqIUtJiB1Dwtx1zghL5QWPIzvLRCLQhOaPx2yEc9ziyfRzRO7UyUDhP1SUz&#10;4oO8N0tn1Bcs/zJmRYhpjtydNL2zCt1u4vfBxXKZYFgUKH6pbyyP5FE5bZa7YMomDcSDOr1oWJU0&#10;Uv1ax1187CfUw69s8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F0n/81wAAAAsBAAAPAAAAAAAA&#10;AAEAIAAAACIAAABkcnMvZG93bnJldi54bWxQSwECFAAUAAAACACHTuJAgAQX+4UCAAASBQAADgAA&#10;AAAAAAABACAAAAAmAQAAZHJzL2Uyb0RvYy54bWxQSwUGAAAAAAYABgBZAQAAHQY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15584" behindDoc="0" locked="0" layoutInCell="1" allowOverlap="1">
                <wp:simplePos x="0" y="0"/>
                <wp:positionH relativeFrom="column">
                  <wp:posOffset>2691130</wp:posOffset>
                </wp:positionH>
                <wp:positionV relativeFrom="paragraph">
                  <wp:posOffset>1423670</wp:posOffset>
                </wp:positionV>
                <wp:extent cx="753110" cy="159385"/>
                <wp:effectExtent l="0" t="0" r="12065" b="8890"/>
                <wp:wrapNone/>
                <wp:docPr id="112" name="矩形 112"/>
                <wp:cNvGraphicFramePr/>
                <a:graphic xmlns:a="http://schemas.openxmlformats.org/drawingml/2006/main">
                  <a:graphicData uri="http://schemas.microsoft.com/office/word/2010/wordprocessingShape">
                    <wps:wsp>
                      <wps:cNvSpPr/>
                      <wps:spPr>
                        <a:xfrm rot="16200000">
                          <a:off x="0" y="0"/>
                          <a:ext cx="75311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9pt;margin-top:112.1pt;height:12.55pt;width:59.3pt;rotation:-5898240f;z-index:251715584;v-text-anchor:middle;mso-width-relative:page;mso-height-relative:page;" fillcolor="#4F81BD" filled="t" stroked="f" coordsize="21600,21600" o:gfxdata="UEsDBAoAAAAAAIdO4kAAAAAAAAAAAAAAAAAEAAAAZHJzL1BLAwQUAAAACACHTuJANDpap9cAAAAL&#10;AQAADwAAAGRycy9kb3ducmV2LnhtbE2PMU/DMBCFdyT+g3VIbNSOa6AJcTogMTAhQhe2a+zGUeNz&#10;FLtp++8xE4z37um979Xbix/ZYuc4BNJQrAQwS10wA/Uadl9vDxtgMSEZHANZDVcbYdvc3tRYmXCm&#10;T7u0qWc5hGKFGlxKU8V57Jz1GFdhspR/hzB7TPmce25mPOdwP3IpxBP3OFBucDjZV2e7Y3vyGtqi&#10;L/G7WAjfjbtGEXfPH+VR6/u7QrwAS/aS/szwi5/RoclM+3AiE9moQcl1Rk8apFQSWHY8KqmA7bOi&#10;yjXwpub/NzQ/UEsDBBQAAAAIAIdO4kBHEco7hAIAABIFAAAOAAAAZHJzL2Uyb0RvYy54bWytVEtu&#10;2zAQ3RfoHQjuG1mOnY8ROXBtuCgQNAHSomuaoj4ofyVpy+llCnTXQ/Q4Ra/RR0pxgjSLLKqFMMN5&#10;ejPzOKOLy72SZCecb40uaH40okRobspW1wX99HH95owSH5gumTRaFPROeHo5f/3qorMzMTaNkaVw&#10;BCTazzpb0CYEO8syzxuhmD8yVmgEK+MUC3BdnZWOdWBXMhuPRidZZ1xpneHCe5yu+iAdGN1LCE1V&#10;tVysDN8qoUPP6oRkAS35prWezlO1VSV4uK4qLwKRBUWnIb2RBPYmvrP5BZvVjtmm5UMJ7CUlPOlJ&#10;sVYj6YFqxQIjW9f+Q6Va7ow3VTjiRmV9I0kRdJGPnmhz2zArUi+Q2tuD6P7/0fIPuxtH2hKTkI8p&#10;0Uzhyv98//n71w8ST6BPZ/0MsFt74wbPw4zN7iuniDMQNT/B1eJJGqArsk8S3x0kFvtAOA5Pp8d5&#10;DvE5Qvn0/PhsGlNkPVfktM6Hd8IoEo2COtxgImW7Kx966D0kwVkI61bKAS7rZSP4l/RFVS9lKtO7&#10;egOT7BiGYLI+y9+uhqQHyOZZ7Do9A3aAoFQ75Iz5pSZdQcfTCXonnGEfKswhTGWhqdc1JUzWWDQe&#10;XKpKm1guGulbXTHf9IV5I9tyyCU1NIm690pHa2PKO9xUUhupvOXrFgpdMR9umMPM4hBbHa7xqqRB&#10;UWawKGmM+/bcecRjlBClpMMOoOCvW+YEJfK9xpCd55MJaENyJtPTMRz3OLJ5HNFbtTRQOE/VJTPi&#10;g7w3K2fUZyz/ImZFiGmO3L00g7MM/W7i98HFYpFgWBQofqVvLY/kUTltFttgqjYNxIM6g2hYlTRS&#10;w1rHXXzsJ9TDr2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DQ6WqfXAAAACwEAAA8AAAAAAAAA&#10;AQAgAAAAIgAAAGRycy9kb3ducmV2LnhtbFBLAQIUABQAAAAIAIdO4kBHEco7hAIAABIFAAAOAAAA&#10;AAAAAAEAIAAAACYBAABkcnMvZTJvRG9jLnhtbFBLBQYAAAAABgAGAFkBAAAcBgAAAAA=&#10;">
                <v:fill type="pattern" on="t" color2="#FFFFFF" o:title="大棋盘" focussize="0,0" r:id="rId14"/>
                <v:stroke on="f" weight="2pt"/>
                <v:imagedata o:title=""/>
                <o:lock v:ext="edit" aspectratio="f"/>
              </v:rect>
            </w:pict>
          </mc:Fallback>
        </mc:AlternateContent>
      </w:r>
      <w:r>
        <w:rPr>
          <w:rFonts w:hint="eastAsia" w:eastAsia="宋体"/>
          <w:lang w:eastAsia="zh-CN"/>
        </w:rPr>
        <w:drawing>
          <wp:anchor distT="0" distB="0" distL="114300" distR="114300" simplePos="0" relativeHeight="251693056" behindDoc="0" locked="0" layoutInCell="1" allowOverlap="1">
            <wp:simplePos x="0" y="0"/>
            <wp:positionH relativeFrom="column">
              <wp:posOffset>-2543810</wp:posOffset>
            </wp:positionH>
            <wp:positionV relativeFrom="paragraph">
              <wp:posOffset>494665</wp:posOffset>
            </wp:positionV>
            <wp:extent cx="10672445" cy="7550150"/>
            <wp:effectExtent l="0" t="0" r="12700" b="14605"/>
            <wp:wrapNone/>
            <wp:docPr id="88" name="图片 88" descr="Scan_20250708_102240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Scan_20250708_102240_004"/>
                    <pic:cNvPicPr>
                      <a:picLocks noChangeAspect="1"/>
                    </pic:cNvPicPr>
                  </pic:nvPicPr>
                  <pic:blipFill>
                    <a:blip r:embed="rId20"/>
                    <a:stretch>
                      <a:fillRect/>
                    </a:stretch>
                  </pic:blipFill>
                  <pic:spPr>
                    <a:xfrm rot="5400000">
                      <a:off x="0" y="0"/>
                      <a:ext cx="10672445" cy="7550150"/>
                    </a:xfrm>
                    <a:prstGeom prst="rect">
                      <a:avLst/>
                    </a:prstGeom>
                  </pic:spPr>
                </pic:pic>
              </a:graphicData>
            </a:graphic>
          </wp:anchor>
        </w:drawing>
      </w:r>
    </w:p>
    <w:p w14:paraId="681A0A36">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18656" behindDoc="0" locked="0" layoutInCell="1" allowOverlap="1">
                <wp:simplePos x="0" y="0"/>
                <wp:positionH relativeFrom="column">
                  <wp:posOffset>4272280</wp:posOffset>
                </wp:positionH>
                <wp:positionV relativeFrom="paragraph">
                  <wp:posOffset>623570</wp:posOffset>
                </wp:positionV>
                <wp:extent cx="753110" cy="159385"/>
                <wp:effectExtent l="0" t="0" r="8890" b="12065"/>
                <wp:wrapNone/>
                <wp:docPr id="115" name="矩形 115"/>
                <wp:cNvGraphicFramePr/>
                <a:graphic xmlns:a="http://schemas.openxmlformats.org/drawingml/2006/main">
                  <a:graphicData uri="http://schemas.microsoft.com/office/word/2010/wordprocessingShape">
                    <wps:wsp>
                      <wps:cNvSpPr/>
                      <wps:spPr>
                        <a:xfrm>
                          <a:off x="0" y="0"/>
                          <a:ext cx="75311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4pt;margin-top:49.1pt;height:12.55pt;width:59.3pt;z-index:251718656;v-text-anchor:middle;mso-width-relative:page;mso-height-relative:page;" fillcolor="#4F81BD" filled="t" stroked="f" coordsize="21600,21600" o:gfxdata="UEsDBAoAAAAAAIdO4kAAAAAAAAAAAAAAAAAEAAAAZHJzL1BLAwQUAAAACACHTuJAmxkmoNkAAAAK&#10;AQAADwAAAGRycy9kb3ducmV2LnhtbE2Py07DMBBF90j9B2sqsaPOo2rTEKdCFbAEUVjAzo2HJGCP&#10;Q+y+/p7pCpaje3TvmWp9clYccAy9JwXpLAGB1HjTU6vg7fXhpgARoiajrSdUcMYA63pyVenS+CO9&#10;4GEbW8ElFEqtoItxKKUMTYdOh5kfkDj79KPTkc+xlWbURy53VmZJspBO98QLnR5w02Hzvd07Be/N&#10;z5ed3z8XH+1AMn/aFI93Nih1PU2TWxART/EPhos+q0PNTju/JxOEVbBYZqweFayKDAQDy1U6B7Fj&#10;MstzkHUl/79Q/wJQSwMEFAAAAAgAh07iQMaqq9p/AgAAAwUAAA4AAABkcnMvZTJvRG9jLnhtbK1U&#10;wW4TMRC9I/EPlu90s2lC26ibKiQKQqpopYI4O157d4XXNraTTfkZpN74CD4H8Rs8e7dpVXrogRyc&#10;seftvJnnGZ9f7FtFdsL5xuiC5kcjSoTmpmx0VdDPn9ZvTinxgemSKaNFQW+Fpxfz16/OOzsTY1Mb&#10;VQpHEET7WWcLWodgZ1nmeS1a5o+MFRpOaVzLArauykrHOkRvVTYejd5mnXGldYYL73G66p10iOhe&#10;EtBI2XCxMnzbCh36qE4oFlCSrxvr6TxlK6Xg4UpKLwJRBUWlIa0ggb2JazY/Z7PKMVs3fEiBvSSF&#10;JzW1rNEgPYRascDI1jX/hGob7ow3Mhxx02Z9IUkRVJGPnmhzUzMrUi2Q2tuD6P7/heUfd9eONCU6&#10;IZ9SolmLK//z4+fvX3cknkCfzvoZYDf22g07DzMWu5eujf8og+yTprcHTcU+EI7Dk+lxnkNtDlc+&#10;PTs+TTGzh4+t8+G9MC2JRkEdriwpyXaXPoAQ0HtI5LIshHWj1ABX1bIW/Gv6QlZLlfLyrtrAJDuG&#10;W5+sT/N3q1gIIh0gm2ex6/QbsAMk8g+ckV9p0hV0PJ2MYlEMAyDReDBbCxG9rihhqsJk8eBSVtrE&#10;dEHf17Fivu4T80Y15cClNNKLQvfSRmtjyltcjTN9z3rL1w0UumQ+XDOHJgU/xjhcYZHKICkzWJTU&#10;xn1/7jzi0TvwUtKh6ZHwty1zghL1QaOrzvLJBGFD2kymJ2Ns3GPP5rFHb9ulgcI5HgzLkxnxQd2b&#10;0pn2C6Z9EVnhYpqDu5dm2CxDP4x4L7hYLBIMkwHFL/WN5TF4VE6bxTYY2aSGeFBnEA2zkW53mOM4&#10;fI/3CfXwds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sZJqDZAAAACgEAAA8AAAAAAAAAAQAg&#10;AAAAIgAAAGRycy9kb3ducmV2LnhtbFBLAQIUABQAAAAIAIdO4kDGqqvafwIAAAMFAAAOAAAAAAAA&#10;AAEAIAAAACgBAABkcnMvZTJvRG9jLnhtbFBLBQYAAAAABgAGAFkBAAAZ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17632" behindDoc="0" locked="0" layoutInCell="1" allowOverlap="1">
                <wp:simplePos x="0" y="0"/>
                <wp:positionH relativeFrom="column">
                  <wp:posOffset>1421130</wp:posOffset>
                </wp:positionH>
                <wp:positionV relativeFrom="paragraph">
                  <wp:posOffset>836295</wp:posOffset>
                </wp:positionV>
                <wp:extent cx="753110" cy="159385"/>
                <wp:effectExtent l="0" t="0" r="8890" b="12065"/>
                <wp:wrapNone/>
                <wp:docPr id="114" name="矩形 114"/>
                <wp:cNvGraphicFramePr/>
                <a:graphic xmlns:a="http://schemas.openxmlformats.org/drawingml/2006/main">
                  <a:graphicData uri="http://schemas.microsoft.com/office/word/2010/wordprocessingShape">
                    <wps:wsp>
                      <wps:cNvSpPr/>
                      <wps:spPr>
                        <a:xfrm>
                          <a:off x="0" y="0"/>
                          <a:ext cx="75311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9pt;margin-top:65.85pt;height:12.55pt;width:59.3pt;z-index:251717632;v-text-anchor:middle;mso-width-relative:page;mso-height-relative:page;" fillcolor="#4F81BD" filled="t" stroked="f" coordsize="21600,21600" o:gfxdata="UEsDBAoAAAAAAIdO4kAAAAAAAAAAAAAAAAAEAAAAZHJzL1BLAwQUAAAACACHTuJAhrEU/9kAAAAL&#10;AQAADwAAAGRycy9kb3ducmV2LnhtbE2PS0/DMBCE70j9D9YicaPOixKFOFVVAUcQhQPc3HhJQu11&#10;GrsP/j3LCY6zM5r5tl6enRVHnMLgSUE6T0Agtd4M1Cl4e324LkGEqMlo6wkVfGOAZTO7qHVl/Ile&#10;8LiJneASCpVW0Mc4VlKGtkenw9yPSOx9+snpyHLqpJn0icudlVmSLKTTA/FCr0dc99juNgen4L3d&#10;f9ni/rn86EaS+dO6fFzZoNTVZZrcgYh4jn9h+MVndGiYaesPZIKwCrIsZ/TIRp7eguBEXmQFiC1f&#10;bhYlyKaW/39ofgBQSwMEFAAAAAgAh07iQFP1Zax+AgAAAwUAAA4AAABkcnMvZTJvRG9jLnhtbK1U&#10;wW4TMRC9I/EPlu90s2lC26ibKiQKQqpopYI4O157d4XXNraTTfkZpN74CD4H8Rs8e7dpVXrogRw2&#10;Y8/zm5nnGZ9f7FtFdsL5xuiC5kcjSoTmpmx0VdDPn9ZvTinxgemSKaNFQW+Fpxfz16/OOzsTY1Mb&#10;VQpHQKL9rLMFrUOwsyzzvBYt80fGCg2nNK5lAUtXZaVjHdhblY1Ho7dZZ1xpneHCe+yueicdGN1L&#10;CI2UDRcrw7et0KFndUKxgJJ83VhP5ylbKQUPV1J6EYgqKCoN6YsgsDfxm83P2axyzNYNH1JgL0nh&#10;SU0tazSCHqhWLDCydc0/VG3DnfFGhiNu2qwvJCmCKvLRE21uamZFqgVSe3sQ3f8/Wv5xd+1IU6IT&#10;8gklmrW48j8/fv7+dUfiDvTprJ8BdmOv3bDyMGOxe+na+I8yyD5penvQVOwD4dg8mR7nOdTmcOXT&#10;s+PTaeTMHg5b58N7YVoSjYI6XFlSku0ufeih95AYy7IQ1o1SA1xVy1rwr+mErJYq5eVdtYFJdgy3&#10;Plmf5u9WQ9ADZPMsdp1+A3aAINX7mDG+0qQr6Hg6GcWiGAZAovFgthYiel1RwlSFyeLBpay0iemi&#10;EPCgwhXzdZ+YN6oph1hKQ5ModC9ttDamvMXVONP3rLd83eD8JfPhmjk0KeJjjMMVPlIZJGUGi5La&#10;uO/P7Uc8egdeSjo0PRL+tmVOUKI+aHTVWT6ZgDakxWR6MsbCPfZsHnv0tl0aKJzjwbA8mREf1L0p&#10;nWm/YNoXMSpcTHPE7qUZFsvQDyPeCy4WiwTDZEDxS31jeSSPymmz2AYjm9QQD+oMomE2UksNcxyH&#10;7/E6oR7ervl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rEU/9kAAAALAQAADwAAAAAAAAABACAA&#10;AAAiAAAAZHJzL2Rvd25yZXYueG1sUEsBAhQAFAAAAAgAh07iQFP1Zax+AgAAAwUAAA4AAAAAAAAA&#10;AQAgAAAAKAEAAGRycy9lMm9Eb2MueG1sUEsFBgAAAAAGAAYAWQEAABgGAAAAAA==&#10;">
                <v:fill type="pattern" on="t" color2="#FFFFFF" o:title="大棋盘" focussize="0,0" r:id="rId14"/>
                <v:stroke on="f" weight="2pt"/>
                <v:imagedata o:title=""/>
                <o:lock v:ext="edit" aspectratio="f"/>
              </v:rect>
            </w:pict>
          </mc:Fallback>
        </mc:AlternateContent>
      </w:r>
      <w:r>
        <w:rPr>
          <w:rFonts w:hint="eastAsia" w:eastAsia="宋体"/>
          <w:lang w:eastAsia="zh-CN"/>
        </w:rPr>
        <w:drawing>
          <wp:anchor distT="0" distB="0" distL="114300" distR="114300" simplePos="0" relativeHeight="251694080" behindDoc="0" locked="0" layoutInCell="1" allowOverlap="1">
            <wp:simplePos x="0" y="0"/>
            <wp:positionH relativeFrom="column">
              <wp:posOffset>-2555875</wp:posOffset>
            </wp:positionH>
            <wp:positionV relativeFrom="paragraph">
              <wp:posOffset>501015</wp:posOffset>
            </wp:positionV>
            <wp:extent cx="10692765" cy="7564120"/>
            <wp:effectExtent l="0" t="0" r="17780" b="13335"/>
            <wp:wrapNone/>
            <wp:docPr id="89" name="图片 89" descr="Scan_20250708_102240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Scan_20250708_102240_001"/>
                    <pic:cNvPicPr>
                      <a:picLocks noChangeAspect="1"/>
                    </pic:cNvPicPr>
                  </pic:nvPicPr>
                  <pic:blipFill>
                    <a:blip r:embed="rId21"/>
                    <a:stretch>
                      <a:fillRect/>
                    </a:stretch>
                  </pic:blipFill>
                  <pic:spPr>
                    <a:xfrm rot="5400000">
                      <a:off x="0" y="0"/>
                      <a:ext cx="10692765" cy="7564120"/>
                    </a:xfrm>
                    <a:prstGeom prst="rect">
                      <a:avLst/>
                    </a:prstGeom>
                  </pic:spPr>
                </pic:pic>
              </a:graphicData>
            </a:graphic>
          </wp:anchor>
        </w:drawing>
      </w:r>
    </w:p>
    <w:p w14:paraId="362FA92D">
      <w:pPr>
        <w:rPr>
          <w:rFonts w:hint="eastAsia" w:eastAsia="宋体"/>
          <w:lang w:eastAsia="zh-CN"/>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r>
        <w:rPr>
          <w:sz w:val="30"/>
        </w:rPr>
        <mc:AlternateContent>
          <mc:Choice Requires="wps">
            <w:drawing>
              <wp:anchor distT="0" distB="0" distL="114300" distR="114300" simplePos="0" relativeHeight="251721728" behindDoc="0" locked="0" layoutInCell="1" allowOverlap="1">
                <wp:simplePos x="0" y="0"/>
                <wp:positionH relativeFrom="column">
                  <wp:posOffset>2207260</wp:posOffset>
                </wp:positionH>
                <wp:positionV relativeFrom="paragraph">
                  <wp:posOffset>1066165</wp:posOffset>
                </wp:positionV>
                <wp:extent cx="1283970" cy="143510"/>
                <wp:effectExtent l="0" t="0" r="11430" b="8890"/>
                <wp:wrapNone/>
                <wp:docPr id="118" name="矩形 118"/>
                <wp:cNvGraphicFramePr/>
                <a:graphic xmlns:a="http://schemas.openxmlformats.org/drawingml/2006/main">
                  <a:graphicData uri="http://schemas.microsoft.com/office/word/2010/wordprocessingShape">
                    <wps:wsp>
                      <wps:cNvSpPr/>
                      <wps:spPr>
                        <a:xfrm>
                          <a:off x="0" y="0"/>
                          <a:ext cx="1283970" cy="14351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8pt;margin-top:83.95pt;height:11.3pt;width:101.1pt;z-index:251721728;v-text-anchor:middle;mso-width-relative:page;mso-height-relative:page;" fillcolor="#4F81BD" filled="t" stroked="f" coordsize="21600,21600" o:gfxdata="UEsDBAoAAAAAAIdO4kAAAAAAAAAAAAAAAAAEAAAAZHJzL1BLAwQUAAAACACHTuJAFmCA7tkAAAAL&#10;AQAADwAAAGRycy9kb3ducmV2LnhtbE2PzU7DMBCE70i8g7VI3KhdmqZJiFOhCjhSUXooNzdZkoC9&#10;DrH7w9uznOC4M59mZ8rl2VlxxDH0njRMJwoEUu2bnloN29fHmwxEiIYaYz2hhm8MsKwuL0pTNP5E&#10;L3jcxFZwCIXCaOhiHAopQ92hM2HiByT23v3oTORzbGUzmhOHOytvlUqlMz3xh84MuOqw/twcnIZd&#10;/fVhk4d19tYOJGfPq+zp3gatr6+m6g5ExHP8g+G3PleHijvt/YGaIKyGWbJIGWUjXeQgmJgnOY/Z&#10;s5KrOciqlP83VD9QSwMEFAAAAAgAh07iQD1e4nl+AgAABAUAAA4AAABkcnMvZTJvRG9jLnhtbK1U&#10;zW4TMRC+I/EOlu90s2kKbdRNFRIFIVW0UkGcHa+9u8J/2M5PeRkkbjwEj4N4DT57t2lVeuiBHJwZ&#10;z7fz882Mzy/2WpGt8KGzpqLl0YgSYbitO9NU9NPH1atTSkJkpmbKGlHRWxHoxezli/Odm4qxba2q&#10;hSdwYsJ05yraxuimRRF4KzQLR9YJA6O0XrMI1TdF7dkO3rUqxqPR62Jnfe285SIE3C57Ix08+uc4&#10;tFJ2XCwt32hhYu/VC8UiSgpt5wKd5WylFDxeSRlEJKqiqDTmE0Egr9NZzM7ZtPHMtR0fUmDPSeFR&#10;TZp1BkEPrpYsMrLx3T+udMe9DVbGI2510ReSGUEV5egRNzctcyLXAqqDO5Ae/p9b/mF77UlXYxJK&#10;NN4wjZb/+f7z968fJN2An50LU8Bu3LUftAAxFbuXXqd/lEH2mdPbA6diHwnHZTk+PT57A7o5bOXk&#10;+KTMpBf3Xzsf4jthNUlCRT16lqlk28sQERHQO0gK5liMq06pAa6aRSv4l/yFbBYqJxZ8s4ZItgxt&#10;n6xOy7fLVAk8HSDrJ7Gr/BuwAyTFH2Km+MqQXUXHJ5NRKophAyQmD6J2YDGYhhKmGqwWjz5nZWxK&#10;F+H7OpYstH1iwaquHmIpg/QS0z23SVrb+ha98bYf2uD4qgNDlyzEa+YxpYiPPY5XOKSySMoOEiWt&#10;9d+euk94DA+slOww9Uj464Z5QYl6bzBWZ+VkArcxK5OTN2Mo/qFl/dBiNnphwXCJF8PxLCZ8VHei&#10;9FZ/xrrPU1SYmOGI3VMzKIvYbyMeDC7m8wzDaoDxS3PjeHKemDN2volWdnkg7tkZSMNy5O4Oi5y2&#10;76GeUfeP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FmCA7tkAAAALAQAADwAAAAAAAAABACAA&#10;AAAiAAAAZHJzL2Rvd25yZXYueG1sUEsBAhQAFAAAAAgAh07iQD1e4nl+AgAABAUAAA4AAAAAAAAA&#10;AQAgAAAAKA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0704" behindDoc="0" locked="0" layoutInCell="1" allowOverlap="1">
                <wp:simplePos x="0" y="0"/>
                <wp:positionH relativeFrom="column">
                  <wp:posOffset>4294505</wp:posOffset>
                </wp:positionH>
                <wp:positionV relativeFrom="paragraph">
                  <wp:posOffset>598170</wp:posOffset>
                </wp:positionV>
                <wp:extent cx="753110" cy="159385"/>
                <wp:effectExtent l="0" t="0" r="8890" b="12065"/>
                <wp:wrapNone/>
                <wp:docPr id="117" name="矩形 117"/>
                <wp:cNvGraphicFramePr/>
                <a:graphic xmlns:a="http://schemas.openxmlformats.org/drawingml/2006/main">
                  <a:graphicData uri="http://schemas.microsoft.com/office/word/2010/wordprocessingShape">
                    <wps:wsp>
                      <wps:cNvSpPr/>
                      <wps:spPr>
                        <a:xfrm>
                          <a:off x="0" y="0"/>
                          <a:ext cx="75311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8.15pt;margin-top:47.1pt;height:12.55pt;width:59.3pt;z-index:251720704;v-text-anchor:middle;mso-width-relative:page;mso-height-relative:page;" fillcolor="#4F81BD" filled="t" stroked="f" coordsize="21600,21600" o:gfxdata="UEsDBAoAAAAAAIdO4kAAAAAAAAAAAAAAAAAEAAAAZHJzL1BLAwQUAAAACACHTuJA0CEiWdkAAAAK&#10;AQAADwAAAGRycy9kb3ducmV2LnhtbE2Py07DMBBF90j8gzVI7KiTJkqTEKdCFbAEUVjAzo2HJGCP&#10;Q+w++HuGFSxH9+jeM8365Kw44BxGTwrSRQICqfNmpF7By/PdVQkiRE1GW0+o4BsDrNvzs0bXxh/p&#10;CQ/b2AsuoVBrBUOMUy1l6AZ0Oiz8hMTZu5+djnzOvTSzPnK5s3KZJIV0eiReGPSEmwG7z+3eKXjt&#10;vj5sfvtYvvUTyexhU97f2KDU5UWaXIOIeIp/MPzqszq07LTzezJBWAXFqsgYVVDlSxAMrKq8ArFj&#10;Mq0ykG0j/7/Q/gBQSwMEFAAAAAgAh07iQOwVNzd+AgAAAwUAAA4AAABkcnMvZTJvRG9jLnhtbK1U&#10;wW4TMRC9I/EPlu90s2lC26ibKiQKQqpopYI4O157d4XXNraTTfkZpN74CD4H8Rs8e7dpVXrogRw2&#10;Y8/zm5nnGZ9f7FtFdsL5xuiC5kcjSoTmpmx0VdDPn9ZvTinxgemSKaNFQW+Fpxfz16/OOzsTY1Mb&#10;VQpHQKL9rLMFrUOwsyzzvBYt80fGCg2nNK5lAUtXZaVjHdhblY1Ho7dZZ1xpneHCe+yueicdGN1L&#10;CI2UDRcrw7et0KFndUKxgJJ83VhP5ylbKQUPV1J6EYgqKCoN6YsgsDfxm83P2axyzNYNH1JgL0nh&#10;SU0tazSCHqhWLDCydc0/VG3DnfFGhiNu2qwvJCmCKvLRE21uamZFqgVSe3sQ3f8/Wv5xd+1IU6IT&#10;8hNKNGtx5X9+/Pz9647EHejTWT8D7MZeu2HlYcZi99K18R9lkH3S9PagqdgHwrF5Mj3Oc6jN4cqn&#10;Z8en08iZPRy2zof3wrQkGgV1uLKkJNtd+tBD7yExlmUhrBulBriqlrXgX9MJWS1Vysu7agOT7Bhu&#10;fbI+zd+thqAHyOZZ7Dr9BuwAQar3MWN8pUlX0PF0MopFMQyAROPBbC1E9LqihKkKk8WDS1lpE9NF&#10;IeBBhSvm6z4xb1RTDrGUhiZR6F7aaG1MeYurcabvWW/5usH5S+bDNXNoUsTHGIcrfKQySMoMFiW1&#10;cd+f24949A68lHRoeiT8bcucoER90Oiqs3wyAW1Ii8n0ZIyFe+zZPPbobbs0UDjHg2F5MiM+qHtT&#10;OtN+wbQvYlS4mOaI3UszLJahH0a8F1wsFgmGyYDil/rG8kgeldNmsQ1GNqkhHtQZRMNspJYa5jgO&#10;3+N1Qj28Xf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0CEiWdkAAAAKAQAADwAAAAAAAAABACAA&#10;AAAiAAAAZHJzL2Rvd25yZXYueG1sUEsBAhQAFAAAAAgAh07iQOwVNzd+AgAAAwUAAA4AAAAAAAAA&#10;AQAgAAAAKA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19680" behindDoc="0" locked="0" layoutInCell="1" allowOverlap="1">
                <wp:simplePos x="0" y="0"/>
                <wp:positionH relativeFrom="column">
                  <wp:posOffset>1444625</wp:posOffset>
                </wp:positionH>
                <wp:positionV relativeFrom="paragraph">
                  <wp:posOffset>804545</wp:posOffset>
                </wp:positionV>
                <wp:extent cx="753110" cy="159385"/>
                <wp:effectExtent l="0" t="0" r="8890" b="12065"/>
                <wp:wrapNone/>
                <wp:docPr id="116" name="矩形 116"/>
                <wp:cNvGraphicFramePr/>
                <a:graphic xmlns:a="http://schemas.openxmlformats.org/drawingml/2006/main">
                  <a:graphicData uri="http://schemas.microsoft.com/office/word/2010/wordprocessingShape">
                    <wps:wsp>
                      <wps:cNvSpPr/>
                      <wps:spPr>
                        <a:xfrm>
                          <a:off x="0" y="0"/>
                          <a:ext cx="753110" cy="159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75pt;margin-top:63.35pt;height:12.55pt;width:59.3pt;z-index:251719680;v-text-anchor:middle;mso-width-relative:page;mso-height-relative:page;" fillcolor="#4F81BD" filled="t" stroked="f" coordsize="21600,21600" o:gfxdata="UEsDBAoAAAAAAIdO4kAAAAAAAAAAAAAAAAAEAAAAZHJzL1BLAwQUAAAACACHTuJAeYIoe9kAAAAL&#10;AQAADwAAAGRycy9kb3ducmV2LnhtbE2PTU/DMAyG75P2HyJP4ral7bauKk0nNAFHEIMD3LLGtIXE&#10;KU32wb/HnOBov49eP662F2fFCcfQe1KQLhIQSI03PbUKXp7v5gWIEDUZbT2hgm8MsK2nk0qXxp/p&#10;CU/72AouoVBqBV2MQyllaDp0Oiz8gMTZux+djjyOrTSjPnO5szJLklw63RNf6PSAuw6bz/3RKXht&#10;vj7s6vaxeGsHksuHXXF/Y4NSV7M0uQYR8RL/YPjVZ3Wo2engj2SCsAqybLNmlIMs34BgYrnKUxAH&#10;3qzTAmRdyf8/1D9QSwMEFAAAAAgAh07iQHlK+UF/AgAAAwUAAA4AAABkcnMvZTJvRG9jLnhtbK1U&#10;S27bMBDdF+gdCO4bWY6djxE5cG24KBA0AdKia5oiJaEUyZK05fQyBbrrIXqcotfoI6U4QZpFFvVC&#10;HnIe38w8zvDict8qshPON0YXND8aUSI0N2Wjq4J++rh+c0aJD0yXTBktCnonPL2cv3510dmZGJva&#10;qFI4AhLtZ50taB2CnWWZ57VomT8yVmg4pXEtC1i6Kisd68Deqmw8Gp1knXGldYYL77G76p10YHQv&#10;ITRSNlysDN+2Qoee1QnFAkrydWM9nadspRQ8XEvpRSCqoKg0pC+CwN7Ebza/YLPKMVs3fEiBvSSF&#10;JzW1rNEIeqBascDI1jX/ULUNd8YbGY64abO+kKQIqshHT7S5rZkVqRZI7e1BdP//aPmH3Y0jTYlO&#10;yE8o0azFlf/5/vP3rx8k7kCfzvoZYLf2xg0rDzMWu5eujf8og+yTpncHTcU+EI7N0+lxnkNtDlc+&#10;PT8+m0bO7OGwdT68E6Yl0Siow5UlJdnuyoceeg+JsSwLYd0oNcBVtawF/5JOyGqpUl7eVRuYZMdw&#10;65P1Wf52NQQ9QDbPYtfpN2AHCFK9jxnjK026go6nk1EsimEAJBoPZmshotcVJUxVmCweXMpKm5gu&#10;CgEPKlwxX/eJeaOacoilNDSJQvfSRmtjyjtcjTN9z3rL1w3OXzEfbphDkyI+xjhc4yOVQVJmsCip&#10;jfv23H7Eo3fgpaRD0yPhr1vmBCXqvUZXneeTCWhDWkymp2Ms3GPP5rFHb9ulgcI5HgzLkxnxQd2b&#10;0pn2M6Z9EaPCxTRH7F6aYbEM/TDiveBisUgwTAYUv9K3lkfyqJw2i20wskkN8aDOIBpmI7XUMMdx&#10;+B6vE+rh7Zr/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mCKHvZAAAACwEAAA8AAAAAAAAAAQAg&#10;AAAAIgAAAGRycy9kb3ducmV2LnhtbFBLAQIUABQAAAAIAIdO4kB5SvlBfwIAAAMFAAAOAAAAAAAA&#10;AAEAIAAAACgBAABkcnMvZTJvRG9jLnhtbFBLBQYAAAAABgAGAFkBAAAZBgAAAAA=&#10;">
                <v:fill type="pattern" on="t" color2="#FFFFFF" o:title="大棋盘" focussize="0,0" r:id="rId14"/>
                <v:stroke on="f" weight="2pt"/>
                <v:imagedata o:title=""/>
                <o:lock v:ext="edit" aspectratio="f"/>
              </v:rect>
            </w:pict>
          </mc:Fallback>
        </mc:AlternateContent>
      </w:r>
      <w:r>
        <w:rPr>
          <w:rFonts w:hint="eastAsia" w:eastAsia="宋体"/>
          <w:lang w:eastAsia="zh-CN"/>
        </w:rPr>
        <w:drawing>
          <wp:anchor distT="0" distB="0" distL="114300" distR="114300" simplePos="0" relativeHeight="251695104" behindDoc="0" locked="0" layoutInCell="1" allowOverlap="1">
            <wp:simplePos x="0" y="0"/>
            <wp:positionH relativeFrom="column">
              <wp:posOffset>-2557780</wp:posOffset>
            </wp:positionH>
            <wp:positionV relativeFrom="paragraph">
              <wp:posOffset>486410</wp:posOffset>
            </wp:positionV>
            <wp:extent cx="10706100" cy="7574280"/>
            <wp:effectExtent l="0" t="0" r="7620" b="0"/>
            <wp:wrapNone/>
            <wp:docPr id="90" name="图片 90" descr="Scan_20250708_10224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Scan_20250708_102240_002"/>
                    <pic:cNvPicPr>
                      <a:picLocks noChangeAspect="1"/>
                    </pic:cNvPicPr>
                  </pic:nvPicPr>
                  <pic:blipFill>
                    <a:blip r:embed="rId22"/>
                    <a:stretch>
                      <a:fillRect/>
                    </a:stretch>
                  </pic:blipFill>
                  <pic:spPr>
                    <a:xfrm rot="5400000">
                      <a:off x="0" y="0"/>
                      <a:ext cx="10706100" cy="7574280"/>
                    </a:xfrm>
                    <a:prstGeom prst="rect">
                      <a:avLst/>
                    </a:prstGeom>
                  </pic:spPr>
                </pic:pic>
              </a:graphicData>
            </a:graphic>
          </wp:anchor>
        </w:drawing>
      </w:r>
    </w:p>
    <w:p w14:paraId="35C2B573">
      <w:pPr>
        <w:pStyle w:val="10"/>
        <w:widowControl w:val="0"/>
        <w:wordWrap/>
        <w:autoSpaceDE w:val="0"/>
        <w:autoSpaceDN w:val="0"/>
        <w:adjustRightInd/>
        <w:snapToGrid/>
        <w:spacing w:before="0"/>
        <w:ind w:left="0" w:right="0"/>
        <w:jc w:val="center"/>
        <w:textAlignment w:val="auto"/>
      </w:pPr>
      <w:r>
        <w:t>一、建设项目基本情况</w:t>
      </w:r>
    </w:p>
    <w:tbl>
      <w:tblPr>
        <w:tblStyle w:val="23"/>
        <w:tblW w:w="8794"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385"/>
        <w:gridCol w:w="416"/>
        <w:gridCol w:w="2334"/>
        <w:gridCol w:w="1744"/>
        <w:gridCol w:w="2915"/>
      </w:tblGrid>
      <w:tr w14:paraId="3C3299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1801" w:type="dxa"/>
            <w:gridSpan w:val="2"/>
            <w:tcBorders>
              <w:bottom w:val="single" w:color="000000" w:sz="4" w:space="0"/>
              <w:right w:val="single" w:color="000000" w:sz="4" w:space="0"/>
            </w:tcBorders>
            <w:vAlign w:val="center"/>
          </w:tcPr>
          <w:p w14:paraId="313A65BA">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建设项目名称</w:t>
            </w:r>
          </w:p>
        </w:tc>
        <w:tc>
          <w:tcPr>
            <w:tcW w:w="6993" w:type="dxa"/>
            <w:gridSpan w:val="3"/>
            <w:tcBorders>
              <w:left w:val="single" w:color="000000" w:sz="4" w:space="0"/>
              <w:bottom w:val="single" w:color="000000" w:sz="4" w:space="0"/>
            </w:tcBorders>
            <w:vAlign w:val="center"/>
          </w:tcPr>
          <w:p w14:paraId="74E470AD">
            <w:pPr>
              <w:pStyle w:val="3"/>
              <w:widowControl w:val="0"/>
              <w:tabs>
                <w:tab w:val="left" w:pos="7977"/>
              </w:tabs>
              <w:wordWrap/>
              <w:autoSpaceDE w:val="0"/>
              <w:adjustRightInd/>
              <w:snapToGrid/>
              <w:spacing w:before="0" w:beforeAutospacing="0" w:after="0" w:afterAutospacing="0" w:line="400" w:lineRule="exact"/>
              <w:ind w:left="0" w:right="0" w:firstLine="0" w:firstLineChars="0"/>
              <w:jc w:val="center"/>
              <w:textAlignment w:val="auto"/>
              <w:outlineLvl w:val="1"/>
              <w:rPr>
                <w:rFonts w:hint="default" w:ascii="Times New Roman" w:hAnsi="Times New Roman" w:cs="Times New Roman"/>
                <w:color w:val="000000" w:themeColor="text1"/>
                <w:sz w:val="24"/>
                <w:szCs w:val="24"/>
                <w:u w:val="none"/>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年产10000件模特头项目</w:t>
            </w:r>
          </w:p>
        </w:tc>
      </w:tr>
      <w:tr w14:paraId="2F0306F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1801" w:type="dxa"/>
            <w:gridSpan w:val="2"/>
            <w:tcBorders>
              <w:top w:val="single" w:color="000000" w:sz="4" w:space="0"/>
              <w:bottom w:val="single" w:color="000000" w:sz="4" w:space="0"/>
              <w:right w:val="single" w:color="000000" w:sz="4" w:space="0"/>
            </w:tcBorders>
            <w:vAlign w:val="center"/>
          </w:tcPr>
          <w:p w14:paraId="02BAD61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项目代码</w:t>
            </w:r>
          </w:p>
        </w:tc>
        <w:tc>
          <w:tcPr>
            <w:tcW w:w="6993" w:type="dxa"/>
            <w:gridSpan w:val="3"/>
            <w:tcBorders>
              <w:top w:val="single" w:color="000000" w:sz="4" w:space="0"/>
              <w:left w:val="single" w:color="000000" w:sz="4" w:space="0"/>
              <w:bottom w:val="single" w:color="000000" w:sz="4" w:space="0"/>
            </w:tcBorders>
            <w:vAlign w:val="center"/>
          </w:tcPr>
          <w:p w14:paraId="5E0A69DA">
            <w:pPr>
              <w:keepNext w:val="0"/>
              <w:keepLines w:val="0"/>
              <w:widowControl/>
              <w:suppressLineNumbers w:val="0"/>
              <w:spacing w:beforeAutospacing="0" w:afterAutospacing="0"/>
              <w:jc w:val="center"/>
              <w:rPr>
                <w:rFonts w:hint="default" w:ascii="Times New Roman" w:hAnsi="Times New Roman" w:eastAsia="宋体" w:cs="Times New Roman"/>
                <w:color w:val="C00000"/>
                <w:sz w:val="24"/>
                <w:szCs w:val="24"/>
                <w:u w:val="none"/>
                <w:lang w:val="en-US" w:eastAsia="zh-CN"/>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2504-411053-04-01-946047</w:t>
            </w:r>
          </w:p>
        </w:tc>
      </w:tr>
      <w:tr w14:paraId="1CF63B6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gridSpan w:val="2"/>
            <w:tcBorders>
              <w:top w:val="single" w:color="000000" w:sz="4" w:space="0"/>
              <w:bottom w:val="single" w:color="000000" w:sz="4" w:space="0"/>
              <w:right w:val="single" w:color="000000" w:sz="4" w:space="0"/>
            </w:tcBorders>
            <w:vAlign w:val="center"/>
          </w:tcPr>
          <w:p w14:paraId="0C3ED347">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建设单位联系人</w:t>
            </w:r>
          </w:p>
        </w:tc>
        <w:tc>
          <w:tcPr>
            <w:tcW w:w="2334" w:type="dxa"/>
            <w:tcBorders>
              <w:top w:val="single" w:color="000000" w:sz="4" w:space="0"/>
              <w:left w:val="single" w:color="000000" w:sz="4" w:space="0"/>
              <w:bottom w:val="single" w:color="000000" w:sz="4" w:space="0"/>
              <w:right w:val="single" w:color="000000" w:sz="4" w:space="0"/>
            </w:tcBorders>
            <w:vAlign w:val="center"/>
          </w:tcPr>
          <w:p w14:paraId="42F5F529">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r>
              <w:rPr>
                <w:rFonts w:hint="default" w:ascii="Times New Roman" w:hAnsi="Times New Roman" w:eastAsia="宋体" w:cs="Times New Roman"/>
                <w:sz w:val="24"/>
                <w:szCs w:val="24"/>
                <w:u w:val="none"/>
              </w:rPr>
              <w:fldChar w:fldCharType="begin"/>
            </w:r>
            <w:r>
              <w:rPr>
                <w:rFonts w:hint="default" w:ascii="Times New Roman" w:hAnsi="Times New Roman" w:eastAsia="宋体" w:cs="Times New Roman"/>
                <w:sz w:val="24"/>
                <w:szCs w:val="24"/>
                <w:u w:val="none"/>
              </w:rPr>
              <w:instrText xml:space="preserve"> HYPERLINK "https://aiqicha.baidu.com/person?personId=f93e4c7c5e06985f8ec5802410b94fe8&amp;subtab=personal-allenterprises&amp;entry=2116" \t "https://aiqicha.baidu.com/detail/_blank" </w:instrText>
            </w:r>
            <w:r>
              <w:rPr>
                <w:rFonts w:hint="default" w:ascii="Times New Roman" w:hAnsi="Times New Roman" w:eastAsia="宋体" w:cs="Times New Roman"/>
                <w:sz w:val="24"/>
                <w:szCs w:val="24"/>
                <w:u w:val="none"/>
              </w:rPr>
              <w:fldChar w:fldCharType="separate"/>
            </w:r>
            <w:r>
              <w:rPr>
                <w:rFonts w:hint="default" w:ascii="Times New Roman" w:hAnsi="Times New Roman" w:eastAsia="宋体" w:cs="Times New Roman"/>
                <w:sz w:val="24"/>
                <w:szCs w:val="24"/>
                <w:u w:val="none"/>
              </w:rPr>
              <w:fldChar w:fldCharType="end"/>
            </w:r>
          </w:p>
        </w:tc>
        <w:tc>
          <w:tcPr>
            <w:tcW w:w="1744" w:type="dxa"/>
            <w:tcBorders>
              <w:top w:val="single" w:color="000000" w:sz="4" w:space="0"/>
              <w:left w:val="single" w:color="000000" w:sz="4" w:space="0"/>
              <w:bottom w:val="single" w:color="000000" w:sz="4" w:space="0"/>
              <w:right w:val="single" w:color="000000" w:sz="4" w:space="0"/>
            </w:tcBorders>
            <w:vAlign w:val="center"/>
          </w:tcPr>
          <w:p w14:paraId="12962EF9">
            <w:pPr>
              <w:pStyle w:val="44"/>
              <w:widowControl w:val="0"/>
              <w:wordWrap/>
              <w:autoSpaceDE w:val="0"/>
              <w:adjustRightInd/>
              <w:snapToGrid/>
              <w:spacing w:before="0" w:beforeAutospacing="0" w:afterAutospacing="0" w:line="400" w:lineRule="exact"/>
              <w:ind w:lef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联系方式</w:t>
            </w:r>
          </w:p>
        </w:tc>
        <w:tc>
          <w:tcPr>
            <w:tcW w:w="2915" w:type="dxa"/>
            <w:tcBorders>
              <w:top w:val="single" w:color="000000" w:sz="4" w:space="0"/>
              <w:left w:val="single" w:color="000000" w:sz="4" w:space="0"/>
              <w:bottom w:val="single" w:color="000000" w:sz="4" w:space="0"/>
            </w:tcBorders>
            <w:vAlign w:val="center"/>
          </w:tcPr>
          <w:p w14:paraId="6687B933">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1383***160</w:t>
            </w:r>
          </w:p>
        </w:tc>
      </w:tr>
      <w:tr w14:paraId="76248A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1" w:hRule="atLeast"/>
          <w:jc w:val="center"/>
        </w:trPr>
        <w:tc>
          <w:tcPr>
            <w:tcW w:w="1801" w:type="dxa"/>
            <w:gridSpan w:val="2"/>
            <w:tcBorders>
              <w:top w:val="single" w:color="000000" w:sz="4" w:space="0"/>
              <w:bottom w:val="single" w:color="000000" w:sz="4" w:space="0"/>
              <w:right w:val="single" w:color="000000" w:sz="4" w:space="0"/>
            </w:tcBorders>
            <w:vAlign w:val="center"/>
          </w:tcPr>
          <w:p w14:paraId="59ED761E">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建设地点</w:t>
            </w:r>
          </w:p>
        </w:tc>
        <w:tc>
          <w:tcPr>
            <w:tcW w:w="6993" w:type="dxa"/>
            <w:gridSpan w:val="3"/>
            <w:tcBorders>
              <w:top w:val="single" w:color="000000" w:sz="4" w:space="0"/>
              <w:left w:val="single" w:color="000000" w:sz="4" w:space="0"/>
              <w:bottom w:val="single" w:color="000000" w:sz="4" w:space="0"/>
            </w:tcBorders>
            <w:vAlign w:val="center"/>
          </w:tcPr>
          <w:p w14:paraId="5EE80702">
            <w:pPr>
              <w:pStyle w:val="44"/>
              <w:widowControl w:val="0"/>
              <w:wordWrap/>
              <w:autoSpaceDE w:val="0"/>
              <w:adjustRightInd/>
              <w:snapToGrid/>
              <w:spacing w:before="0" w:beforeAutospacing="0" w:afterAutospacing="0" w:line="400" w:lineRule="exact"/>
              <w:ind w:left="0"/>
              <w:jc w:val="center"/>
              <w:textAlignment w:val="auto"/>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河南省许昌市魏都区滨河路与万通路交叉口先进制造业开发区2号</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（许昌宜航卫生用品有限公司院内）</w:t>
            </w:r>
          </w:p>
        </w:tc>
      </w:tr>
      <w:tr w14:paraId="79BE33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0" w:hRule="atLeast"/>
          <w:jc w:val="center"/>
        </w:trPr>
        <w:tc>
          <w:tcPr>
            <w:tcW w:w="1801" w:type="dxa"/>
            <w:gridSpan w:val="2"/>
            <w:tcBorders>
              <w:top w:val="single" w:color="000000" w:sz="4" w:space="0"/>
              <w:bottom w:val="single" w:color="000000" w:sz="4" w:space="0"/>
              <w:right w:val="single" w:color="000000" w:sz="4" w:space="0"/>
            </w:tcBorders>
            <w:vAlign w:val="center"/>
          </w:tcPr>
          <w:p w14:paraId="4B27945B">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地理坐标</w:t>
            </w:r>
          </w:p>
        </w:tc>
        <w:tc>
          <w:tcPr>
            <w:tcW w:w="6993" w:type="dxa"/>
            <w:gridSpan w:val="3"/>
            <w:tcBorders>
              <w:top w:val="single" w:color="000000" w:sz="4" w:space="0"/>
              <w:left w:val="single" w:color="000000" w:sz="4" w:space="0"/>
              <w:bottom w:val="single" w:color="000000" w:sz="4" w:space="0"/>
            </w:tcBorders>
            <w:vAlign w:val="center"/>
          </w:tcPr>
          <w:p w14:paraId="053C9CBA">
            <w:pPr>
              <w:pStyle w:val="44"/>
              <w:widowControl w:val="0"/>
              <w:wordWrap/>
              <w:autoSpaceDE w:val="0"/>
              <w:adjustRightInd/>
              <w:snapToGrid/>
              <w:spacing w:before="0" w:beforeAutospacing="0" w:afterAutospacing="0" w:line="400" w:lineRule="exact"/>
              <w:ind w:left="0"/>
              <w:jc w:val="center"/>
              <w:textAlignment w:val="auto"/>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113</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49</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5.571</w:t>
            </w:r>
            <w:r>
              <w:rPr>
                <w:rFonts w:hint="default" w:ascii="Times New Roman" w:hAnsi="Times New Roman" w:cs="Times New Roman"/>
                <w:color w:val="000000" w:themeColor="text1"/>
                <w:sz w:val="24"/>
                <w:szCs w:val="24"/>
                <w:u w:val="none"/>
                <w14:textFill>
                  <w14:solidFill>
                    <w14:schemeClr w14:val="tx1"/>
                  </w14:solidFill>
                </w14:textFill>
              </w:rPr>
              <w:t xml:space="preserve"> 秒，</w:t>
            </w:r>
            <w:r>
              <w:rPr>
                <w:rFonts w:hint="default" w:ascii="Times New Roman" w:hAnsi="Times New Roman" w:cs="Times New Roman"/>
                <w:color w:val="000000" w:themeColor="text1"/>
                <w:sz w:val="24"/>
                <w:szCs w:val="24"/>
                <w:u w:val="none"/>
                <w:lang w:val="en-US" w:eastAsia="zh-CN"/>
                <w14:textFill>
                  <w14:solidFill>
                    <w14:schemeClr w14:val="tx1"/>
                  </w14:solidFill>
                </w14:textFill>
              </w:rPr>
              <w:t>34</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04</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11.622</w:t>
            </w:r>
            <w:r>
              <w:rPr>
                <w:rFonts w:hint="default" w:ascii="Times New Roman" w:hAnsi="Times New Roman" w:cs="Times New Roman"/>
                <w:color w:val="000000" w:themeColor="text1"/>
                <w:sz w:val="24"/>
                <w:szCs w:val="24"/>
                <w:u w:val="none"/>
                <w14:textFill>
                  <w14:solidFill>
                    <w14:schemeClr w14:val="tx1"/>
                  </w14:solidFill>
                </w14:textFill>
              </w:rPr>
              <w:t>秒）</w:t>
            </w:r>
          </w:p>
        </w:tc>
      </w:tr>
      <w:tr w14:paraId="281D4A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0" w:hRule="atLeast"/>
          <w:jc w:val="center"/>
        </w:trPr>
        <w:tc>
          <w:tcPr>
            <w:tcW w:w="1801" w:type="dxa"/>
            <w:gridSpan w:val="2"/>
            <w:tcBorders>
              <w:top w:val="single" w:color="000000" w:sz="4" w:space="0"/>
              <w:bottom w:val="single" w:color="000000" w:sz="4" w:space="0"/>
              <w:right w:val="single" w:color="000000" w:sz="4" w:space="0"/>
            </w:tcBorders>
            <w:vAlign w:val="center"/>
          </w:tcPr>
          <w:p w14:paraId="6F878CB8">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both"/>
              <w:textAlignment w:val="auto"/>
              <w:rPr>
                <w:rFonts w:hint="default" w:ascii="Times New Roman" w:hAnsi="Times New Roman" w:cs="Times New Roman"/>
                <w:spacing w:val="-3"/>
                <w:sz w:val="24"/>
                <w:szCs w:val="24"/>
                <w:u w:val="none"/>
                <w:lang w:val="en-US" w:eastAsia="zh-CN"/>
              </w:rPr>
            </w:pPr>
            <w:r>
              <w:rPr>
                <w:rFonts w:hint="default" w:ascii="Times New Roman" w:hAnsi="Times New Roman" w:cs="Times New Roman"/>
                <w:spacing w:val="-3"/>
                <w:sz w:val="24"/>
                <w:szCs w:val="24"/>
                <w:u w:val="none"/>
                <w:lang w:val="en-US" w:eastAsia="zh-CN"/>
              </w:rPr>
              <w:t>国民经济行业类别</w:t>
            </w:r>
          </w:p>
        </w:tc>
        <w:tc>
          <w:tcPr>
            <w:tcW w:w="2334" w:type="dxa"/>
            <w:tcBorders>
              <w:top w:val="single" w:color="000000" w:sz="4" w:space="0"/>
              <w:left w:val="single" w:color="000000" w:sz="4" w:space="0"/>
              <w:bottom w:val="single" w:color="000000" w:sz="4" w:space="0"/>
              <w:right w:val="single" w:color="000000" w:sz="4" w:space="0"/>
            </w:tcBorders>
            <w:vAlign w:val="center"/>
          </w:tcPr>
          <w:p w14:paraId="34E07A58">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eastAsia="宋体" w:cs="Times New Roman"/>
                <w:spacing w:val="-3"/>
                <w:sz w:val="24"/>
                <w:szCs w:val="24"/>
                <w:u w:val="none"/>
                <w:lang w:val="en-US" w:eastAsia="zh-CN"/>
              </w:rPr>
            </w:pPr>
            <w:r>
              <w:rPr>
                <w:rFonts w:hint="default" w:ascii="Times New Roman" w:hAnsi="Times New Roman" w:eastAsia="宋体" w:cs="Times New Roman"/>
                <w:spacing w:val="-3"/>
                <w:sz w:val="24"/>
                <w:szCs w:val="24"/>
                <w:u w:val="none"/>
                <w:lang w:val="en-US" w:eastAsia="zh-CN"/>
              </w:rPr>
              <w:t>C2413 教学用模型及教具制造</w:t>
            </w:r>
          </w:p>
        </w:tc>
        <w:tc>
          <w:tcPr>
            <w:tcW w:w="1744" w:type="dxa"/>
            <w:tcBorders>
              <w:top w:val="single" w:color="000000" w:sz="4" w:space="0"/>
              <w:left w:val="single" w:color="000000" w:sz="4" w:space="0"/>
              <w:bottom w:val="single" w:color="000000" w:sz="4" w:space="0"/>
              <w:right w:val="single" w:color="000000" w:sz="4" w:space="0"/>
            </w:tcBorders>
            <w:vAlign w:val="center"/>
          </w:tcPr>
          <w:p w14:paraId="1B959B50">
            <w:pPr>
              <w:pStyle w:val="44"/>
              <w:widowControl w:val="0"/>
              <w:wordWrap/>
              <w:autoSpaceDE w:val="0"/>
              <w:adjustRightInd/>
              <w:snapToGrid/>
              <w:spacing w:before="0" w:beforeAutospacing="0" w:afterAutospacing="0" w:line="400" w:lineRule="exact"/>
              <w:ind w:left="10" w:right="-29"/>
              <w:jc w:val="both"/>
              <w:textAlignment w:val="auto"/>
              <w:rPr>
                <w:rFonts w:hint="eastAsia" w:ascii="Times New Roman" w:hAnsi="Times New Roman" w:eastAsia="宋体" w:cs="Times New Roman"/>
                <w:spacing w:val="-3"/>
                <w:sz w:val="24"/>
                <w:szCs w:val="24"/>
                <w:u w:val="none"/>
                <w:lang w:val="en-US" w:eastAsia="zh-CN"/>
              </w:rPr>
            </w:pPr>
            <w:r>
              <w:rPr>
                <w:rFonts w:hint="default" w:ascii="Times New Roman" w:hAnsi="Times New Roman" w:eastAsia="宋体" w:cs="Times New Roman"/>
                <w:spacing w:val="-3"/>
                <w:sz w:val="24"/>
                <w:szCs w:val="24"/>
                <w:u w:val="none"/>
                <w:lang w:val="en-US" w:eastAsia="zh-CN"/>
              </w:rPr>
              <w:t>建设项目行业</w:t>
            </w:r>
            <w:r>
              <w:rPr>
                <w:rFonts w:hint="eastAsia" w:ascii="Times New Roman" w:hAnsi="Times New Roman" w:eastAsia="宋体" w:cs="Times New Roman"/>
                <w:spacing w:val="-3"/>
                <w:sz w:val="24"/>
                <w:szCs w:val="24"/>
                <w:u w:val="none"/>
                <w:lang w:val="en-US" w:eastAsia="zh-CN"/>
              </w:rPr>
              <w:t>类别</w:t>
            </w:r>
          </w:p>
        </w:tc>
        <w:tc>
          <w:tcPr>
            <w:tcW w:w="2915" w:type="dxa"/>
            <w:tcBorders>
              <w:top w:val="single" w:color="000000" w:sz="4" w:space="0"/>
              <w:left w:val="single" w:color="000000" w:sz="4" w:space="0"/>
              <w:bottom w:val="single" w:color="000000" w:sz="4" w:space="0"/>
            </w:tcBorders>
            <w:vAlign w:val="center"/>
          </w:tcPr>
          <w:p w14:paraId="24D65829">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eastAsia="宋体" w:cs="Times New Roman"/>
                <w:spacing w:val="-3"/>
                <w:sz w:val="24"/>
                <w:szCs w:val="24"/>
                <w:u w:val="none"/>
                <w:lang w:val="en-US" w:eastAsia="zh-CN"/>
              </w:rPr>
            </w:pPr>
            <w:r>
              <w:rPr>
                <w:rFonts w:hint="eastAsia" w:ascii="Times New Roman" w:hAnsi="Times New Roman" w:eastAsia="宋体" w:cs="Times New Roman"/>
                <w:spacing w:val="-3"/>
                <w:sz w:val="24"/>
                <w:szCs w:val="24"/>
                <w:u w:val="none"/>
                <w:lang w:val="en-US" w:eastAsia="zh-CN"/>
              </w:rPr>
              <w:t xml:space="preserve">二十一、文教、工美、体育和娱乐用品制造业 24，40、文教办公用品制造 241 </w:t>
            </w:r>
            <w:r>
              <w:rPr>
                <w:rFonts w:hint="eastAsia" w:ascii="Times New Roman" w:hAnsi="Times New Roman" w:cs="Times New Roman"/>
                <w:spacing w:val="-3"/>
                <w:sz w:val="24"/>
                <w:szCs w:val="24"/>
                <w:u w:val="none"/>
                <w:lang w:val="en-US" w:eastAsia="zh-CN"/>
              </w:rPr>
              <w:t>—</w:t>
            </w:r>
            <w:r>
              <w:rPr>
                <w:rFonts w:hint="eastAsia" w:ascii="Times New Roman" w:hAnsi="Times New Roman" w:eastAsia="宋体" w:cs="Times New Roman"/>
                <w:spacing w:val="-3"/>
                <w:sz w:val="24"/>
                <w:szCs w:val="24"/>
                <w:u w:val="none"/>
                <w:lang w:val="en-US" w:eastAsia="zh-CN"/>
              </w:rPr>
              <w:t>有橡胶硫化工艺、塑料注塑工艺的；</w:t>
            </w:r>
          </w:p>
        </w:tc>
      </w:tr>
      <w:tr w14:paraId="0C194D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6" w:hRule="atLeast"/>
          <w:jc w:val="center"/>
        </w:trPr>
        <w:tc>
          <w:tcPr>
            <w:tcW w:w="1801" w:type="dxa"/>
            <w:gridSpan w:val="2"/>
            <w:tcBorders>
              <w:top w:val="single" w:color="000000" w:sz="4" w:space="0"/>
              <w:bottom w:val="single" w:color="000000" w:sz="4" w:space="0"/>
              <w:right w:val="single" w:color="000000" w:sz="4" w:space="0"/>
            </w:tcBorders>
            <w:vAlign w:val="center"/>
          </w:tcPr>
          <w:p w14:paraId="1FDAAF4C">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建设性质</w:t>
            </w:r>
          </w:p>
        </w:tc>
        <w:tc>
          <w:tcPr>
            <w:tcW w:w="2334" w:type="dxa"/>
            <w:tcBorders>
              <w:top w:val="single" w:color="000000" w:sz="4" w:space="0"/>
              <w:left w:val="single" w:color="000000" w:sz="4" w:space="0"/>
              <w:bottom w:val="single" w:color="000000" w:sz="4" w:space="0"/>
              <w:right w:val="single" w:color="000000" w:sz="4" w:space="0"/>
            </w:tcBorders>
            <w:vAlign w:val="center"/>
          </w:tcPr>
          <w:p w14:paraId="385A2046">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FE"/>
            </w:r>
            <w:r>
              <w:rPr>
                <w:rFonts w:hint="default" w:ascii="Times New Roman" w:hAnsi="Times New Roman" w:cs="Times New Roman"/>
                <w:sz w:val="24"/>
                <w:szCs w:val="24"/>
                <w:u w:val="none"/>
              </w:rPr>
              <w:t>新建（迁建）</w:t>
            </w:r>
          </w:p>
          <w:p w14:paraId="13460BC0">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1"/>
                <w:sz w:val="24"/>
                <w:szCs w:val="24"/>
                <w:u w:val="none"/>
              </w:rPr>
              <w:t>改建</w:t>
            </w:r>
          </w:p>
          <w:p w14:paraId="5C1ABCFF">
            <w:pPr>
              <w:pStyle w:val="44"/>
              <w:widowControl w:val="0"/>
              <w:wordWrap/>
              <w:autoSpaceDE w:val="0"/>
              <w:adjustRightInd/>
              <w:snapToGrid/>
              <w:spacing w:before="0" w:beforeAutospacing="0" w:afterAutospacing="0" w:line="400" w:lineRule="exact"/>
              <w:ind w:left="9"/>
              <w:jc w:val="both"/>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eastAsia="zh-CN"/>
              </w:rPr>
              <w:sym w:font="Wingdings" w:char="00A8"/>
            </w:r>
            <w:r>
              <w:rPr>
                <w:rFonts w:hint="eastAsia" w:ascii="Times New Roman" w:hAnsi="Times New Roman" w:cs="Times New Roman"/>
                <w:spacing w:val="-1"/>
                <w:sz w:val="24"/>
                <w:szCs w:val="24"/>
                <w:u w:val="none"/>
                <w:lang w:eastAsia="zh-CN"/>
              </w:rPr>
              <w:t>扩建</w:t>
            </w:r>
          </w:p>
          <w:p w14:paraId="1BB95599">
            <w:pPr>
              <w:pStyle w:val="44"/>
              <w:widowControl w:val="0"/>
              <w:wordWrap/>
              <w:autoSpaceDE w:val="0"/>
              <w:adjustRightInd/>
              <w:snapToGrid/>
              <w:spacing w:before="0" w:beforeAutospacing="0" w:afterAutospacing="0" w:line="400" w:lineRule="exact"/>
              <w:ind w:left="9"/>
              <w:jc w:val="both"/>
              <w:textAlignment w:val="auto"/>
              <w:rPr>
                <w:rFonts w:hint="default" w:ascii="Times New Roman" w:hAnsi="Times New Roman" w:cs="Times New Roman"/>
                <w:sz w:val="24"/>
                <w:szCs w:val="24"/>
                <w:u w:val="none"/>
              </w:rPr>
            </w:pPr>
            <w:r>
              <w:rPr>
                <w:rFonts w:hint="eastAsia" w:ascii="Times New Roman" w:hAnsi="Times New Roman" w:cs="Times New Roman"/>
                <w:spacing w:val="-1"/>
                <w:sz w:val="24"/>
                <w:szCs w:val="24"/>
                <w:u w:val="none"/>
                <w:lang w:eastAsia="zh-CN"/>
              </w:rPr>
              <w:sym w:font="Wingdings" w:char="00A8"/>
            </w:r>
            <w:r>
              <w:rPr>
                <w:rFonts w:hint="default" w:ascii="Times New Roman" w:hAnsi="Times New Roman" w:cs="Times New Roman"/>
                <w:sz w:val="24"/>
                <w:szCs w:val="24"/>
                <w:u w:val="none"/>
              </w:rPr>
              <w:t>技术改造</w:t>
            </w:r>
          </w:p>
        </w:tc>
        <w:tc>
          <w:tcPr>
            <w:tcW w:w="1744" w:type="dxa"/>
            <w:tcBorders>
              <w:top w:val="single" w:color="000000" w:sz="4" w:space="0"/>
              <w:left w:val="single" w:color="000000" w:sz="4" w:space="0"/>
              <w:bottom w:val="single" w:color="000000" w:sz="4" w:space="0"/>
              <w:right w:val="single" w:color="000000" w:sz="4" w:space="0"/>
            </w:tcBorders>
            <w:vAlign w:val="center"/>
          </w:tcPr>
          <w:p w14:paraId="32CE0E4A">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建设项目</w:t>
            </w:r>
          </w:p>
          <w:p w14:paraId="1FF8EC52">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申报情形</w:t>
            </w:r>
          </w:p>
        </w:tc>
        <w:tc>
          <w:tcPr>
            <w:tcW w:w="2915" w:type="dxa"/>
            <w:tcBorders>
              <w:top w:val="single" w:color="000000" w:sz="4" w:space="0"/>
              <w:left w:val="single" w:color="000000" w:sz="4" w:space="0"/>
              <w:bottom w:val="single" w:color="000000" w:sz="4" w:space="0"/>
            </w:tcBorders>
            <w:vAlign w:val="center"/>
          </w:tcPr>
          <w:p w14:paraId="4A131B1A">
            <w:pPr>
              <w:pStyle w:val="44"/>
              <w:widowControl w:val="0"/>
              <w:numPr>
                <w:ilvl w:val="0"/>
                <w:numId w:val="0"/>
              </w:numPr>
              <w:tabs>
                <w:tab w:val="left" w:pos="200"/>
              </w:tabs>
              <w:wordWrap/>
              <w:autoSpaceDE w:val="0"/>
              <w:adjustRightInd/>
              <w:snapToGrid/>
              <w:spacing w:before="0" w:beforeAutospacing="0" w:after="0" w:afterAutospacing="0" w:line="400" w:lineRule="exact"/>
              <w:ind w:left="9" w:leftChars="0" w:right="0"/>
              <w:jc w:val="both"/>
              <w:textAlignment w:val="auto"/>
              <w:rPr>
                <w:rFonts w:hint="default" w:ascii="Times New Roman" w:hAnsi="Times New Roman" w:cs="Times New Roman"/>
                <w:sz w:val="24"/>
                <w:szCs w:val="24"/>
                <w:u w:val="none"/>
              </w:rPr>
            </w:pPr>
            <w:r>
              <w:rPr>
                <w:rFonts w:hint="eastAsia" w:ascii="Times New Roman" w:hAnsi="Times New Roman" w:cs="Times New Roman"/>
                <w:spacing w:val="-1"/>
                <w:sz w:val="24"/>
                <w:szCs w:val="24"/>
                <w:u w:val="none"/>
                <w:lang w:eastAsia="zh-CN"/>
              </w:rPr>
              <w:sym w:font="Wingdings" w:char="00FE"/>
            </w:r>
            <w:r>
              <w:rPr>
                <w:rFonts w:hint="default" w:ascii="Times New Roman" w:hAnsi="Times New Roman" w:cs="Times New Roman"/>
                <w:spacing w:val="-3"/>
                <w:sz w:val="24"/>
                <w:szCs w:val="24"/>
                <w:u w:val="none"/>
              </w:rPr>
              <w:t>首次申报项目</w:t>
            </w:r>
          </w:p>
          <w:p w14:paraId="74C5EA44">
            <w:pPr>
              <w:pStyle w:val="44"/>
              <w:widowControl w:val="0"/>
              <w:wordWrap/>
              <w:autoSpaceDE w:val="0"/>
              <w:adjustRightInd/>
              <w:snapToGrid/>
              <w:spacing w:before="0" w:beforeAutospacing="0" w:afterAutospacing="0" w:line="400" w:lineRule="exact"/>
              <w:ind w:left="10" w:right="-29"/>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不予批准后再次申报项目</w:t>
            </w:r>
          </w:p>
          <w:p w14:paraId="58815088">
            <w:pPr>
              <w:pStyle w:val="44"/>
              <w:widowControl w:val="0"/>
              <w:numPr>
                <w:ilvl w:val="0"/>
                <w:numId w:val="0"/>
              </w:numPr>
              <w:tabs>
                <w:tab w:val="left" w:pos="200"/>
              </w:tabs>
              <w:wordWrap/>
              <w:autoSpaceDE w:val="0"/>
              <w:adjustRightInd/>
              <w:snapToGrid/>
              <w:spacing w:before="0" w:beforeAutospacing="0" w:after="0" w:afterAutospacing="0" w:line="400" w:lineRule="exact"/>
              <w:ind w:leftChars="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超五年重新审核项目</w:t>
            </w:r>
          </w:p>
          <w:p w14:paraId="2A3D543B">
            <w:pPr>
              <w:pStyle w:val="44"/>
              <w:widowControl w:val="0"/>
              <w:wordWrap/>
              <w:autoSpaceDE w:val="0"/>
              <w:adjustRightInd/>
              <w:snapToGrid/>
              <w:spacing w:before="0" w:beforeAutospacing="0" w:afterAutospacing="0" w:line="400" w:lineRule="exact"/>
              <w:ind w:left="1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eastAsia="zh-CN"/>
              </w:rPr>
              <w:sym w:font="Wingdings" w:char="00A8"/>
            </w:r>
            <w:r>
              <w:rPr>
                <w:rFonts w:hint="default" w:ascii="Times New Roman" w:hAnsi="Times New Roman" w:cs="Times New Roman"/>
                <w:spacing w:val="-3"/>
                <w:sz w:val="24"/>
                <w:szCs w:val="24"/>
                <w:u w:val="none"/>
              </w:rPr>
              <w:t>重大变动重新报批项目</w:t>
            </w:r>
          </w:p>
        </w:tc>
      </w:tr>
      <w:tr w14:paraId="753AA77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gridSpan w:val="2"/>
            <w:tcBorders>
              <w:top w:val="single" w:color="000000" w:sz="4" w:space="0"/>
              <w:bottom w:val="single" w:color="000000" w:sz="4" w:space="0"/>
              <w:right w:val="single" w:color="000000" w:sz="4" w:space="0"/>
            </w:tcBorders>
            <w:vAlign w:val="center"/>
          </w:tcPr>
          <w:p w14:paraId="2774D166">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pacing w:val="-17"/>
                <w:sz w:val="24"/>
                <w:szCs w:val="24"/>
                <w:u w:val="none"/>
              </w:rPr>
              <w:t>项目审批（核准/备案）部门（选填）</w:t>
            </w:r>
          </w:p>
        </w:tc>
        <w:tc>
          <w:tcPr>
            <w:tcW w:w="2334" w:type="dxa"/>
            <w:tcBorders>
              <w:top w:val="single" w:color="000000" w:sz="4" w:space="0"/>
              <w:left w:val="single" w:color="000000" w:sz="4" w:space="0"/>
              <w:bottom w:val="single" w:color="000000" w:sz="4" w:space="0"/>
              <w:right w:val="single" w:color="000000" w:sz="4" w:space="0"/>
            </w:tcBorders>
            <w:vAlign w:val="center"/>
          </w:tcPr>
          <w:p w14:paraId="4F0172C5">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许昌魏都区先进制造业开发区管理委员会</w:t>
            </w:r>
          </w:p>
        </w:tc>
        <w:tc>
          <w:tcPr>
            <w:tcW w:w="1744" w:type="dxa"/>
            <w:tcBorders>
              <w:top w:val="single" w:color="000000" w:sz="4" w:space="0"/>
              <w:left w:val="single" w:color="000000" w:sz="4" w:space="0"/>
              <w:bottom w:val="single" w:color="000000" w:sz="4" w:space="0"/>
              <w:right w:val="single" w:color="000000" w:sz="4" w:space="0"/>
            </w:tcBorders>
            <w:vAlign w:val="center"/>
          </w:tcPr>
          <w:p w14:paraId="6F0A1EC6">
            <w:pPr>
              <w:pStyle w:val="44"/>
              <w:widowControl w:val="0"/>
              <w:wordWrap/>
              <w:autoSpaceDE w:val="0"/>
              <w:adjustRightInd/>
              <w:snapToGrid/>
              <w:spacing w:before="0" w:beforeAutospacing="0" w:afterAutospacing="0" w:line="400" w:lineRule="exact"/>
              <w:ind w:left="0" w:right="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项目审批（核准/备案）文号（选填）</w:t>
            </w:r>
          </w:p>
        </w:tc>
        <w:tc>
          <w:tcPr>
            <w:tcW w:w="2915" w:type="dxa"/>
            <w:tcBorders>
              <w:top w:val="single" w:color="000000" w:sz="4" w:space="0"/>
              <w:left w:val="single" w:color="000000" w:sz="4" w:space="0"/>
              <w:bottom w:val="single" w:color="000000" w:sz="4" w:space="0"/>
            </w:tcBorders>
            <w:vAlign w:val="center"/>
          </w:tcPr>
          <w:p w14:paraId="23A7CE42">
            <w:pPr>
              <w:keepNext w:val="0"/>
              <w:keepLines w:val="0"/>
              <w:widowControl/>
              <w:suppressLineNumbers w:val="0"/>
              <w:spacing w:beforeAutospacing="0" w:afterAutospacing="0"/>
              <w:jc w:val="cente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2504-411053-04-01-946047</w:t>
            </w:r>
          </w:p>
        </w:tc>
      </w:tr>
      <w:tr w14:paraId="70F6DCA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8" w:hRule="atLeast"/>
          <w:jc w:val="center"/>
        </w:trPr>
        <w:tc>
          <w:tcPr>
            <w:tcW w:w="1801" w:type="dxa"/>
            <w:gridSpan w:val="2"/>
            <w:tcBorders>
              <w:top w:val="single" w:color="000000" w:sz="4" w:space="0"/>
              <w:bottom w:val="single" w:color="000000" w:sz="4" w:space="0"/>
              <w:right w:val="single" w:color="000000" w:sz="4" w:space="0"/>
            </w:tcBorders>
            <w:vAlign w:val="center"/>
          </w:tcPr>
          <w:p w14:paraId="0CFFC02D">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总投资（万元）</w:t>
            </w:r>
          </w:p>
        </w:tc>
        <w:tc>
          <w:tcPr>
            <w:tcW w:w="2334" w:type="dxa"/>
            <w:tcBorders>
              <w:top w:val="single" w:color="000000" w:sz="4" w:space="0"/>
              <w:left w:val="single" w:color="000000" w:sz="4" w:space="0"/>
              <w:bottom w:val="single" w:color="000000" w:sz="4" w:space="0"/>
              <w:right w:val="single" w:color="000000" w:sz="4" w:space="0"/>
            </w:tcBorders>
            <w:vAlign w:val="center"/>
          </w:tcPr>
          <w:p w14:paraId="4583AF87">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100</w:t>
            </w:r>
          </w:p>
        </w:tc>
        <w:tc>
          <w:tcPr>
            <w:tcW w:w="1744" w:type="dxa"/>
            <w:tcBorders>
              <w:top w:val="single" w:color="000000" w:sz="4" w:space="0"/>
              <w:left w:val="single" w:color="000000" w:sz="4" w:space="0"/>
              <w:bottom w:val="single" w:color="000000" w:sz="4" w:space="0"/>
              <w:right w:val="single" w:color="000000" w:sz="4" w:space="0"/>
            </w:tcBorders>
            <w:vAlign w:val="center"/>
          </w:tcPr>
          <w:p w14:paraId="7FB3D546">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环保投资（万元）</w:t>
            </w:r>
          </w:p>
        </w:tc>
        <w:tc>
          <w:tcPr>
            <w:tcW w:w="2915" w:type="dxa"/>
            <w:tcBorders>
              <w:top w:val="single" w:color="000000" w:sz="4" w:space="0"/>
              <w:left w:val="single" w:color="000000" w:sz="4" w:space="0"/>
              <w:bottom w:val="single" w:color="000000" w:sz="4" w:space="0"/>
            </w:tcBorders>
            <w:vAlign w:val="center"/>
          </w:tcPr>
          <w:p w14:paraId="3FBF699A">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9</w:t>
            </w:r>
          </w:p>
        </w:tc>
      </w:tr>
      <w:tr w14:paraId="111A24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801" w:type="dxa"/>
            <w:gridSpan w:val="2"/>
            <w:tcBorders>
              <w:top w:val="single" w:color="000000" w:sz="4" w:space="0"/>
              <w:bottom w:val="single" w:color="000000" w:sz="4" w:space="0"/>
              <w:right w:val="single" w:color="000000" w:sz="4" w:space="0"/>
            </w:tcBorders>
            <w:vAlign w:val="center"/>
          </w:tcPr>
          <w:p w14:paraId="39622F62">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环保投资占比（%）</w:t>
            </w:r>
          </w:p>
        </w:tc>
        <w:tc>
          <w:tcPr>
            <w:tcW w:w="2334" w:type="dxa"/>
            <w:tcBorders>
              <w:top w:val="single" w:color="000000" w:sz="4" w:space="0"/>
              <w:left w:val="single" w:color="000000" w:sz="4" w:space="0"/>
              <w:bottom w:val="single" w:color="000000" w:sz="4" w:space="0"/>
              <w:right w:val="single" w:color="000000" w:sz="4" w:space="0"/>
            </w:tcBorders>
            <w:vAlign w:val="center"/>
          </w:tcPr>
          <w:p w14:paraId="5B5D0B8D">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9</w:t>
            </w:r>
          </w:p>
        </w:tc>
        <w:tc>
          <w:tcPr>
            <w:tcW w:w="1744" w:type="dxa"/>
            <w:tcBorders>
              <w:top w:val="single" w:color="000000" w:sz="4" w:space="0"/>
              <w:left w:val="single" w:color="000000" w:sz="4" w:space="0"/>
              <w:bottom w:val="single" w:color="000000" w:sz="4" w:space="0"/>
              <w:right w:val="single" w:color="000000" w:sz="4" w:space="0"/>
            </w:tcBorders>
            <w:vAlign w:val="center"/>
          </w:tcPr>
          <w:p w14:paraId="18801194">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施工工期</w:t>
            </w:r>
          </w:p>
        </w:tc>
        <w:tc>
          <w:tcPr>
            <w:tcW w:w="2915" w:type="dxa"/>
            <w:tcBorders>
              <w:top w:val="single" w:color="000000" w:sz="4" w:space="0"/>
              <w:left w:val="single" w:color="000000" w:sz="4" w:space="0"/>
              <w:bottom w:val="single" w:color="000000" w:sz="4" w:space="0"/>
            </w:tcBorders>
            <w:vAlign w:val="center"/>
          </w:tcPr>
          <w:p w14:paraId="532CF967">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1个月</w:t>
            </w:r>
          </w:p>
        </w:tc>
      </w:tr>
      <w:tr w14:paraId="2A9041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7" w:hRule="atLeast"/>
          <w:jc w:val="center"/>
        </w:trPr>
        <w:tc>
          <w:tcPr>
            <w:tcW w:w="1801" w:type="dxa"/>
            <w:gridSpan w:val="2"/>
            <w:tcBorders>
              <w:top w:val="single" w:color="000000" w:sz="4" w:space="0"/>
              <w:bottom w:val="single" w:color="000000" w:sz="4" w:space="0"/>
              <w:right w:val="single" w:color="000000" w:sz="4" w:space="0"/>
            </w:tcBorders>
            <w:vAlign w:val="center"/>
          </w:tcPr>
          <w:p w14:paraId="198D5D76">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是否开工建设</w:t>
            </w:r>
          </w:p>
        </w:tc>
        <w:tc>
          <w:tcPr>
            <w:tcW w:w="2334" w:type="dxa"/>
            <w:tcBorders>
              <w:top w:val="single" w:color="000000" w:sz="4" w:space="0"/>
              <w:left w:val="single" w:color="000000" w:sz="4" w:space="0"/>
              <w:bottom w:val="single" w:color="000000" w:sz="4" w:space="0"/>
              <w:right w:val="single" w:color="000000" w:sz="4" w:space="0"/>
            </w:tcBorders>
            <w:vAlign w:val="center"/>
          </w:tcPr>
          <w:p w14:paraId="46215378">
            <w:pPr>
              <w:pStyle w:val="44"/>
              <w:widowControl w:val="0"/>
              <w:numPr>
                <w:ilvl w:val="0"/>
                <w:numId w:val="0"/>
              </w:numPr>
              <w:tabs>
                <w:tab w:val="left" w:pos="199"/>
              </w:tabs>
              <w:wordWrap/>
              <w:autoSpaceDE w:val="0"/>
              <w:adjustRightInd/>
              <w:snapToGrid/>
              <w:spacing w:before="0" w:beforeAutospacing="0" w:after="0" w:afterAutospacing="0" w:line="400" w:lineRule="exact"/>
              <w:ind w:left="8" w:leftChars="0" w:right="0" w:firstLine="238" w:firstLineChars="100"/>
              <w:jc w:val="both"/>
              <w:textAlignment w:val="auto"/>
              <w:rPr>
                <w:rFonts w:hint="default" w:ascii="Times New Roman" w:hAnsi="Times New Roman" w:cs="Times New Roman"/>
                <w:color w:val="000000"/>
                <w:sz w:val="24"/>
                <w:szCs w:val="24"/>
                <w:u w:val="none"/>
              </w:rPr>
            </w:pPr>
            <w:r>
              <w:rPr>
                <w:rFonts w:hint="eastAsia" w:ascii="Times New Roman" w:hAnsi="Times New Roman" w:cs="Times New Roman"/>
                <w:color w:val="000000"/>
                <w:spacing w:val="-1"/>
                <w:sz w:val="24"/>
                <w:szCs w:val="24"/>
                <w:u w:val="none"/>
                <w:lang w:eastAsia="zh-CN"/>
              </w:rPr>
              <w:sym w:font="Wingdings" w:char="00FE"/>
            </w:r>
            <w:r>
              <w:rPr>
                <w:rFonts w:hint="default" w:ascii="Times New Roman" w:hAnsi="Times New Roman" w:cs="Times New Roman"/>
                <w:color w:val="000000"/>
                <w:spacing w:val="-3"/>
                <w:sz w:val="24"/>
                <w:szCs w:val="24"/>
                <w:u w:val="none"/>
              </w:rPr>
              <w:t>否</w:t>
            </w:r>
          </w:p>
          <w:p w14:paraId="734D2F3B">
            <w:pPr>
              <w:pStyle w:val="44"/>
              <w:widowControl w:val="0"/>
              <w:numPr>
                <w:ilvl w:val="0"/>
                <w:numId w:val="0"/>
              </w:numPr>
              <w:tabs>
                <w:tab w:val="left" w:pos="199"/>
              </w:tabs>
              <w:wordWrap/>
              <w:autoSpaceDE w:val="0"/>
              <w:adjustRightInd/>
              <w:snapToGrid/>
              <w:spacing w:before="0" w:beforeAutospacing="0" w:after="0" w:afterAutospacing="0" w:line="400" w:lineRule="exact"/>
              <w:ind w:left="6" w:leftChars="0" w:right="0" w:firstLine="240" w:firstLineChars="100"/>
              <w:jc w:val="both"/>
              <w:textAlignment w:val="auto"/>
              <w:rPr>
                <w:rFonts w:hint="default" w:ascii="Times New Roman" w:hAnsi="Times New Roman" w:cs="Times New Roman"/>
                <w:color w:val="000000"/>
                <w:sz w:val="24"/>
                <w:szCs w:val="24"/>
                <w:u w:val="none"/>
              </w:rPr>
            </w:pPr>
            <w:r>
              <w:rPr>
                <w:rFonts w:hint="eastAsia" w:ascii="Times New Roman" w:hAnsi="Times New Roman" w:cs="Times New Roman"/>
                <w:color w:val="000000"/>
                <w:sz w:val="24"/>
                <w:szCs w:val="24"/>
                <w:u w:val="none"/>
                <w:lang w:eastAsia="zh-CN"/>
              </w:rPr>
              <w:sym w:font="Wingdings" w:char="00A8"/>
            </w:r>
            <w:r>
              <w:rPr>
                <w:rFonts w:hint="default" w:ascii="Times New Roman" w:hAnsi="Times New Roman" w:cs="Times New Roman"/>
                <w:color w:val="000000"/>
                <w:sz w:val="24"/>
                <w:szCs w:val="24"/>
                <w:u w:val="none"/>
              </w:rPr>
              <w:t>是：</w:t>
            </w:r>
          </w:p>
        </w:tc>
        <w:tc>
          <w:tcPr>
            <w:tcW w:w="1744" w:type="dxa"/>
            <w:tcBorders>
              <w:top w:val="single" w:color="000000" w:sz="4" w:space="0"/>
              <w:left w:val="single" w:color="000000" w:sz="4" w:space="0"/>
              <w:bottom w:val="single" w:color="000000" w:sz="4" w:space="0"/>
              <w:right w:val="single" w:color="000000" w:sz="4" w:space="0"/>
            </w:tcBorders>
            <w:vAlign w:val="center"/>
          </w:tcPr>
          <w:p w14:paraId="507CA7E3">
            <w:pPr>
              <w:pStyle w:val="44"/>
              <w:widowControl w:val="0"/>
              <w:wordWrap/>
              <w:autoSpaceDE w:val="0"/>
              <w:adjustRightInd/>
              <w:snapToGrid/>
              <w:spacing w:before="0" w:beforeAutospacing="0" w:afterAutospacing="0" w:line="400" w:lineRule="exact"/>
              <w:ind w:left="0" w:right="0"/>
              <w:jc w:val="both"/>
              <w:textAlignment w:val="auto"/>
              <w:rPr>
                <w:rFonts w:hint="eastAsia" w:ascii="Times New Roman" w:hAnsi="Times New Roman" w:cs="Times New Roman"/>
                <w:color w:val="000000"/>
                <w:sz w:val="24"/>
                <w:szCs w:val="24"/>
                <w:u w:val="none"/>
                <w:lang w:val="en-US" w:eastAsia="zh-CN"/>
              </w:rPr>
            </w:pPr>
            <w:r>
              <w:rPr>
                <w:rFonts w:hint="eastAsia" w:ascii="Times New Roman" w:hAnsi="Times New Roman" w:cs="Times New Roman"/>
                <w:color w:val="000000"/>
                <w:sz w:val="24"/>
                <w:szCs w:val="24"/>
                <w:u w:val="none"/>
                <w:lang w:val="en-US" w:eastAsia="zh-CN"/>
              </w:rPr>
              <w:t>用地（用海）面积（m</w:t>
            </w:r>
            <w:r>
              <w:rPr>
                <w:rFonts w:hint="eastAsia" w:ascii="Times New Roman" w:hAnsi="Times New Roman" w:cs="Times New Roman"/>
                <w:color w:val="000000"/>
                <w:sz w:val="24"/>
                <w:szCs w:val="24"/>
                <w:u w:val="none"/>
                <w:vertAlign w:val="superscript"/>
                <w:lang w:val="en-US" w:eastAsia="zh-CN"/>
              </w:rPr>
              <w:t>2</w:t>
            </w:r>
            <w:r>
              <w:rPr>
                <w:rFonts w:hint="eastAsia" w:ascii="Times New Roman" w:hAnsi="Times New Roman" w:cs="Times New Roman"/>
                <w:color w:val="000000"/>
                <w:sz w:val="24"/>
                <w:szCs w:val="24"/>
                <w:u w:val="none"/>
                <w:lang w:val="en-US" w:eastAsia="zh-CN"/>
              </w:rPr>
              <w:t>）</w:t>
            </w:r>
          </w:p>
        </w:tc>
        <w:tc>
          <w:tcPr>
            <w:tcW w:w="2915" w:type="dxa"/>
            <w:tcBorders>
              <w:top w:val="single" w:color="000000" w:sz="4" w:space="0"/>
              <w:left w:val="single" w:color="000000" w:sz="4" w:space="0"/>
              <w:bottom w:val="single" w:color="000000" w:sz="4" w:space="0"/>
            </w:tcBorders>
            <w:vAlign w:val="center"/>
          </w:tcPr>
          <w:p w14:paraId="56B2B48A">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lang w:val="en-US" w:eastAsia="zh-CN"/>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2000</w:t>
            </w:r>
          </w:p>
        </w:tc>
      </w:tr>
      <w:tr w14:paraId="61B43AD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90" w:hRule="atLeast"/>
          <w:jc w:val="center"/>
        </w:trPr>
        <w:tc>
          <w:tcPr>
            <w:tcW w:w="1801" w:type="dxa"/>
            <w:gridSpan w:val="2"/>
            <w:tcBorders>
              <w:top w:val="single" w:color="000000" w:sz="4" w:space="0"/>
              <w:bottom w:val="single" w:color="000000" w:sz="4" w:space="0"/>
              <w:right w:val="single" w:color="000000" w:sz="4" w:space="0"/>
            </w:tcBorders>
            <w:vAlign w:val="center"/>
          </w:tcPr>
          <w:p w14:paraId="180B2BC3">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专项评价设置情况</w:t>
            </w:r>
          </w:p>
        </w:tc>
        <w:tc>
          <w:tcPr>
            <w:tcW w:w="6993" w:type="dxa"/>
            <w:gridSpan w:val="3"/>
            <w:tcBorders>
              <w:top w:val="single" w:color="000000" w:sz="4" w:space="0"/>
              <w:left w:val="single" w:color="000000" w:sz="4" w:space="0"/>
              <w:bottom w:val="single" w:color="000000" w:sz="4" w:space="0"/>
            </w:tcBorders>
            <w:vAlign w:val="center"/>
          </w:tcPr>
          <w:p w14:paraId="77FCC4CC">
            <w:pPr>
              <w:widowControl/>
              <w:wordWrap/>
              <w:autoSpaceDE w:val="0"/>
              <w:autoSpaceDN w:val="0"/>
              <w:adjustRightInd/>
              <w:snapToGrid/>
              <w:spacing w:before="0" w:beforeAutospacing="0" w:afterAutospacing="0" w:line="400" w:lineRule="exact"/>
              <w:ind w:left="0" w:leftChars="0" w:right="0"/>
              <w:jc w:val="center"/>
              <w:textAlignment w:val="auto"/>
              <w:rPr>
                <w:rFonts w:hint="eastAsia" w:ascii="Times New Roman" w:hAnsi="Times New Roman" w:eastAsia="宋体" w:cs="Times New Roman"/>
                <w:sz w:val="24"/>
                <w:szCs w:val="24"/>
                <w:u w:val="none"/>
                <w:lang w:eastAsia="zh-CN"/>
              </w:rPr>
            </w:pPr>
            <w:r>
              <w:rPr>
                <w:rFonts w:hint="eastAsia" w:ascii="宋体" w:hAnsi="宋体" w:eastAsia="宋体" w:cs="宋体"/>
                <w:spacing w:val="1"/>
                <w:sz w:val="24"/>
                <w:szCs w:val="24"/>
                <w:u w:val="none"/>
                <w:lang w:val="en-US" w:eastAsia="zh-CN"/>
              </w:rPr>
              <w:t>无</w:t>
            </w:r>
          </w:p>
        </w:tc>
      </w:tr>
      <w:tr w14:paraId="5EE7FA5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2" w:hRule="atLeast"/>
          <w:jc w:val="center"/>
        </w:trPr>
        <w:tc>
          <w:tcPr>
            <w:tcW w:w="1801" w:type="dxa"/>
            <w:gridSpan w:val="2"/>
            <w:tcBorders>
              <w:top w:val="single" w:color="000000" w:sz="4" w:space="0"/>
              <w:bottom w:val="single" w:color="000000" w:sz="4" w:space="0"/>
              <w:right w:val="single" w:color="000000" w:sz="4" w:space="0"/>
            </w:tcBorders>
            <w:vAlign w:val="center"/>
          </w:tcPr>
          <w:p w14:paraId="4DA82873">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规划情况</w:t>
            </w:r>
          </w:p>
        </w:tc>
        <w:tc>
          <w:tcPr>
            <w:tcW w:w="6993" w:type="dxa"/>
            <w:gridSpan w:val="3"/>
            <w:tcBorders>
              <w:top w:val="single" w:color="000000" w:sz="4" w:space="0"/>
              <w:left w:val="single" w:color="000000" w:sz="4" w:space="0"/>
              <w:bottom w:val="single" w:color="000000" w:sz="4" w:space="0"/>
            </w:tcBorders>
            <w:vAlign w:val="center"/>
          </w:tcPr>
          <w:p w14:paraId="3F949C8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val="en-US" w:eastAsia="zh-CN"/>
              </w:rPr>
              <w:t>规划名称：</w:t>
            </w:r>
          </w:p>
          <w:p w14:paraId="16B9211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val="en-US" w:eastAsia="zh-CN"/>
              </w:rPr>
              <w:t>《许昌魏都区先进制造业开发区发展规划（</w:t>
            </w:r>
            <w:r>
              <w:rPr>
                <w:rFonts w:hint="default" w:ascii="Times New Roman" w:hAnsi="Times New Roman" w:cs="Times New Roman"/>
                <w:sz w:val="24"/>
                <w:szCs w:val="24"/>
                <w:u w:val="none"/>
                <w:lang w:val="en-US" w:eastAsia="zh-CN"/>
              </w:rPr>
              <w:t>2022-2035</w:t>
            </w:r>
            <w:r>
              <w:rPr>
                <w:rFonts w:hint="eastAsia" w:ascii="Times New Roman" w:hAnsi="Times New Roman" w:cs="Times New Roman"/>
                <w:sz w:val="24"/>
                <w:szCs w:val="24"/>
                <w:u w:val="none"/>
                <w:lang w:val="en-US" w:eastAsia="zh-CN"/>
              </w:rPr>
              <w:t>）》</w:t>
            </w:r>
          </w:p>
          <w:p w14:paraId="43A4BDA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sz w:val="24"/>
                <w:szCs w:val="24"/>
                <w:u w:val="none"/>
              </w:rPr>
            </w:pPr>
            <w:r>
              <w:rPr>
                <w:rFonts w:hint="eastAsia" w:ascii="Times New Roman" w:hAnsi="Times New Roman" w:cs="Times New Roman"/>
                <w:sz w:val="24"/>
                <w:szCs w:val="24"/>
                <w:u w:val="none"/>
                <w:lang w:val="en-US" w:eastAsia="zh-CN"/>
              </w:rPr>
              <w:t>审批机关：河南省发展和改革委员会</w:t>
            </w:r>
          </w:p>
          <w:p w14:paraId="6BC7812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审批文件及文号：审批中</w:t>
            </w:r>
          </w:p>
        </w:tc>
      </w:tr>
      <w:tr w14:paraId="3C62DC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1" w:hRule="atLeast"/>
          <w:jc w:val="center"/>
        </w:trPr>
        <w:tc>
          <w:tcPr>
            <w:tcW w:w="1801" w:type="dxa"/>
            <w:gridSpan w:val="2"/>
            <w:tcBorders>
              <w:top w:val="single" w:color="000000" w:sz="4" w:space="0"/>
              <w:bottom w:val="single" w:color="000000" w:sz="4" w:space="0"/>
              <w:right w:val="single" w:color="000000" w:sz="4" w:space="0"/>
            </w:tcBorders>
            <w:vAlign w:val="center"/>
          </w:tcPr>
          <w:p w14:paraId="63C3DF7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left"/>
              <w:textAlignment w:val="auto"/>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规划环境影响评价情况</w:t>
            </w:r>
          </w:p>
        </w:tc>
        <w:tc>
          <w:tcPr>
            <w:tcW w:w="6993" w:type="dxa"/>
            <w:gridSpan w:val="3"/>
            <w:tcBorders>
              <w:top w:val="single" w:color="000000" w:sz="4" w:space="0"/>
              <w:left w:val="single" w:color="000000" w:sz="4" w:space="0"/>
              <w:bottom w:val="single" w:color="000000" w:sz="4" w:space="0"/>
            </w:tcBorders>
            <w:vAlign w:val="center"/>
          </w:tcPr>
          <w:p w14:paraId="4A2FBB8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规划环评名称：</w:t>
            </w:r>
          </w:p>
          <w:p w14:paraId="5DB5D72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《许昌魏都区先进制造业开发区发展规划（</w:t>
            </w:r>
            <w:r>
              <w:rPr>
                <w:rFonts w:hint="default" w:ascii="Times New Roman" w:hAnsi="Times New Roman" w:cs="Times New Roman"/>
                <w:sz w:val="24"/>
                <w:szCs w:val="24"/>
                <w:u w:val="none"/>
                <w:lang w:val="en-US" w:eastAsia="zh-CN"/>
              </w:rPr>
              <w:t>2022-2035</w:t>
            </w:r>
            <w:r>
              <w:rPr>
                <w:rFonts w:hint="eastAsia" w:ascii="Times New Roman" w:hAnsi="Times New Roman" w:cs="Times New Roman"/>
                <w:sz w:val="24"/>
                <w:szCs w:val="24"/>
                <w:u w:val="none"/>
                <w:lang w:val="en-US" w:eastAsia="zh-CN"/>
              </w:rPr>
              <w:t>）环境影响报告书》</w:t>
            </w:r>
          </w:p>
          <w:p w14:paraId="5F658CD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审查机关：许昌市生态环境局</w:t>
            </w:r>
          </w:p>
          <w:p w14:paraId="05F775A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jc w:val="both"/>
              <w:textAlignment w:val="auto"/>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审查文件及文号：《许昌市生态环境局关于许昌魏都区先进制造业开发区发展规划（</w:t>
            </w:r>
            <w:r>
              <w:rPr>
                <w:rFonts w:hint="default" w:ascii="Times New Roman" w:hAnsi="Times New Roman" w:cs="Times New Roman"/>
                <w:sz w:val="24"/>
                <w:szCs w:val="24"/>
                <w:u w:val="none"/>
                <w:lang w:val="en-US" w:eastAsia="zh-CN"/>
              </w:rPr>
              <w:t>2022-2035</w:t>
            </w:r>
            <w:r>
              <w:rPr>
                <w:rFonts w:hint="eastAsia" w:ascii="Times New Roman" w:hAnsi="Times New Roman" w:cs="Times New Roman"/>
                <w:sz w:val="24"/>
                <w:szCs w:val="24"/>
                <w:u w:val="none"/>
                <w:lang w:val="en-US" w:eastAsia="zh-CN"/>
              </w:rPr>
              <w:t>）环境影响报告书审查意见》（许环建审</w:t>
            </w:r>
            <w:r>
              <w:rPr>
                <w:rFonts w:hint="eastAsia" w:ascii="宋体" w:hAnsi="宋体" w:eastAsia="宋体" w:cs="宋体"/>
                <w:sz w:val="24"/>
                <w:szCs w:val="24"/>
                <w:u w:val="none"/>
                <w:lang w:val="en-US" w:eastAsia="zh-CN"/>
              </w:rPr>
              <w:t>〔</w:t>
            </w:r>
            <w:r>
              <w:rPr>
                <w:rFonts w:hint="default" w:ascii="Times New Roman" w:hAnsi="Times New Roman" w:cs="Times New Roman"/>
                <w:sz w:val="24"/>
                <w:szCs w:val="24"/>
                <w:u w:val="none"/>
                <w:lang w:val="en-US" w:eastAsia="zh-CN"/>
              </w:rPr>
              <w:t>2024</w:t>
            </w:r>
            <w:r>
              <w:rPr>
                <w:rFonts w:hint="eastAsia" w:ascii="宋体" w:hAnsi="宋体" w:eastAsia="宋体" w:cs="宋体"/>
                <w:sz w:val="24"/>
                <w:szCs w:val="24"/>
                <w:u w:val="none"/>
                <w:lang w:val="en-US" w:eastAsia="zh-CN"/>
              </w:rPr>
              <w:t>〕</w:t>
            </w:r>
            <w:r>
              <w:rPr>
                <w:rFonts w:hint="default" w:ascii="Times New Roman" w:hAnsi="Times New Roman" w:cs="Times New Roman"/>
                <w:sz w:val="24"/>
                <w:szCs w:val="24"/>
                <w:u w:val="none"/>
                <w:lang w:val="en-US" w:eastAsia="zh-CN"/>
              </w:rPr>
              <w:t>14</w:t>
            </w:r>
            <w:r>
              <w:rPr>
                <w:rFonts w:hint="eastAsia" w:ascii="Times New Roman" w:hAnsi="Times New Roman" w:cs="Times New Roman"/>
                <w:sz w:val="24"/>
                <w:szCs w:val="24"/>
                <w:u w:val="none"/>
                <w:lang w:val="en-US" w:eastAsia="zh-CN"/>
              </w:rPr>
              <w:t>号）</w:t>
            </w:r>
          </w:p>
        </w:tc>
      </w:tr>
      <w:tr w14:paraId="6998854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1" w:hRule="atLeast"/>
          <w:jc w:val="center"/>
        </w:trPr>
        <w:tc>
          <w:tcPr>
            <w:tcW w:w="1801" w:type="dxa"/>
            <w:gridSpan w:val="2"/>
            <w:tcBorders>
              <w:top w:val="single" w:color="000000" w:sz="4" w:space="0"/>
              <w:bottom w:val="single" w:color="000000" w:sz="4" w:space="0"/>
              <w:right w:val="single" w:color="000000" w:sz="4" w:space="0"/>
            </w:tcBorders>
            <w:vAlign w:val="center"/>
          </w:tcPr>
          <w:p w14:paraId="183175A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left"/>
              <w:textAlignment w:val="auto"/>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规划及规划环境影响评价符合性分析</w:t>
            </w:r>
          </w:p>
        </w:tc>
        <w:tc>
          <w:tcPr>
            <w:tcW w:w="6993" w:type="dxa"/>
            <w:gridSpan w:val="3"/>
            <w:tcBorders>
              <w:top w:val="single" w:color="000000" w:sz="4" w:space="0"/>
              <w:left w:val="single" w:color="000000" w:sz="4" w:space="0"/>
              <w:bottom w:val="single" w:color="000000" w:sz="4" w:space="0"/>
            </w:tcBorders>
            <w:vAlign w:val="center"/>
          </w:tcPr>
          <w:p w14:paraId="15F4160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2" w:firstLineChars="200"/>
              <w:jc w:val="both"/>
              <w:textAlignment w:val="auto"/>
              <w:rPr>
                <w:rFonts w:hint="eastAsia"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1</w:t>
            </w:r>
            <w:r>
              <w:rPr>
                <w:rFonts w:hint="eastAsia" w:ascii="Times New Roman" w:hAnsi="Times New Roman" w:cs="Times New Roman"/>
                <w:b/>
                <w:bCs/>
                <w:sz w:val="24"/>
                <w:szCs w:val="24"/>
                <w:u w:val="none"/>
                <w:lang w:val="en-US" w:eastAsia="zh-CN"/>
              </w:rPr>
              <w:t>、项目与《许昌魏都区先进制造业开发区发展规划（</w:t>
            </w:r>
            <w:r>
              <w:rPr>
                <w:rFonts w:hint="default" w:ascii="Times New Roman" w:hAnsi="Times New Roman" w:cs="Times New Roman"/>
                <w:b/>
                <w:bCs/>
                <w:sz w:val="24"/>
                <w:szCs w:val="24"/>
                <w:u w:val="none"/>
                <w:lang w:val="en-US" w:eastAsia="zh-CN"/>
              </w:rPr>
              <w:t>2022—2035</w:t>
            </w:r>
            <w:r>
              <w:rPr>
                <w:rFonts w:hint="eastAsia" w:ascii="Times New Roman" w:hAnsi="Times New Roman" w:cs="Times New Roman"/>
                <w:b/>
                <w:bCs/>
                <w:sz w:val="24"/>
                <w:szCs w:val="24"/>
                <w:u w:val="none"/>
                <w:lang w:val="en-US" w:eastAsia="zh-CN"/>
              </w:rPr>
              <w:t>）》符合性</w:t>
            </w:r>
          </w:p>
          <w:p w14:paraId="1B970A6E">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1.1 </w:t>
            </w:r>
            <w:r>
              <w:rPr>
                <w:rFonts w:hint="eastAsia" w:ascii="Times New Roman" w:hAnsi="Times New Roman" w:cs="Times New Roman"/>
                <w:sz w:val="24"/>
                <w:szCs w:val="24"/>
                <w:u w:val="none"/>
                <w:lang w:val="en-US" w:eastAsia="zh-CN"/>
              </w:rPr>
              <w:t>规划范围</w:t>
            </w:r>
          </w:p>
          <w:p w14:paraId="1466177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规划范围：总规划面积为</w:t>
            </w:r>
            <w:r>
              <w:rPr>
                <w:rFonts w:hint="default" w:ascii="Times New Roman" w:hAnsi="Times New Roman" w:cs="Times New Roman"/>
                <w:sz w:val="24"/>
                <w:szCs w:val="24"/>
                <w:u w:val="none"/>
                <w:lang w:val="en-US" w:eastAsia="zh-CN"/>
              </w:rPr>
              <w:t>10.72km</w:t>
            </w:r>
            <w:r>
              <w:rPr>
                <w:rFonts w:hint="default" w:ascii="Times New Roman" w:hAnsi="Times New Roman" w:cs="Times New Roman"/>
                <w:sz w:val="24"/>
                <w:szCs w:val="24"/>
                <w:u w:val="none"/>
                <w:vertAlign w:val="superscript"/>
                <w:lang w:val="en-US" w:eastAsia="zh-CN"/>
              </w:rPr>
              <w:t>2</w:t>
            </w:r>
            <w:r>
              <w:rPr>
                <w:rFonts w:hint="eastAsia" w:ascii="Times New Roman" w:hAnsi="Times New Roman" w:cs="Times New Roman"/>
                <w:sz w:val="24"/>
                <w:szCs w:val="24"/>
                <w:u w:val="none"/>
                <w:lang w:val="en-US" w:eastAsia="zh-CN"/>
              </w:rPr>
              <w:t>，分为北、中、南三个片区。其中，北片区东至腾飞大道</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清泥河</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延安路，西至滨河路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汉风路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延安路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西泰路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灞陵路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西外环路，南至北外环路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永昌西路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天顺街，北至永兴西路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万通街</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道路</w:t>
            </w:r>
            <w:r>
              <w:rPr>
                <w:rFonts w:hint="default" w:ascii="Times New Roman" w:hAnsi="Times New Roman" w:cs="Times New Roman"/>
                <w:sz w:val="24"/>
                <w:szCs w:val="24"/>
                <w:u w:val="none"/>
                <w:lang w:val="en-US" w:eastAsia="zh-CN"/>
              </w:rPr>
              <w:t>-</w:t>
            </w:r>
            <w:r>
              <w:rPr>
                <w:rFonts w:hint="eastAsia" w:ascii="Times New Roman" w:hAnsi="Times New Roman" w:cs="Times New Roman"/>
                <w:sz w:val="24"/>
                <w:szCs w:val="24"/>
                <w:u w:val="none"/>
                <w:lang w:val="en-US" w:eastAsia="zh-CN"/>
              </w:rPr>
              <w:t>陈庄街，规划面积为</w:t>
            </w:r>
            <w:r>
              <w:rPr>
                <w:rFonts w:hint="default" w:ascii="Times New Roman" w:hAnsi="Times New Roman" w:cs="Times New Roman"/>
                <w:sz w:val="24"/>
                <w:szCs w:val="24"/>
                <w:u w:val="none"/>
                <w:lang w:val="en-US" w:eastAsia="zh-CN"/>
              </w:rPr>
              <w:t>5.71km</w:t>
            </w:r>
            <w:r>
              <w:rPr>
                <w:rFonts w:hint="default" w:ascii="Times New Roman" w:hAnsi="Times New Roman" w:cs="Times New Roman"/>
                <w:sz w:val="24"/>
                <w:szCs w:val="24"/>
                <w:u w:val="none"/>
                <w:vertAlign w:val="superscript"/>
                <w:lang w:val="en-US" w:eastAsia="zh-CN"/>
              </w:rPr>
              <w:t>2</w:t>
            </w:r>
            <w:r>
              <w:rPr>
                <w:rFonts w:hint="eastAsia" w:ascii="Times New Roman" w:hAnsi="Times New Roman" w:cs="Times New Roman"/>
                <w:sz w:val="24"/>
                <w:szCs w:val="24"/>
                <w:u w:val="none"/>
                <w:lang w:val="en-US" w:eastAsia="zh-CN"/>
              </w:rPr>
              <w:t>；中片区东至颍汝干渠，西至规划道路，南至颍汝干渠，北至许禹路，规划面积为</w:t>
            </w:r>
            <w:r>
              <w:rPr>
                <w:rFonts w:hint="default" w:ascii="Times New Roman" w:hAnsi="Times New Roman" w:cs="Times New Roman"/>
                <w:sz w:val="24"/>
                <w:szCs w:val="24"/>
                <w:u w:val="none"/>
                <w:lang w:val="en-US" w:eastAsia="zh-CN"/>
              </w:rPr>
              <w:t>1.75km</w:t>
            </w:r>
            <w:r>
              <w:rPr>
                <w:rFonts w:hint="default" w:ascii="Times New Roman" w:hAnsi="Times New Roman" w:cs="Times New Roman"/>
                <w:sz w:val="24"/>
                <w:szCs w:val="24"/>
                <w:u w:val="none"/>
                <w:vertAlign w:val="superscript"/>
                <w:lang w:val="en-US" w:eastAsia="zh-CN"/>
              </w:rPr>
              <w:t>2</w:t>
            </w:r>
            <w:r>
              <w:rPr>
                <w:rFonts w:hint="eastAsia" w:ascii="Times New Roman" w:hAnsi="Times New Roman" w:cs="Times New Roman"/>
                <w:sz w:val="24"/>
                <w:szCs w:val="24"/>
                <w:u w:val="none"/>
                <w:lang w:val="en-US" w:eastAsia="zh-CN"/>
              </w:rPr>
              <w:t>；南片区东至西外环路，西至</w:t>
            </w:r>
            <w:r>
              <w:rPr>
                <w:rFonts w:hint="default" w:ascii="Times New Roman" w:hAnsi="Times New Roman" w:cs="Times New Roman"/>
                <w:sz w:val="24"/>
                <w:szCs w:val="24"/>
                <w:u w:val="none"/>
                <w:lang w:val="en-US" w:eastAsia="zh-CN"/>
              </w:rPr>
              <w:t>S227</w:t>
            </w:r>
            <w:r>
              <w:rPr>
                <w:rFonts w:hint="eastAsia" w:ascii="Times New Roman" w:hAnsi="Times New Roman" w:cs="Times New Roman"/>
                <w:sz w:val="24"/>
                <w:szCs w:val="24"/>
                <w:u w:val="none"/>
                <w:lang w:val="en-US" w:eastAsia="zh-CN"/>
              </w:rPr>
              <w:t>，南至新兴路西段，北至规划许继大道西，规划面积为</w:t>
            </w:r>
            <w:r>
              <w:rPr>
                <w:rFonts w:hint="default" w:ascii="Times New Roman" w:hAnsi="Times New Roman" w:cs="Times New Roman"/>
                <w:sz w:val="24"/>
                <w:szCs w:val="24"/>
                <w:u w:val="none"/>
                <w:lang w:val="en-US" w:eastAsia="zh-CN"/>
              </w:rPr>
              <w:t>3.26km</w:t>
            </w:r>
            <w:r>
              <w:rPr>
                <w:rFonts w:hint="default" w:ascii="Times New Roman" w:hAnsi="Times New Roman" w:cs="Times New Roman"/>
                <w:sz w:val="24"/>
                <w:szCs w:val="24"/>
                <w:u w:val="none"/>
                <w:vertAlign w:val="superscript"/>
                <w:lang w:val="en-US" w:eastAsia="zh-CN"/>
              </w:rPr>
              <w:t>2</w:t>
            </w:r>
            <w:r>
              <w:rPr>
                <w:rFonts w:hint="eastAsia" w:ascii="Times New Roman" w:hAnsi="Times New Roman" w:cs="Times New Roman"/>
                <w:sz w:val="24"/>
                <w:szCs w:val="24"/>
                <w:u w:val="none"/>
                <w:lang w:val="en-US" w:eastAsia="zh-CN"/>
              </w:rPr>
              <w:t>。</w:t>
            </w:r>
          </w:p>
          <w:p w14:paraId="528184C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1.2 </w:t>
            </w:r>
            <w:r>
              <w:rPr>
                <w:rFonts w:hint="eastAsia" w:ascii="Times New Roman" w:hAnsi="Times New Roman" w:cs="Times New Roman"/>
                <w:sz w:val="24"/>
                <w:szCs w:val="24"/>
                <w:u w:val="none"/>
                <w:lang w:val="en-US" w:eastAsia="zh-CN"/>
              </w:rPr>
              <w:t>规划期限</w:t>
            </w:r>
          </w:p>
          <w:p w14:paraId="20ECEBAC">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规划期限：</w:t>
            </w:r>
            <w:r>
              <w:rPr>
                <w:rFonts w:hint="default" w:ascii="Times New Roman" w:hAnsi="Times New Roman" w:cs="Times New Roman"/>
                <w:sz w:val="24"/>
                <w:szCs w:val="24"/>
                <w:u w:val="none"/>
                <w:lang w:val="en-US" w:eastAsia="zh-CN"/>
              </w:rPr>
              <w:t>2022</w:t>
            </w:r>
            <w:r>
              <w:rPr>
                <w:rFonts w:hint="eastAsia" w:ascii="Times New Roman" w:hAnsi="Times New Roman" w:cs="Times New Roman"/>
                <w:sz w:val="24"/>
                <w:szCs w:val="24"/>
                <w:u w:val="none"/>
                <w:lang w:val="en-US" w:eastAsia="zh-CN"/>
              </w:rPr>
              <w:t>—</w:t>
            </w:r>
            <w:r>
              <w:rPr>
                <w:rFonts w:hint="default" w:ascii="Times New Roman" w:hAnsi="Times New Roman" w:cs="Times New Roman"/>
                <w:sz w:val="24"/>
                <w:szCs w:val="24"/>
                <w:u w:val="none"/>
                <w:lang w:val="en-US" w:eastAsia="zh-CN"/>
              </w:rPr>
              <w:t>2035</w:t>
            </w:r>
            <w:r>
              <w:rPr>
                <w:rFonts w:hint="eastAsia" w:ascii="Times New Roman" w:hAnsi="Times New Roman" w:cs="Times New Roman"/>
                <w:sz w:val="24"/>
                <w:szCs w:val="24"/>
                <w:u w:val="none"/>
                <w:lang w:val="en-US" w:eastAsia="zh-CN"/>
              </w:rPr>
              <w:t>年</w:t>
            </w:r>
          </w:p>
          <w:p w14:paraId="6103C5C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1.3 </w:t>
            </w:r>
            <w:r>
              <w:rPr>
                <w:rFonts w:hint="eastAsia" w:ascii="Times New Roman" w:hAnsi="Times New Roman" w:cs="Times New Roman"/>
                <w:sz w:val="24"/>
                <w:szCs w:val="24"/>
                <w:u w:val="none"/>
                <w:lang w:val="en-US" w:eastAsia="zh-CN"/>
              </w:rPr>
              <w:t>主导产业</w:t>
            </w:r>
          </w:p>
          <w:p w14:paraId="24758A67">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 xml:space="preserve">主导产业：装备制造、资源循环利用及先进无机非金属材料。 </w:t>
            </w:r>
          </w:p>
          <w:p w14:paraId="529D4C1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1.4 </w:t>
            </w:r>
            <w:r>
              <w:rPr>
                <w:rFonts w:hint="eastAsia" w:ascii="Times New Roman" w:hAnsi="Times New Roman" w:cs="Times New Roman"/>
                <w:sz w:val="24"/>
                <w:szCs w:val="24"/>
                <w:u w:val="none"/>
                <w:lang w:val="en-US" w:eastAsia="zh-CN"/>
              </w:rPr>
              <w:t>发展定位</w:t>
            </w:r>
          </w:p>
          <w:p w14:paraId="2254B5D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一区三基地：“一区”，即科技创新型产城融合示范区；“三基地”，即全国特色高端装备研发制造基地、全国一流阻燃材料科技成果转化基地、全国资源循环利用产业发展示范基地。</w:t>
            </w:r>
          </w:p>
          <w:p w14:paraId="0A0A728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1.5 </w:t>
            </w:r>
            <w:r>
              <w:rPr>
                <w:rFonts w:hint="eastAsia" w:ascii="Times New Roman" w:hAnsi="Times New Roman" w:cs="Times New Roman"/>
                <w:sz w:val="24"/>
                <w:szCs w:val="24"/>
                <w:u w:val="none"/>
                <w:lang w:val="en-US" w:eastAsia="zh-CN"/>
              </w:rPr>
              <w:t>空间结构</w:t>
            </w:r>
          </w:p>
          <w:p w14:paraId="079F8CA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三区四园一中心：“三区”，即开发区北、中、南三大片区；“四园”，即高新技术产业园、高端装备制造产业园、无废产业园、智能制造产业园；“一心”，即工业邻里中心。</w:t>
            </w:r>
          </w:p>
          <w:p w14:paraId="2BBE60A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1.6 </w:t>
            </w:r>
            <w:r>
              <w:rPr>
                <w:rFonts w:hint="eastAsia" w:ascii="Times New Roman" w:hAnsi="Times New Roman" w:cs="Times New Roman"/>
                <w:sz w:val="24"/>
                <w:szCs w:val="24"/>
                <w:u w:val="none"/>
                <w:lang w:val="en-US" w:eastAsia="zh-CN"/>
              </w:rPr>
              <w:t>符合性分析</w:t>
            </w:r>
          </w:p>
          <w:p w14:paraId="1F00B99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本项目选址位于河南省许昌市魏都区滨河路与万通路交叉口先进制造业开发区2号</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（许昌宜航卫生用品有限公司院内）</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14:textFill>
                  <w14:solidFill>
                    <w14:schemeClr w14:val="tx1"/>
                  </w14:solidFill>
                </w14:textFill>
              </w:rPr>
              <w:t>根据开发区用地功能布局图（见附图六），项目选址属于二类工业用地。根据开发区总体空间布局图（见附图七），项目选址属于高新技术产业园（北片区），区域主导产业为新材料、生产性服务业。</w:t>
            </w:r>
          </w:p>
          <w:p w14:paraId="59BD029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该项目行业类别为</w:t>
            </w:r>
            <w:r>
              <w:rPr>
                <w:rFonts w:hint="default" w:ascii="Times New Roman" w:hAnsi="Times New Roman" w:eastAsia="宋体" w:cs="Times New Roman"/>
                <w:spacing w:val="-3"/>
                <w:sz w:val="24"/>
                <w:szCs w:val="24"/>
                <w:u w:val="none"/>
                <w:lang w:val="en-US" w:eastAsia="zh-CN"/>
              </w:rPr>
              <w:t>教学用模型及教具制造</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，主要从事模特头生产，符合高新技术产业园主导产业，且</w:t>
            </w:r>
            <w:r>
              <w:rPr>
                <w:rFonts w:hint="eastAsia" w:ascii="Times New Roman" w:hAnsi="Times New Roman" w:cs="Times New Roman"/>
                <w:sz w:val="24"/>
                <w:szCs w:val="24"/>
                <w:u w:val="none"/>
                <w:lang w:val="en-US" w:eastAsia="zh-CN"/>
              </w:rPr>
              <w:t>与开发区发展定位、空间结构不相冲突。根据许昌魏都区先进制造业开发区管理委员会出具入驻证明</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（见附件6），该项目不属于开发区禁止入驻项目</w:t>
            </w:r>
            <w:r>
              <w:rPr>
                <w:rFonts w:hint="eastAsia" w:ascii="Times New Roman" w:hAnsi="Times New Roman" w:cs="Times New Roman"/>
                <w:sz w:val="24"/>
                <w:szCs w:val="24"/>
                <w:u w:val="none"/>
                <w:lang w:val="en-US" w:eastAsia="zh-CN"/>
              </w:rPr>
              <w:t>，拟同意项目入驻。因此，该项目建设符合许昌魏都区先进制造业开发区发展规划的相关要求。</w:t>
            </w:r>
          </w:p>
          <w:p w14:paraId="54CE8F2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2" w:firstLineChars="200"/>
              <w:jc w:val="both"/>
              <w:textAlignment w:val="auto"/>
              <w:rPr>
                <w:rFonts w:hint="eastAsia"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2</w:t>
            </w:r>
            <w:r>
              <w:rPr>
                <w:rFonts w:hint="eastAsia" w:ascii="Times New Roman" w:hAnsi="Times New Roman" w:cs="Times New Roman"/>
                <w:b/>
                <w:bCs/>
                <w:sz w:val="24"/>
                <w:szCs w:val="24"/>
                <w:u w:val="none"/>
                <w:lang w:val="en-US" w:eastAsia="zh-CN"/>
              </w:rPr>
              <w:t>、项目与《许昌魏都区先进制造业开发区发展规划（</w:t>
            </w:r>
            <w:r>
              <w:rPr>
                <w:rFonts w:hint="default" w:ascii="Times New Roman" w:hAnsi="Times New Roman" w:cs="Times New Roman"/>
                <w:b/>
                <w:bCs/>
                <w:sz w:val="24"/>
                <w:szCs w:val="24"/>
                <w:u w:val="none"/>
                <w:lang w:val="en-US" w:eastAsia="zh-CN"/>
              </w:rPr>
              <w:t>2022—2035</w:t>
            </w:r>
            <w:r>
              <w:rPr>
                <w:rFonts w:hint="eastAsia" w:ascii="Times New Roman" w:hAnsi="Times New Roman" w:cs="Times New Roman"/>
                <w:b/>
                <w:bCs/>
                <w:sz w:val="24"/>
                <w:szCs w:val="24"/>
                <w:u w:val="none"/>
                <w:lang w:val="en-US" w:eastAsia="zh-CN"/>
              </w:rPr>
              <w:t>）环境影响报告书》符合性</w:t>
            </w:r>
          </w:p>
          <w:p w14:paraId="508B0C0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eastAsia"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 xml:space="preserve">2.1 </w:t>
            </w:r>
            <w:r>
              <w:rPr>
                <w:rFonts w:hint="eastAsia" w:ascii="Times New Roman" w:hAnsi="Times New Roman" w:cs="Times New Roman"/>
                <w:sz w:val="24"/>
                <w:szCs w:val="24"/>
                <w:u w:val="none"/>
                <w:lang w:val="en-US" w:eastAsia="zh-CN"/>
              </w:rPr>
              <w:t>环境准入</w:t>
            </w:r>
          </w:p>
          <w:p w14:paraId="5F19E13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520" w:lineRule="exact"/>
              <w:ind w:left="0" w:right="0" w:firstLine="480" w:firstLineChars="200"/>
              <w:jc w:val="both"/>
              <w:textAlignment w:val="auto"/>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本项目建设与《许昌魏都区先进制造业开发区发展规划（</w:t>
            </w:r>
            <w:r>
              <w:rPr>
                <w:rFonts w:hint="default" w:ascii="Times New Roman" w:hAnsi="Times New Roman" w:cs="Times New Roman"/>
                <w:sz w:val="24"/>
                <w:szCs w:val="24"/>
                <w:u w:val="none"/>
                <w:lang w:val="en-US" w:eastAsia="zh-CN"/>
              </w:rPr>
              <w:t>2022—2035</w:t>
            </w:r>
            <w:r>
              <w:rPr>
                <w:rFonts w:hint="eastAsia" w:ascii="Times New Roman" w:hAnsi="Times New Roman" w:cs="Times New Roman"/>
                <w:sz w:val="24"/>
                <w:szCs w:val="24"/>
                <w:u w:val="none"/>
                <w:lang w:val="en-US" w:eastAsia="zh-CN"/>
              </w:rPr>
              <w:t xml:space="preserve">）环境影响报告书》环境准入要求符合性分析见表 </w:t>
            </w:r>
            <w:r>
              <w:rPr>
                <w:rFonts w:hint="default" w:ascii="Times New Roman" w:hAnsi="Times New Roman" w:cs="Times New Roman"/>
                <w:sz w:val="24"/>
                <w:szCs w:val="24"/>
                <w:u w:val="none"/>
                <w:lang w:val="en-US" w:eastAsia="zh-CN"/>
              </w:rPr>
              <w:t>1-1</w:t>
            </w:r>
            <w:r>
              <w:rPr>
                <w:rFonts w:hint="eastAsia" w:ascii="Times New Roman" w:hAnsi="Times New Roman" w:cs="Times New Roman"/>
                <w:sz w:val="24"/>
                <w:szCs w:val="24"/>
                <w:u w:val="none"/>
                <w:lang w:val="en-US" w:eastAsia="zh-CN"/>
              </w:rPr>
              <w:t>。</w:t>
            </w:r>
          </w:p>
          <w:p w14:paraId="4018EE04">
            <w:pPr>
              <w:spacing w:beforeAutospacing="0" w:afterAutospacing="0" w:line="520" w:lineRule="exact"/>
              <w:jc w:val="center"/>
              <w:rPr>
                <w:rFonts w:hint="eastAsia" w:ascii="Times New Roman" w:hAnsi="Times New Roman" w:eastAsia="黑体" w:cs="Times New Roman"/>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表 </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1-1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环境准入要求符合性一览表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700"/>
              <w:gridCol w:w="2755"/>
              <w:gridCol w:w="1809"/>
              <w:gridCol w:w="983"/>
            </w:tblGrid>
            <w:tr w14:paraId="4C10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center"/>
                </w:tcPr>
                <w:p w14:paraId="78870DD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类别</w:t>
                  </w:r>
                </w:p>
              </w:tc>
              <w:tc>
                <w:tcPr>
                  <w:tcW w:w="3455" w:type="dxa"/>
                  <w:gridSpan w:val="2"/>
                  <w:vAlign w:val="center"/>
                </w:tcPr>
                <w:p w14:paraId="4E2E5E8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环境准入要求</w:t>
                  </w:r>
                </w:p>
              </w:tc>
              <w:tc>
                <w:tcPr>
                  <w:tcW w:w="1809" w:type="dxa"/>
                  <w:vAlign w:val="center"/>
                </w:tcPr>
                <w:p w14:paraId="057E4F3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本项目情况</w:t>
                  </w:r>
                </w:p>
              </w:tc>
              <w:tc>
                <w:tcPr>
                  <w:tcW w:w="983" w:type="dxa"/>
                  <w:vAlign w:val="center"/>
                </w:tcPr>
                <w:p w14:paraId="62A70D0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符合性</w:t>
                  </w:r>
                </w:p>
              </w:tc>
            </w:tr>
            <w:tr w14:paraId="36529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3BB3BDC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空间布局约束</w:t>
                  </w:r>
                </w:p>
              </w:tc>
              <w:tc>
                <w:tcPr>
                  <w:tcW w:w="700" w:type="dxa"/>
                  <w:vMerge w:val="restart"/>
                  <w:vAlign w:val="center"/>
                </w:tcPr>
                <w:p w14:paraId="411AAB4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北片区</w:t>
                  </w:r>
                </w:p>
              </w:tc>
              <w:tc>
                <w:tcPr>
                  <w:tcW w:w="2755" w:type="dxa"/>
                  <w:vAlign w:val="center"/>
                </w:tcPr>
                <w:p w14:paraId="4A9929D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）禁止新、改、扩建燃用高污染燃料项目（集中供热、热电联产除外）。</w:t>
                  </w:r>
                </w:p>
              </w:tc>
              <w:tc>
                <w:tcPr>
                  <w:tcW w:w="1809" w:type="dxa"/>
                  <w:vAlign w:val="center"/>
                </w:tcPr>
                <w:p w14:paraId="01AD1E5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采用电能</w:t>
                  </w:r>
                </w:p>
              </w:tc>
              <w:tc>
                <w:tcPr>
                  <w:tcW w:w="983" w:type="dxa"/>
                  <w:vAlign w:val="center"/>
                </w:tcPr>
                <w:p w14:paraId="2334CBD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2968C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01532FC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1B1DBE2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52717C5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两高”项目须符合生态环境保护法律法规和相关法定规划，且满足重点污染物排放总量控制、碳排放达峰目标、生态环境准入清单、相关规划环评和相应行业建设项目环境准入条件及环评文件审批原则要求。</w:t>
                  </w:r>
                </w:p>
              </w:tc>
              <w:tc>
                <w:tcPr>
                  <w:tcW w:w="1809" w:type="dxa"/>
                  <w:vAlign w:val="center"/>
                </w:tcPr>
                <w:p w14:paraId="3AC839F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非</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项目同时符合各项环保政策要求</w:t>
                  </w:r>
                </w:p>
              </w:tc>
              <w:tc>
                <w:tcPr>
                  <w:tcW w:w="983" w:type="dxa"/>
                  <w:vAlign w:val="center"/>
                </w:tcPr>
                <w:p w14:paraId="0193B93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1FDB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2390C90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3647E1B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3E5E503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）新材料：禁止建设单纯新增产能的平板玻璃项目；禁止建设耐火材料、水泥、铝用碳素项目。</w:t>
                  </w:r>
                </w:p>
              </w:tc>
              <w:tc>
                <w:tcPr>
                  <w:tcW w:w="1809" w:type="dxa"/>
                  <w:vAlign w:val="center"/>
                </w:tcPr>
                <w:p w14:paraId="0CB8EA6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不属于禁止或限制建设行业</w:t>
                  </w:r>
                </w:p>
              </w:tc>
              <w:tc>
                <w:tcPr>
                  <w:tcW w:w="983" w:type="dxa"/>
                  <w:vAlign w:val="center"/>
                </w:tcPr>
                <w:p w14:paraId="1DEF546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08C8E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0B4DA01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700" w:type="dxa"/>
                  <w:vMerge w:val="continue"/>
                  <w:vAlign w:val="center"/>
                </w:tcPr>
                <w:p w14:paraId="6E6BB7B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2755" w:type="dxa"/>
                  <w:vAlign w:val="center"/>
                </w:tcPr>
                <w:p w14:paraId="4E6B410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）装备制造：禁止新建独立电镀项目（退城入园项目除外）；禁止采用高</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含量的溶剂型涂料及胶粘剂项目入驻；禁止不符合国家产业政策装备制造行业入驻。</w:t>
                  </w:r>
                </w:p>
              </w:tc>
              <w:tc>
                <w:tcPr>
                  <w:tcW w:w="1809" w:type="dxa"/>
                  <w:vAlign w:val="center"/>
                </w:tcPr>
                <w:p w14:paraId="20A51D8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不属于禁止或限制建设行业</w:t>
                  </w:r>
                </w:p>
              </w:tc>
              <w:tc>
                <w:tcPr>
                  <w:tcW w:w="983" w:type="dxa"/>
                  <w:vAlign w:val="center"/>
                </w:tcPr>
                <w:p w14:paraId="23879B2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5AB8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62BE02A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污染排放管控</w:t>
                  </w:r>
                </w:p>
              </w:tc>
              <w:tc>
                <w:tcPr>
                  <w:tcW w:w="3455" w:type="dxa"/>
                  <w:gridSpan w:val="2"/>
                  <w:vAlign w:val="center"/>
                </w:tcPr>
                <w:p w14:paraId="2EA46FB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）新、改、扩建涉</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排放的工业涂装等重点行业项目实行等量或倍量削减替代。</w:t>
                  </w:r>
                </w:p>
              </w:tc>
              <w:tc>
                <w:tcPr>
                  <w:tcW w:w="1809" w:type="dxa"/>
                  <w:vAlign w:val="center"/>
                </w:tcPr>
                <w:p w14:paraId="3112FBB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14:textFill>
                        <w14:solidFill>
                          <w14:schemeClr w14:val="tx1"/>
                        </w14:solidFill>
                      </w14:textFill>
                    </w:rPr>
                    <w:t>本项目</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废气排放实行</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倍量削减</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替代。</w:t>
                  </w:r>
                </w:p>
              </w:tc>
              <w:tc>
                <w:tcPr>
                  <w:tcW w:w="983" w:type="dxa"/>
                  <w:vAlign w:val="center"/>
                </w:tcPr>
                <w:p w14:paraId="1B376EF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49C27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3E92B64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2F5C56A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）新、改、扩建涉及重金属重点行业建设项目实行重点重金属排放“减量替代”。</w:t>
                  </w:r>
                </w:p>
              </w:tc>
              <w:tc>
                <w:tcPr>
                  <w:tcW w:w="1809" w:type="dxa"/>
                  <w:vAlign w:val="center"/>
                </w:tcPr>
                <w:p w14:paraId="1FB11A7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不涉及重金属</w:t>
                  </w:r>
                </w:p>
              </w:tc>
              <w:tc>
                <w:tcPr>
                  <w:tcW w:w="983" w:type="dxa"/>
                  <w:vAlign w:val="center"/>
                </w:tcPr>
                <w:p w14:paraId="61380C6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6905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064549C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0411F9A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）废水须实现全收集、全处理，污水集中处理设施实现管网全配套。集中污水处理尾水排放必须达到或优于《城镇污水处理厂污染物排放标准》（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GB18918-2002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）中一级</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标准。</w:t>
                  </w:r>
                </w:p>
              </w:tc>
              <w:tc>
                <w:tcPr>
                  <w:tcW w:w="1809" w:type="dxa"/>
                  <w:vAlign w:val="center"/>
                </w:tcPr>
                <w:p w14:paraId="2B3C47C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14:textFill>
                        <w14:solidFill>
                          <w14:schemeClr w14:val="tx1"/>
                        </w14:solidFill>
                      </w14:textFill>
                    </w:rPr>
                    <w:t>生活</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污水依托化粪池处理后进入许昌鸿瀚环境技术管理有限公司处理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。冷却水废水进入</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983" w:type="dxa"/>
                  <w:vAlign w:val="center"/>
                </w:tcPr>
                <w:p w14:paraId="645B4BB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40429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48330BA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19EDCE8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）新建</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已出台超低排放要求两高行业项目应满足超低排放要求。</w:t>
                  </w:r>
                </w:p>
              </w:tc>
              <w:tc>
                <w:tcPr>
                  <w:tcW w:w="1809" w:type="dxa"/>
                  <w:vAlign w:val="center"/>
                </w:tcPr>
                <w:p w14:paraId="24F3A0D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非</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两高</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w:t>
                  </w:r>
                </w:p>
              </w:tc>
              <w:tc>
                <w:tcPr>
                  <w:tcW w:w="983" w:type="dxa"/>
                  <w:vAlign w:val="center"/>
                </w:tcPr>
                <w:p w14:paraId="34C3FBB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79FE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529249A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465960A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5</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）区域污染物排放量：颗粒物</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≤47.05t/a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SO</w:t>
                  </w:r>
                  <w:r>
                    <w:rPr>
                      <w:rFonts w:hint="default" w:ascii="Times New Roman" w:hAnsi="Times New Roman" w:eastAsia="宋体" w:cs="宋体"/>
                      <w:color w:val="000000" w:themeColor="text1"/>
                      <w:kern w:val="0"/>
                      <w:sz w:val="21"/>
                      <w:szCs w:val="21"/>
                      <w:u w:val="none"/>
                      <w:vertAlign w:val="subscript"/>
                      <w:lang w:val="en-US" w:eastAsia="zh-CN"/>
                      <w14:textFill>
                        <w14:solidFill>
                          <w14:schemeClr w14:val="tx1"/>
                        </w14:solidFill>
                      </w14:textFill>
                    </w:rPr>
                    <w:t>2</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≤9.53t/a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NO</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x</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≤54.89t/a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VOCs≤79.16t/a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COD≤157.68t/a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NH</w:t>
                  </w:r>
                  <w:r>
                    <w:rPr>
                      <w:rFonts w:hint="default" w:ascii="Times New Roman" w:hAnsi="Times New Roman" w:eastAsia="宋体" w:cs="宋体"/>
                      <w:color w:val="000000" w:themeColor="text1"/>
                      <w:kern w:val="0"/>
                      <w:sz w:val="21"/>
                      <w:szCs w:val="21"/>
                      <w:u w:val="none"/>
                      <w:vertAlign w:val="sub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-N≤7.88t/a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277DD7E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排放量远低于区域排放总量</w:t>
                  </w:r>
                </w:p>
              </w:tc>
              <w:tc>
                <w:tcPr>
                  <w:tcW w:w="983" w:type="dxa"/>
                  <w:vAlign w:val="center"/>
                </w:tcPr>
                <w:p w14:paraId="23576CB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210B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1D0DEAE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环境风险防控</w:t>
                  </w:r>
                </w:p>
              </w:tc>
              <w:tc>
                <w:tcPr>
                  <w:tcW w:w="3455" w:type="dxa"/>
                  <w:gridSpan w:val="2"/>
                  <w:vAlign w:val="center"/>
                </w:tcPr>
                <w:p w14:paraId="01BBE6C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）开发区应成立环境应急组织机构，制定突发环境事件应急预案，并配套建设突发事件应急物资及应急设施，并定期进行演练。</w:t>
                  </w:r>
                </w:p>
              </w:tc>
              <w:tc>
                <w:tcPr>
                  <w:tcW w:w="1809" w:type="dxa"/>
                  <w:vAlign w:val="center"/>
                </w:tcPr>
                <w:p w14:paraId="15B933E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983" w:type="dxa"/>
                  <w:vAlign w:val="center"/>
                </w:tcPr>
                <w:p w14:paraId="381E75E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1AB0B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4615697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1C4EDC3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）开发区内企业按照《企业事业单位突发环境事件应急预案备案管理办法（试行）》的要求，相关企业事业制定完善环境应急预案，并报环境管理部门备案管理，落实有关要求</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4CF823F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建成后按要求编制应急预案组织应急演练</w:t>
                  </w:r>
                </w:p>
              </w:tc>
              <w:tc>
                <w:tcPr>
                  <w:tcW w:w="983" w:type="dxa"/>
                  <w:vAlign w:val="center"/>
                </w:tcPr>
                <w:p w14:paraId="501677D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73ED7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3E9C2A5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05F8CF5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）涉重金属及危化品生产、储存、使用等企业在拆除生产设施设备、污染治理设施时，要事先制定残留污染物清理和安全处置方案。</w:t>
                  </w:r>
                </w:p>
              </w:tc>
              <w:tc>
                <w:tcPr>
                  <w:tcW w:w="1809" w:type="dxa"/>
                  <w:vAlign w:val="center"/>
                </w:tcPr>
                <w:p w14:paraId="21453F3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不涉及重金属及危险化学品</w:t>
                  </w:r>
                </w:p>
              </w:tc>
              <w:tc>
                <w:tcPr>
                  <w:tcW w:w="983" w:type="dxa"/>
                  <w:vAlign w:val="center"/>
                </w:tcPr>
                <w:p w14:paraId="76723B7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5DFF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restart"/>
                  <w:vAlign w:val="center"/>
                </w:tcPr>
                <w:p w14:paraId="0DAAD8E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资源开发利用管控</w:t>
                  </w:r>
                </w:p>
              </w:tc>
              <w:tc>
                <w:tcPr>
                  <w:tcW w:w="3455" w:type="dxa"/>
                  <w:gridSpan w:val="2"/>
                  <w:vAlign w:val="center"/>
                </w:tcPr>
                <w:p w14:paraId="35AAAA4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）依托集中污水处理厂建设再生水回用的配套设施，提高再生水利用率。</w:t>
                  </w:r>
                </w:p>
              </w:tc>
              <w:tc>
                <w:tcPr>
                  <w:tcW w:w="1809" w:type="dxa"/>
                  <w:vAlign w:val="center"/>
                </w:tcPr>
                <w:p w14:paraId="7111A9F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983" w:type="dxa"/>
                  <w:vAlign w:val="center"/>
                </w:tcPr>
                <w:p w14:paraId="65D3DAD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13864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721FF5D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04E26E3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）加快开发区基础设施建设，实现开发区生产、生活集中供水，逐步取缔关闭企业自备地下水井。</w:t>
                  </w:r>
                </w:p>
              </w:tc>
              <w:tc>
                <w:tcPr>
                  <w:tcW w:w="1809" w:type="dxa"/>
                  <w:vAlign w:val="center"/>
                </w:tcPr>
                <w:p w14:paraId="20D3F47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由开发区集中供水，不涉及自备地下水井</w:t>
                  </w:r>
                </w:p>
              </w:tc>
              <w:tc>
                <w:tcPr>
                  <w:tcW w:w="983" w:type="dxa"/>
                  <w:vAlign w:val="center"/>
                </w:tcPr>
                <w:p w14:paraId="4C4CC57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52A42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22C6B3B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29CB0B6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3</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）新建、改扩建项目单位产品水耗、能耗、污染物排放清洁生产指标达到国内先进水平。</w:t>
                  </w:r>
                </w:p>
              </w:tc>
              <w:tc>
                <w:tcPr>
                  <w:tcW w:w="1809" w:type="dxa"/>
                  <w:vAlign w:val="center"/>
                </w:tcPr>
                <w:p w14:paraId="59EEE5A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各项指标达到国内先进水平</w:t>
                  </w:r>
                </w:p>
              </w:tc>
              <w:tc>
                <w:tcPr>
                  <w:tcW w:w="983" w:type="dxa"/>
                  <w:vAlign w:val="center"/>
                </w:tcPr>
                <w:p w14:paraId="241E48D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262A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Merge w:val="continue"/>
                  <w:vAlign w:val="center"/>
                </w:tcPr>
                <w:p w14:paraId="17BA4B4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3455" w:type="dxa"/>
                  <w:gridSpan w:val="2"/>
                  <w:vAlign w:val="center"/>
                </w:tcPr>
                <w:p w14:paraId="732C8D6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4</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）区域资源利用上限：土地资源</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≤10.72km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、水资源</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≤627.80</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万</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、天然气</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≤1500</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万</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m</w:t>
                  </w:r>
                  <w:r>
                    <w:rPr>
                      <w:rFonts w:hint="default" w:ascii="Times New Roman" w:hAnsi="Times New Roman" w:eastAsia="宋体" w:cs="宋体"/>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w:t>
                  </w:r>
                </w:p>
              </w:tc>
              <w:tc>
                <w:tcPr>
                  <w:tcW w:w="1809" w:type="dxa"/>
                  <w:vAlign w:val="center"/>
                </w:tcPr>
                <w:p w14:paraId="552B7FF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资源消耗满足区域利用上限</w:t>
                  </w:r>
                </w:p>
              </w:tc>
              <w:tc>
                <w:tcPr>
                  <w:tcW w:w="983" w:type="dxa"/>
                  <w:vAlign w:val="center"/>
                </w:tcPr>
                <w:p w14:paraId="14FCFED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0BB9D07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sz w:val="24"/>
                <w:szCs w:val="24"/>
              </w:rPr>
            </w:pPr>
            <w:r>
              <w:rPr>
                <w:rFonts w:hint="eastAsia" w:ascii="宋体" w:hAnsi="宋体" w:eastAsia="宋体" w:cs="宋体"/>
                <w:b w:val="0"/>
                <w:bCs w:val="0"/>
                <w:color w:val="000000"/>
                <w:kern w:val="0"/>
                <w:sz w:val="24"/>
                <w:szCs w:val="24"/>
                <w:lang w:val="en-US" w:eastAsia="zh-CN" w:bidi="ar"/>
              </w:rPr>
              <w:t>由表</w:t>
            </w:r>
            <w:r>
              <w:rPr>
                <w:rFonts w:hint="default" w:ascii="Times New Roman" w:hAnsi="Times New Roman" w:eastAsia="宋体" w:cs="Times New Roman"/>
                <w:b w:val="0"/>
                <w:bCs w:val="0"/>
                <w:color w:val="000000"/>
                <w:kern w:val="0"/>
                <w:sz w:val="24"/>
                <w:szCs w:val="24"/>
                <w:lang w:val="en-US" w:eastAsia="zh-CN" w:bidi="ar"/>
              </w:rPr>
              <w:t>1-1</w:t>
            </w:r>
            <w:r>
              <w:rPr>
                <w:rFonts w:hint="eastAsia" w:ascii="宋体" w:hAnsi="宋体" w:eastAsia="宋体" w:cs="宋体"/>
                <w:b w:val="0"/>
                <w:bCs w:val="0"/>
                <w:color w:val="000000"/>
                <w:kern w:val="0"/>
                <w:sz w:val="24"/>
                <w:szCs w:val="24"/>
                <w:lang w:val="en-US" w:eastAsia="zh-CN" w:bidi="ar"/>
              </w:rPr>
              <w:t>可知，本项目建设符合开发区规划环评中的环境准入要求。</w:t>
            </w:r>
          </w:p>
          <w:p w14:paraId="7EAD279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sz w:val="24"/>
                <w:szCs w:val="24"/>
              </w:rPr>
            </w:pPr>
            <w:r>
              <w:rPr>
                <w:rFonts w:hint="default" w:ascii="Times New Roman" w:hAnsi="Times New Roman" w:eastAsia="宋体" w:cs="Times New Roman"/>
                <w:b w:val="0"/>
                <w:bCs w:val="0"/>
                <w:color w:val="000000"/>
                <w:kern w:val="0"/>
                <w:sz w:val="24"/>
                <w:szCs w:val="24"/>
                <w:lang w:val="en-US" w:eastAsia="zh-CN" w:bidi="ar"/>
              </w:rPr>
              <w:t xml:space="preserve">2.2 </w:t>
            </w:r>
            <w:r>
              <w:rPr>
                <w:rFonts w:hint="eastAsia" w:ascii="宋体" w:hAnsi="宋体" w:eastAsia="宋体" w:cs="宋体"/>
                <w:b w:val="0"/>
                <w:bCs w:val="0"/>
                <w:color w:val="000000"/>
                <w:kern w:val="0"/>
                <w:sz w:val="24"/>
                <w:szCs w:val="24"/>
                <w:lang w:val="en-US" w:eastAsia="zh-CN" w:bidi="ar"/>
              </w:rPr>
              <w:t>空间管制</w:t>
            </w:r>
          </w:p>
          <w:p w14:paraId="48EF605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sz w:val="24"/>
                <w:szCs w:val="24"/>
              </w:rPr>
            </w:pPr>
            <w:r>
              <w:rPr>
                <w:rFonts w:hint="eastAsia" w:ascii="宋体" w:hAnsi="宋体" w:eastAsia="宋体" w:cs="宋体"/>
                <w:b w:val="0"/>
                <w:bCs w:val="0"/>
                <w:color w:val="000000"/>
                <w:kern w:val="0"/>
                <w:sz w:val="24"/>
                <w:szCs w:val="24"/>
                <w:lang w:val="en-US" w:eastAsia="zh-CN" w:bidi="ar"/>
              </w:rPr>
              <w:t>本项目建设与《许昌魏都区先进制造业开发区发展规划（</w:t>
            </w:r>
            <w:r>
              <w:rPr>
                <w:rFonts w:hint="default" w:ascii="Times New Roman" w:hAnsi="Times New Roman" w:eastAsia="宋体" w:cs="Times New Roman"/>
                <w:b w:val="0"/>
                <w:bCs w:val="0"/>
                <w:color w:val="000000"/>
                <w:kern w:val="0"/>
                <w:sz w:val="24"/>
                <w:szCs w:val="24"/>
                <w:lang w:val="en-US" w:eastAsia="zh-CN" w:bidi="ar"/>
              </w:rPr>
              <w:t>2022—2035</w:t>
            </w:r>
            <w:r>
              <w:rPr>
                <w:rFonts w:hint="eastAsia" w:ascii="宋体" w:hAnsi="宋体" w:eastAsia="宋体" w:cs="宋体"/>
                <w:b w:val="0"/>
                <w:bCs w:val="0"/>
                <w:color w:val="000000"/>
                <w:kern w:val="0"/>
                <w:sz w:val="24"/>
                <w:szCs w:val="24"/>
                <w:lang w:val="en-US" w:eastAsia="zh-CN" w:bidi="ar"/>
              </w:rPr>
              <w:t xml:space="preserve">）环境影响报告书》空间管制要求符合性分析见表 </w:t>
            </w:r>
            <w:r>
              <w:rPr>
                <w:rFonts w:hint="default" w:ascii="Times New Roman" w:hAnsi="Times New Roman" w:eastAsia="宋体" w:cs="Times New Roman"/>
                <w:b w:val="0"/>
                <w:bCs w:val="0"/>
                <w:color w:val="000000"/>
                <w:kern w:val="0"/>
                <w:sz w:val="24"/>
                <w:szCs w:val="24"/>
                <w:lang w:val="en-US" w:eastAsia="zh-CN" w:bidi="ar"/>
              </w:rPr>
              <w:t>1-2</w:t>
            </w:r>
            <w:r>
              <w:rPr>
                <w:rFonts w:hint="eastAsia" w:ascii="宋体" w:hAnsi="宋体" w:eastAsia="宋体" w:cs="宋体"/>
                <w:b w:val="0"/>
                <w:bCs w:val="0"/>
                <w:color w:val="000000"/>
                <w:kern w:val="0"/>
                <w:sz w:val="24"/>
                <w:szCs w:val="24"/>
                <w:lang w:val="en-US" w:eastAsia="zh-CN" w:bidi="ar"/>
              </w:rPr>
              <w:t>。</w:t>
            </w:r>
          </w:p>
          <w:p w14:paraId="510F808F">
            <w:pPr>
              <w:spacing w:beforeAutospacing="0" w:afterAutospacing="0" w:line="520" w:lineRule="exact"/>
              <w:jc w:val="center"/>
              <w:rPr>
                <w:rFonts w:hint="eastAsia" w:ascii="Times New Roman" w:hAnsi="Times New Roman" w:eastAsia="黑体" w:cs="Times New Roman"/>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表 </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1-2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空间管制要求符合性一览表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901"/>
              <w:gridCol w:w="1945"/>
              <w:gridCol w:w="1364"/>
              <w:gridCol w:w="879"/>
            </w:tblGrid>
            <w:tr w14:paraId="28013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03CEBBB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分区</w:t>
                  </w:r>
                </w:p>
              </w:tc>
              <w:tc>
                <w:tcPr>
                  <w:tcW w:w="1901" w:type="dxa"/>
                  <w:vAlign w:val="center"/>
                </w:tcPr>
                <w:p w14:paraId="6C4C5D8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空间区块</w:t>
                  </w:r>
                </w:p>
              </w:tc>
              <w:tc>
                <w:tcPr>
                  <w:tcW w:w="1945" w:type="dxa"/>
                  <w:vAlign w:val="center"/>
                </w:tcPr>
                <w:p w14:paraId="2CC3F24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管制要求</w:t>
                  </w:r>
                </w:p>
              </w:tc>
              <w:tc>
                <w:tcPr>
                  <w:tcW w:w="1364" w:type="dxa"/>
                  <w:vAlign w:val="center"/>
                </w:tcPr>
                <w:p w14:paraId="05B532D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b/>
                      <w:bCs/>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本项目情况</w:t>
                  </w:r>
                </w:p>
              </w:tc>
              <w:tc>
                <w:tcPr>
                  <w:tcW w:w="879" w:type="dxa"/>
                  <w:vAlign w:val="center"/>
                </w:tcPr>
                <w:p w14:paraId="43B83F2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b/>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b/>
                      <w:bCs/>
                      <w:color w:val="000000" w:themeColor="text1"/>
                      <w:kern w:val="0"/>
                      <w:sz w:val="21"/>
                      <w:szCs w:val="21"/>
                      <w:u w:val="none"/>
                      <w:lang w:val="en-US" w:eastAsia="zh-CN"/>
                      <w14:textFill>
                        <w14:solidFill>
                          <w14:schemeClr w14:val="tx1"/>
                        </w14:solidFill>
                      </w14:textFill>
                    </w:rPr>
                    <w:t>符合性</w:t>
                  </w:r>
                </w:p>
              </w:tc>
            </w:tr>
            <w:tr w14:paraId="30A23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Merge w:val="restart"/>
                  <w:vAlign w:val="center"/>
                </w:tcPr>
                <w:p w14:paraId="7161203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禁建区</w:t>
                  </w:r>
                </w:p>
              </w:tc>
              <w:tc>
                <w:tcPr>
                  <w:tcW w:w="1901" w:type="dxa"/>
                  <w:vAlign w:val="center"/>
                </w:tcPr>
                <w:p w14:paraId="4DF1BDB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公共绿地</w:t>
                  </w:r>
                </w:p>
              </w:tc>
              <w:tc>
                <w:tcPr>
                  <w:tcW w:w="1945" w:type="dxa"/>
                  <w:vMerge w:val="restart"/>
                  <w:vAlign w:val="center"/>
                </w:tcPr>
                <w:p w14:paraId="0BE7535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严禁与设施功能无关的建设活动</w:t>
                  </w:r>
                </w:p>
              </w:tc>
              <w:tc>
                <w:tcPr>
                  <w:tcW w:w="1364" w:type="dxa"/>
                  <w:vMerge w:val="restart"/>
                  <w:vAlign w:val="center"/>
                </w:tcPr>
                <w:p w14:paraId="638CEFC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不涉及禁止或限制建设区域</w:t>
                  </w:r>
                </w:p>
              </w:tc>
              <w:tc>
                <w:tcPr>
                  <w:tcW w:w="879" w:type="dxa"/>
                  <w:vMerge w:val="restart"/>
                  <w:vAlign w:val="center"/>
                </w:tcPr>
                <w:p w14:paraId="2200DDB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775DF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89" w:type="dxa"/>
                  <w:vMerge w:val="continue"/>
                  <w:vAlign w:val="center"/>
                </w:tcPr>
                <w:p w14:paraId="37710E7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589E369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道路两侧绿化带</w:t>
                  </w:r>
                </w:p>
              </w:tc>
              <w:tc>
                <w:tcPr>
                  <w:tcW w:w="1945" w:type="dxa"/>
                  <w:vMerge w:val="continue"/>
                  <w:vAlign w:val="center"/>
                </w:tcPr>
                <w:p w14:paraId="0314B71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364" w:type="dxa"/>
                  <w:vMerge w:val="continue"/>
                  <w:vAlign w:val="center"/>
                </w:tcPr>
                <w:p w14:paraId="01F00CD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48F9B57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6CA96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89" w:type="dxa"/>
                  <w:vMerge w:val="continue"/>
                  <w:vAlign w:val="center"/>
                </w:tcPr>
                <w:p w14:paraId="1F81F9F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436E9B7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水域用地</w:t>
                  </w:r>
                </w:p>
              </w:tc>
              <w:tc>
                <w:tcPr>
                  <w:tcW w:w="1945" w:type="dxa"/>
                  <w:vMerge w:val="restart"/>
                  <w:vAlign w:val="center"/>
                </w:tcPr>
                <w:p w14:paraId="2CB0494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严禁与河流保护无关的建设活动</w:t>
                  </w:r>
                </w:p>
              </w:tc>
              <w:tc>
                <w:tcPr>
                  <w:tcW w:w="1364" w:type="dxa"/>
                  <w:vMerge w:val="continue"/>
                  <w:vAlign w:val="center"/>
                </w:tcPr>
                <w:p w14:paraId="6564A21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7FB0E62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2F3AB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Merge w:val="continue"/>
                  <w:vAlign w:val="center"/>
                </w:tcPr>
                <w:p w14:paraId="44FE613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901" w:type="dxa"/>
                  <w:vAlign w:val="center"/>
                </w:tcPr>
                <w:p w14:paraId="703B138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河道两侧绿化带</w:t>
                  </w:r>
                </w:p>
              </w:tc>
              <w:tc>
                <w:tcPr>
                  <w:tcW w:w="1945" w:type="dxa"/>
                  <w:vMerge w:val="continue"/>
                  <w:vAlign w:val="center"/>
                </w:tcPr>
                <w:p w14:paraId="36CA555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1364" w:type="dxa"/>
                  <w:vMerge w:val="continue"/>
                  <w:vAlign w:val="center"/>
                </w:tcPr>
                <w:p w14:paraId="1098E42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627A190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36883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5310F6C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限建区</w:t>
                  </w:r>
                </w:p>
              </w:tc>
              <w:tc>
                <w:tcPr>
                  <w:tcW w:w="1901" w:type="dxa"/>
                  <w:vAlign w:val="center"/>
                </w:tcPr>
                <w:p w14:paraId="4D82633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高压廊道、地下管道埋藏等其它用地</w:t>
                  </w:r>
                </w:p>
              </w:tc>
              <w:tc>
                <w:tcPr>
                  <w:tcW w:w="1945" w:type="dxa"/>
                  <w:vAlign w:val="center"/>
                </w:tcPr>
                <w:p w14:paraId="75D52A8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严禁与河流保护无关的建设活动</w:t>
                  </w:r>
                </w:p>
              </w:tc>
              <w:tc>
                <w:tcPr>
                  <w:tcW w:w="1364" w:type="dxa"/>
                  <w:vMerge w:val="continue"/>
                  <w:vAlign w:val="center"/>
                </w:tcPr>
                <w:p w14:paraId="2B639E0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c>
                <w:tcPr>
                  <w:tcW w:w="879" w:type="dxa"/>
                  <w:vMerge w:val="continue"/>
                  <w:vAlign w:val="center"/>
                </w:tcPr>
                <w:p w14:paraId="3D7D649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p>
              </w:tc>
            </w:tr>
            <w:tr w14:paraId="52777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9" w:type="dxa"/>
                  <w:vAlign w:val="center"/>
                </w:tcPr>
                <w:p w14:paraId="7FDC407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适建区</w:t>
                  </w:r>
                </w:p>
              </w:tc>
              <w:tc>
                <w:tcPr>
                  <w:tcW w:w="1901" w:type="dxa"/>
                  <w:vAlign w:val="center"/>
                </w:tcPr>
                <w:p w14:paraId="6C451D9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生产空间</w:t>
                  </w:r>
                </w:p>
              </w:tc>
              <w:tc>
                <w:tcPr>
                  <w:tcW w:w="1945" w:type="dxa"/>
                  <w:vAlign w:val="center"/>
                </w:tcPr>
                <w:p w14:paraId="5944381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按规划要求合理开发利用</w:t>
                  </w:r>
                </w:p>
              </w:tc>
              <w:tc>
                <w:tcPr>
                  <w:tcW w:w="1364" w:type="dxa"/>
                  <w:vAlign w:val="center"/>
                </w:tcPr>
                <w:p w14:paraId="7273416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符合主导产业</w:t>
                  </w:r>
                </w:p>
              </w:tc>
              <w:tc>
                <w:tcPr>
                  <w:tcW w:w="879" w:type="dxa"/>
                  <w:vAlign w:val="center"/>
                </w:tcPr>
                <w:p w14:paraId="536652F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05626C6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由表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宋体" w:hAnsi="宋体" w:eastAsia="宋体" w:cs="宋体"/>
                <w:color w:val="000000" w:themeColor="text1"/>
                <w:kern w:val="0"/>
                <w:sz w:val="24"/>
                <w:szCs w:val="24"/>
                <w:lang w:val="en-US" w:eastAsia="zh-CN" w:bidi="ar"/>
                <w14:textFill>
                  <w14:solidFill>
                    <w14:schemeClr w14:val="tx1"/>
                  </w14:solidFill>
                </w14:textFill>
              </w:rPr>
              <w:t>可知，本项目建设符合开发区规划环评中的空间管制要求。</w:t>
            </w:r>
          </w:p>
          <w:p w14:paraId="1DBBA0F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 xml:space="preserve">2.3 </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审查意见</w:t>
            </w:r>
          </w:p>
          <w:p w14:paraId="32146A9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本项目建设与《许昌市生态环境局关于许昌魏都区先进制造业开发区发展规划（</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2022-2035</w:t>
            </w:r>
            <w:r>
              <w:rPr>
                <w:rFonts w:hint="eastAsia" w:ascii="宋体" w:hAnsi="宋体" w:eastAsia="宋体" w:cs="宋体"/>
                <w:color w:val="000000" w:themeColor="text1"/>
                <w:kern w:val="0"/>
                <w:sz w:val="24"/>
                <w:szCs w:val="24"/>
                <w:lang w:val="en-US" w:eastAsia="zh-CN" w:bidi="ar"/>
                <w14:textFill>
                  <w14:solidFill>
                    <w14:schemeClr w14:val="tx1"/>
                  </w14:solidFill>
                </w14:textFill>
              </w:rPr>
              <w:t>）环境影响报告书审查意见》（许环建审〔</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2024</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14</w:t>
            </w:r>
            <w:r>
              <w:rPr>
                <w:rFonts w:hint="eastAsia" w:ascii="宋体" w:hAnsi="宋体" w:eastAsia="宋体" w:cs="宋体"/>
                <w:color w:val="000000" w:themeColor="text1"/>
                <w:kern w:val="0"/>
                <w:sz w:val="24"/>
                <w:szCs w:val="24"/>
                <w:lang w:val="en-US" w:eastAsia="zh-CN" w:bidi="ar"/>
                <w14:textFill>
                  <w14:solidFill>
                    <w14:schemeClr w14:val="tx1"/>
                  </w14:solidFill>
                </w14:textFill>
              </w:rPr>
              <w:t>号）符合性分析见表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1-3</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316779E0">
            <w:pPr>
              <w:spacing w:beforeAutospacing="0" w:afterAutospacing="0" w:line="520" w:lineRule="exact"/>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lang w:val="en-US" w:eastAsia="zh-CN"/>
                <w14:textFill>
                  <w14:solidFill>
                    <w14:schemeClr w14:val="tx1"/>
                  </w14:solidFill>
                </w14:textFill>
              </w:rPr>
              <w:t xml:space="preserve">表 1-3 </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审查意见符合性一览表</w:t>
            </w:r>
          </w:p>
          <w:tbl>
            <w:tblPr>
              <w:tblStyle w:val="24"/>
              <w:tblW w:w="6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2981"/>
              <w:gridCol w:w="1939"/>
              <w:gridCol w:w="890"/>
            </w:tblGrid>
            <w:tr w14:paraId="6EDAB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4523043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类别</w:t>
                  </w:r>
                </w:p>
              </w:tc>
              <w:tc>
                <w:tcPr>
                  <w:tcW w:w="2981" w:type="dxa"/>
                  <w:vAlign w:val="center"/>
                </w:tcPr>
                <w:p w14:paraId="7EC52C1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审查意见</w:t>
                  </w:r>
                </w:p>
              </w:tc>
              <w:tc>
                <w:tcPr>
                  <w:tcW w:w="1939" w:type="dxa"/>
                  <w:vAlign w:val="center"/>
                </w:tcPr>
                <w:p w14:paraId="17F479B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本项目情况</w:t>
                  </w:r>
                </w:p>
              </w:tc>
              <w:tc>
                <w:tcPr>
                  <w:tcW w:w="890" w:type="dxa"/>
                  <w:vAlign w:val="center"/>
                </w:tcPr>
                <w:p w14:paraId="4B30EFB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符合性</w:t>
                  </w:r>
                </w:p>
              </w:tc>
            </w:tr>
            <w:tr w14:paraId="3416E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1DE089D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优化空间布局</w:t>
                  </w:r>
                </w:p>
              </w:tc>
              <w:tc>
                <w:tcPr>
                  <w:tcW w:w="2981" w:type="dxa"/>
                  <w:vAlign w:val="center"/>
                </w:tcPr>
                <w:p w14:paraId="0901F1F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加强与全市国土空间规划、“三线一单”生态环境分区管控及相关</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十四五</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专项规划街接，</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保持</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协调一致。结合开发区开发利用进度，做好规划控制和生态隔离带建设，加强开发区及周边饮用水源地、生活区防护，确保开发区产业布局与生态环境保护、人居环境安全协调同时，科学引进项目并合理优化布局，在区内饮用水水源地周边及其上游区域，不得建设对地下水环境影响较大的项目。</w:t>
                  </w:r>
                </w:p>
              </w:tc>
              <w:tc>
                <w:tcPr>
                  <w:tcW w:w="1939" w:type="dxa"/>
                  <w:vAlign w:val="center"/>
                </w:tcPr>
                <w:p w14:paraId="56C6B14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选址符合全市国土空间规划及</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三线一单</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不涉及饮用水水源保护区，不会对地下水环境</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造成</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影响</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890" w:type="dxa"/>
                  <w:vAlign w:val="center"/>
                </w:tcPr>
                <w:p w14:paraId="33FCA86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0FBA3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78932CE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强化污染总量控制</w:t>
                  </w:r>
                </w:p>
              </w:tc>
              <w:tc>
                <w:tcPr>
                  <w:tcW w:w="2981" w:type="dxa"/>
                  <w:vAlign w:val="center"/>
                </w:tcPr>
                <w:p w14:paraId="0E1D2C0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根据大气、水、土壤及重金属污染防治要求，严格执行有关行业污染物排放标准；严格执行污染物排放总量控制制度，新增污</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染物</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排放指标应做到“等量、倍量或减量替代”，确保区域环境质量持续改善。</w:t>
                  </w:r>
                </w:p>
              </w:tc>
              <w:tc>
                <w:tcPr>
                  <w:tcW w:w="1939" w:type="dxa"/>
                  <w:vAlign w:val="center"/>
                </w:tcPr>
                <w:p w14:paraId="6DEBB23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14:textFill>
                        <w14:solidFill>
                          <w14:schemeClr w14:val="tx1"/>
                        </w14:solidFill>
                      </w14:textFill>
                    </w:rPr>
                    <w:t>对COD、氨氮、非甲烷总烃进行总量替代</w:t>
                  </w:r>
                </w:p>
              </w:tc>
              <w:tc>
                <w:tcPr>
                  <w:tcW w:w="890" w:type="dxa"/>
                  <w:vAlign w:val="center"/>
                </w:tcPr>
                <w:p w14:paraId="683A4AC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21394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36AAC28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严格建设项目环境准入</w:t>
                  </w:r>
                </w:p>
              </w:tc>
              <w:tc>
                <w:tcPr>
                  <w:tcW w:w="2981" w:type="dxa"/>
                  <w:vAlign w:val="center"/>
                </w:tcPr>
                <w:p w14:paraId="083FAFF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严格落实《报告书》环境准入要求，鼓励符合开发区功能定位、国家产业政策鼓励项目入驻限制与开发区主导产业无关，污染物排放量</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大的</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项目入驻，限制使用高</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含量溶剂型涂料、胶粘剂等项目入驻；禁止纳入产业政策限制类项目入驻（落实产能置换，且符合开发区产业发展方向项目除外），禁止建设与开发区资源循环利用产业发展方向不相</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符的</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危废处置项目，禁止新建独立电镀项目（退城入园项目除外）</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939" w:type="dxa"/>
                  <w:vAlign w:val="center"/>
                </w:tcPr>
                <w:p w14:paraId="76F0554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符合主导产业及功能定位，污染排放较小且不使用高</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VOCs</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含量溶剂型涂料、胶粘剂，不属于限制或禁止建设项目</w:t>
                  </w:r>
                </w:p>
              </w:tc>
              <w:tc>
                <w:tcPr>
                  <w:tcW w:w="890" w:type="dxa"/>
                  <w:vAlign w:val="center"/>
                </w:tcPr>
                <w:p w14:paraId="4DAFBFB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66147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417C0B2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加快基础设施建设</w:t>
                  </w:r>
                </w:p>
              </w:tc>
              <w:tc>
                <w:tcPr>
                  <w:tcW w:w="2981" w:type="dxa"/>
                  <w:vAlign w:val="center"/>
                </w:tcPr>
                <w:p w14:paraId="4B0B6DC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针对开发区现状存在生态环境问题，加快推进集中供水、排水基础设施建设，细化中水回用方案，完善雨水、污水、中水配套管网，实现开发区内雨污分流和污水妥善处置，新建污水处理厂出水指标满足《城镇污水处理厂污染物排放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GB18918-2002</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）中一级</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A</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标准，（</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COD&lt;30mg/L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氨氮</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≤1.5mg/L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总磷</w:t>
                  </w:r>
                  <w:r>
                    <w:rPr>
                      <w:rFonts w:hint="default" w:ascii="Times New Roman" w:hAnsi="Times New Roman" w:eastAsia="宋体" w:cs="宋体"/>
                      <w:color w:val="000000" w:themeColor="text1"/>
                      <w:kern w:val="0"/>
                      <w:sz w:val="21"/>
                      <w:szCs w:val="21"/>
                      <w:u w:val="none"/>
                      <w:lang w:val="en-US" w:eastAsia="zh-CN"/>
                      <w14:textFill>
                        <w14:solidFill>
                          <w14:schemeClr w14:val="tx1"/>
                        </w14:solidFill>
                      </w14:textFill>
                    </w:rPr>
                    <w:t>&lt;0.3mg/L</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）结合相关上位规划，进一步合理优化供热方案</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1939" w:type="dxa"/>
                  <w:vAlign w:val="center"/>
                </w:tcPr>
                <w:p w14:paraId="3618C25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厂区雨污分流</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；生活</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污水依托化粪池处理后进入许昌鸿瀚环境技术管理有限公司处理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。冷却水废水进入</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许昌鸿瀚环境技术管理有限公司处理</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p>
              </w:tc>
              <w:tc>
                <w:tcPr>
                  <w:tcW w:w="890" w:type="dxa"/>
                  <w:vAlign w:val="center"/>
                </w:tcPr>
                <w:p w14:paraId="40C04CC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31C60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25103B6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健全生态环境监管体系</w:t>
                  </w:r>
                </w:p>
              </w:tc>
              <w:tc>
                <w:tcPr>
                  <w:tcW w:w="2981" w:type="dxa"/>
                  <w:vAlign w:val="center"/>
                </w:tcPr>
                <w:p w14:paraId="38D7A13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统筹考虑区内污染防治、环境风险防范、环境管理等事宜建立健全开发区的环境监督管理、环境风险防范体系和联防联控机制，提升环境风险防控和应急响</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应能</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力，保障区域环境安全；同时建立完善包括环境空气、地表水、地下水、声环境、土壤等环境要素的监控体系</w:t>
                  </w:r>
                  <w:r>
                    <w:rPr>
                      <w:rFonts w:hint="eastAsia" w:ascii="Times New Roman" w:hAnsi="Times New Roman" w:cs="宋体"/>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做好长期跟踪监测与管理，根据监测评估结果适时优化调整开发区总体发展规划。</w:t>
                  </w:r>
                </w:p>
              </w:tc>
              <w:tc>
                <w:tcPr>
                  <w:tcW w:w="1939" w:type="dxa"/>
                  <w:vAlign w:val="center"/>
                </w:tcPr>
                <w:p w14:paraId="273D87C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890" w:type="dxa"/>
                  <w:vAlign w:val="center"/>
                </w:tcPr>
                <w:p w14:paraId="46BA992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r w14:paraId="09324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Align w:val="center"/>
                </w:tcPr>
                <w:p w14:paraId="6E766B8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开展影响跟踪评价</w:t>
                  </w:r>
                </w:p>
              </w:tc>
              <w:tc>
                <w:tcPr>
                  <w:tcW w:w="2981" w:type="dxa"/>
                  <w:vAlign w:val="center"/>
                </w:tcPr>
                <w:p w14:paraId="09AF50E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在规划实施过程中，应适时开展环境影响跟踪评价，跟踪规划环评成果的落实情况，对规划进行相应调整和改进；规划内容发生重大变化或新一轮修编时，应重新进行环境影响评价。</w:t>
                  </w:r>
                </w:p>
              </w:tc>
              <w:tc>
                <w:tcPr>
                  <w:tcW w:w="1939" w:type="dxa"/>
                  <w:vAlign w:val="center"/>
                </w:tcPr>
                <w:p w14:paraId="312544B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不涉及</w:t>
                  </w:r>
                </w:p>
              </w:tc>
              <w:tc>
                <w:tcPr>
                  <w:tcW w:w="890" w:type="dxa"/>
                  <w:vAlign w:val="center"/>
                </w:tcPr>
                <w:p w14:paraId="4FA2930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kern w:val="0"/>
                      <w:sz w:val="21"/>
                      <w:szCs w:val="21"/>
                      <w:u w:val="none"/>
                      <w:lang w:val="zh-CN"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14:textFill>
                        <w14:solidFill>
                          <w14:schemeClr w14:val="tx1"/>
                        </w14:solidFill>
                      </w14:textFill>
                    </w:rPr>
                    <w:t>符合</w:t>
                  </w:r>
                </w:p>
              </w:tc>
            </w:tr>
          </w:tbl>
          <w:p w14:paraId="7A1666E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Times New Roman"/>
                <w:sz w:val="24"/>
                <w:szCs w:val="24"/>
                <w:u w:val="none"/>
                <w:lang w:val="zh-CN" w:eastAsia="zh-CN"/>
              </w:rPr>
            </w:pPr>
            <w:r>
              <w:rPr>
                <w:rFonts w:hint="eastAsia" w:ascii="Times New Roman" w:hAnsi="Times New Roman" w:eastAsia="宋体" w:cs="Times New Roman"/>
                <w:sz w:val="24"/>
                <w:szCs w:val="24"/>
                <w:lang w:val="en-US" w:eastAsia="zh-CN" w:bidi="zh-CN"/>
              </w:rPr>
              <w:t>由表</w:t>
            </w:r>
            <w:r>
              <w:rPr>
                <w:rFonts w:hint="default" w:ascii="Times New Roman" w:hAnsi="Times New Roman" w:eastAsia="宋体" w:cs="Times New Roman"/>
                <w:sz w:val="24"/>
                <w:szCs w:val="24"/>
                <w:lang w:val="en-US" w:eastAsia="zh-CN" w:bidi="zh-CN"/>
              </w:rPr>
              <w:t>1-3</w:t>
            </w:r>
            <w:r>
              <w:rPr>
                <w:rFonts w:hint="eastAsia" w:ascii="Times New Roman" w:hAnsi="Times New Roman" w:eastAsia="宋体" w:cs="Times New Roman"/>
                <w:sz w:val="24"/>
                <w:szCs w:val="24"/>
                <w:lang w:val="en-US" w:eastAsia="zh-CN" w:bidi="zh-CN"/>
              </w:rPr>
              <w:t>可知，本项目建设符合规划环评报告书审查意见的相关要求。</w:t>
            </w:r>
          </w:p>
        </w:tc>
      </w:tr>
      <w:tr w14:paraId="759EB5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06" w:hRule="atLeast"/>
          <w:jc w:val="center"/>
        </w:trPr>
        <w:tc>
          <w:tcPr>
            <w:tcW w:w="1385" w:type="dxa"/>
            <w:vAlign w:val="center"/>
          </w:tcPr>
          <w:p w14:paraId="225A27CA">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sz w:val="24"/>
                <w:szCs w:val="24"/>
                <w:u w:val="none"/>
                <w:lang w:val="en-US" w:eastAsia="zh-CN" w:bidi="zh-CN"/>
              </w:rPr>
            </w:pPr>
            <w:r>
              <w:rPr>
                <w:rFonts w:hint="default" w:ascii="Times New Roman" w:hAnsi="Times New Roman" w:cs="Times New Roman"/>
                <w:sz w:val="24"/>
                <w:szCs w:val="28"/>
                <w:u w:val="none"/>
              </w:rPr>
              <w:t>其他符合性分析</w:t>
            </w:r>
          </w:p>
        </w:tc>
        <w:tc>
          <w:tcPr>
            <w:tcW w:w="7409" w:type="dxa"/>
            <w:gridSpan w:val="4"/>
            <w:vAlign w:val="center"/>
          </w:tcPr>
          <w:p w14:paraId="7E80871D">
            <w:pPr>
              <w:widowControl/>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color w:val="000000"/>
                <w:sz w:val="24"/>
                <w:szCs w:val="24"/>
                <w:u w:val="none"/>
                <w:lang w:val="en-US" w:eastAsia="zh-CN" w:bidi="zh-CN"/>
              </w:rPr>
            </w:pPr>
            <w:r>
              <w:rPr>
                <w:rFonts w:hint="default" w:ascii="Times New Roman" w:hAnsi="Times New Roman" w:eastAsia="宋体" w:cs="宋体"/>
                <w:b/>
                <w:bCs/>
                <w:color w:val="000000"/>
                <w:sz w:val="24"/>
                <w:szCs w:val="24"/>
                <w:u w:val="none"/>
                <w:lang w:val="en-US" w:eastAsia="zh-CN" w:bidi="zh-CN"/>
              </w:rPr>
              <w:t>1</w:t>
            </w:r>
            <w:r>
              <w:rPr>
                <w:rFonts w:hint="eastAsia" w:ascii="Times New Roman" w:hAnsi="Times New Roman" w:eastAsia="宋体" w:cs="宋体"/>
                <w:b/>
                <w:bCs/>
                <w:color w:val="000000"/>
                <w:sz w:val="24"/>
                <w:szCs w:val="24"/>
                <w:u w:val="none"/>
                <w:lang w:val="en-US" w:eastAsia="zh-CN" w:bidi="zh-CN"/>
              </w:rPr>
              <w:t>、产业政策符合性</w:t>
            </w:r>
          </w:p>
          <w:p w14:paraId="34B6B498">
            <w:pPr>
              <w:pStyle w:val="8"/>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lang w:val="en-US" w:eastAsia="zh-CN" w:bidi="zh-CN"/>
              </w:rPr>
            </w:pPr>
            <w:r>
              <w:rPr>
                <w:rFonts w:hint="eastAsia" w:ascii="Times New Roman" w:hAnsi="Times New Roman" w:eastAsia="宋体" w:cs="宋体"/>
                <w:color w:val="000000"/>
                <w:kern w:val="0"/>
                <w:sz w:val="24"/>
                <w:szCs w:val="24"/>
                <w:u w:val="none"/>
                <w:lang w:val="en-US" w:eastAsia="zh-CN" w:bidi="zh-CN"/>
              </w:rPr>
              <w:t>根据《产业结构调整指导目录（2024年本）》，本项目不属于限制类和淘汰类；本项目的生产设备不属于《产业结构调整指导目录（2024年本）》中落后工艺设备，符合国家产业政策。</w:t>
            </w:r>
          </w:p>
          <w:p w14:paraId="7B015663">
            <w:pPr>
              <w:pStyle w:val="6"/>
              <w:widowControl w:val="0"/>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2</w:t>
            </w:r>
            <w:r>
              <w:rPr>
                <w:rFonts w:hint="default" w:ascii="Times New Roman" w:hAnsi="Times New Roman" w:eastAsia="宋体" w:cs="宋体"/>
                <w:b/>
                <w:bCs/>
                <w:color w:val="000000"/>
                <w:sz w:val="24"/>
                <w:szCs w:val="24"/>
                <w:u w:val="none"/>
                <w:lang w:val="en-US" w:eastAsia="zh-CN" w:bidi="zh-CN"/>
              </w:rPr>
              <w:t>、本项目与</w:t>
            </w:r>
            <w:r>
              <w:rPr>
                <w:rFonts w:hint="eastAsia" w:ascii="Times New Roman" w:hAnsi="Times New Roman" w:eastAsia="宋体" w:cs="宋体"/>
                <w:b/>
                <w:bCs/>
                <w:color w:val="000000"/>
                <w:sz w:val="24"/>
                <w:szCs w:val="24"/>
                <w:u w:val="none"/>
                <w:lang w:val="en-US" w:eastAsia="zh-CN" w:bidi="zh-CN"/>
              </w:rPr>
              <w:t>“</w:t>
            </w:r>
            <w:r>
              <w:rPr>
                <w:rFonts w:hint="default" w:ascii="Times New Roman" w:hAnsi="Times New Roman" w:eastAsia="宋体" w:cs="宋体"/>
                <w:b/>
                <w:bCs/>
                <w:color w:val="000000"/>
                <w:sz w:val="24"/>
                <w:szCs w:val="24"/>
                <w:u w:val="none"/>
                <w:lang w:val="en-US" w:eastAsia="zh-CN" w:bidi="zh-CN"/>
              </w:rPr>
              <w:t>三线一单</w:t>
            </w:r>
            <w:r>
              <w:rPr>
                <w:rFonts w:hint="eastAsia" w:ascii="Times New Roman" w:hAnsi="Times New Roman" w:eastAsia="宋体" w:cs="宋体"/>
                <w:b/>
                <w:bCs/>
                <w:color w:val="000000"/>
                <w:sz w:val="24"/>
                <w:szCs w:val="24"/>
                <w:u w:val="none"/>
                <w:lang w:val="en-US" w:eastAsia="zh-CN" w:bidi="zh-CN"/>
              </w:rPr>
              <w:t>”</w:t>
            </w:r>
            <w:r>
              <w:rPr>
                <w:rFonts w:hint="default" w:ascii="Times New Roman" w:hAnsi="Times New Roman" w:eastAsia="宋体" w:cs="宋体"/>
                <w:b/>
                <w:bCs/>
                <w:color w:val="000000"/>
                <w:sz w:val="24"/>
                <w:szCs w:val="24"/>
                <w:u w:val="none"/>
                <w:lang w:val="en-US" w:eastAsia="zh-CN" w:bidi="zh-CN"/>
              </w:rPr>
              <w:t>相符性分析</w:t>
            </w:r>
          </w:p>
          <w:p w14:paraId="10153CC0">
            <w:pPr>
              <w:pStyle w:val="6"/>
              <w:widowControl w:val="0"/>
              <w:numPr>
                <w:ilvl w:val="0"/>
                <w:numId w:val="0"/>
              </w:numPr>
              <w:wordWrap/>
              <w:autoSpaceDE w:val="0"/>
              <w:autoSpaceDN w:val="0"/>
              <w:adjustRightInd/>
              <w:snapToGrid/>
              <w:spacing w:beforeAutospacing="0" w:afterAutospacing="0" w:line="520" w:lineRule="exact"/>
              <w:ind w:right="0"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default" w:ascii="Times New Roman" w:hAnsi="Times New Roman" w:eastAsia="宋体" w:cs="宋体"/>
                <w:color w:val="000000"/>
                <w:sz w:val="24"/>
                <w:szCs w:val="24"/>
                <w:u w:val="none"/>
                <w:lang w:val="en-US" w:eastAsia="zh-CN" w:bidi="zh-CN"/>
              </w:rPr>
              <w:t>根据《关于以改善环境质量为核心加强环境影响评价管理的通知》（环环评</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2016</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150号），</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三线一单</w:t>
            </w:r>
            <w:r>
              <w:rPr>
                <w:rFonts w:hint="eastAsia" w:ascii="Times New Roman" w:hAnsi="Times New Roman" w:eastAsia="宋体" w:cs="宋体"/>
                <w:color w:val="000000"/>
                <w:sz w:val="24"/>
                <w:szCs w:val="24"/>
                <w:u w:val="none"/>
                <w:lang w:val="en-US" w:eastAsia="zh-CN" w:bidi="zh-CN"/>
              </w:rPr>
              <w:t>”</w:t>
            </w:r>
            <w:r>
              <w:rPr>
                <w:rFonts w:hint="default" w:ascii="Times New Roman" w:hAnsi="Times New Roman" w:eastAsia="宋体" w:cs="宋体"/>
                <w:color w:val="000000"/>
                <w:sz w:val="24"/>
                <w:szCs w:val="24"/>
                <w:u w:val="none"/>
                <w:lang w:val="en-US" w:eastAsia="zh-CN" w:bidi="zh-CN"/>
              </w:rPr>
              <w:t>即：生态保护红线、环境质量底线、资源利用</w:t>
            </w:r>
            <w:r>
              <w:rPr>
                <w:rFonts w:hint="eastAsia" w:ascii="Times New Roman" w:hAnsi="Times New Roman" w:eastAsia="宋体" w:cs="宋体"/>
                <w:color w:val="000000"/>
                <w:sz w:val="24"/>
                <w:szCs w:val="24"/>
                <w:u w:val="none"/>
                <w:lang w:val="en-US" w:eastAsia="zh-CN" w:bidi="zh-CN"/>
              </w:rPr>
              <w:t>上限</w:t>
            </w:r>
            <w:r>
              <w:rPr>
                <w:rFonts w:hint="default" w:ascii="Times New Roman" w:hAnsi="Times New Roman" w:eastAsia="宋体" w:cs="宋体"/>
                <w:color w:val="000000"/>
                <w:sz w:val="24"/>
                <w:szCs w:val="24"/>
                <w:u w:val="none"/>
                <w:lang w:val="en-US" w:eastAsia="zh-CN" w:bidi="zh-CN"/>
              </w:rPr>
              <w:t>和环境准入负面清单，项目建设应强化三线一单约束作用。</w:t>
            </w:r>
          </w:p>
          <w:p w14:paraId="78EE6368">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cs="宋体"/>
                <w:color w:val="000000"/>
                <w:sz w:val="24"/>
                <w:szCs w:val="24"/>
                <w:u w:val="none"/>
                <w:lang w:val="en-US" w:eastAsia="zh-CN" w:bidi="zh-CN"/>
              </w:rPr>
              <w:t>（1）</w:t>
            </w:r>
            <w:r>
              <w:rPr>
                <w:rFonts w:hint="eastAsia" w:ascii="Times New Roman" w:hAnsi="Times New Roman" w:eastAsia="宋体" w:cs="宋体"/>
                <w:color w:val="000000"/>
                <w:sz w:val="24"/>
                <w:szCs w:val="24"/>
                <w:u w:val="none"/>
                <w:lang w:val="en-US" w:eastAsia="zh-CN" w:bidi="zh-CN"/>
              </w:rPr>
              <w:t>符合生态保护红线要求</w:t>
            </w:r>
          </w:p>
          <w:p w14:paraId="10B0D96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sz w:val="24"/>
                <w:szCs w:val="24"/>
                <w:u w:val="none"/>
                <w:lang w:val="en-US" w:eastAsia="zh-CN" w:bidi="zh-CN"/>
              </w:rPr>
              <w:t>本</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项目不在</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许昌</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市生态保护红线保护范围内，符合。</w:t>
            </w:r>
          </w:p>
          <w:p w14:paraId="67FF8A0F">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cs="宋体"/>
                <w:color w:val="000000"/>
                <w:sz w:val="24"/>
                <w:szCs w:val="24"/>
                <w:u w:val="none"/>
                <w:lang w:val="en-US" w:eastAsia="zh-CN" w:bidi="zh-CN"/>
              </w:rPr>
              <w:t>（2）</w:t>
            </w:r>
            <w:r>
              <w:rPr>
                <w:rFonts w:hint="eastAsia" w:ascii="Times New Roman" w:hAnsi="Times New Roman" w:eastAsia="宋体" w:cs="宋体"/>
                <w:color w:val="000000"/>
                <w:sz w:val="24"/>
                <w:szCs w:val="24"/>
                <w:u w:val="none"/>
                <w:lang w:val="en-US" w:eastAsia="zh-CN" w:bidi="zh-CN"/>
              </w:rPr>
              <w:t>符合环境质量底线要求</w:t>
            </w:r>
          </w:p>
          <w:p w14:paraId="1071EBC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lang w:val="en-US" w:eastAsia="zh-CN"/>
              </w:rPr>
            </w:pPr>
            <w:r>
              <w:rPr>
                <w:rFonts w:hint="eastAsia" w:ascii="Times New Roman" w:hAnsi="Times New Roman" w:eastAsia="宋体" w:cs="宋体"/>
                <w:color w:val="000000" w:themeColor="text1"/>
                <w:sz w:val="24"/>
                <w:szCs w:val="24"/>
                <w:lang w:val="en-US" w:eastAsia="zh-CN"/>
                <w14:textFill>
                  <w14:solidFill>
                    <w14:schemeClr w14:val="tx1"/>
                  </w14:solidFill>
                </w14:textFill>
              </w:rPr>
              <w:t>本项目</w:t>
            </w:r>
            <w:r>
              <w:rPr>
                <w:rFonts w:hint="eastAsia" w:ascii="Times New Roman" w:hAnsi="Times New Roman" w:cs="宋体"/>
                <w:color w:val="000000" w:themeColor="text1"/>
                <w:sz w:val="24"/>
                <w:szCs w:val="24"/>
                <w:lang w:val="en-US" w:eastAsia="zh-CN"/>
                <w14:textFill>
                  <w14:solidFill>
                    <w14:schemeClr w14:val="tx1"/>
                  </w14:solidFill>
                </w14:textFill>
              </w:rPr>
              <w:t>吹塑车间二次密闭，</w:t>
            </w:r>
            <w:r>
              <w:rPr>
                <w:rFonts w:hint="eastAsia" w:ascii="Times New Roman" w:hAnsi="Times New Roman" w:eastAsia="宋体" w:cs="宋体"/>
                <w:color w:val="000000" w:themeColor="text1"/>
                <w:sz w:val="24"/>
                <w:szCs w:val="24"/>
                <w:lang w:val="en-US" w:eastAsia="zh-CN"/>
                <w14:textFill>
                  <w14:solidFill>
                    <w14:schemeClr w14:val="tx1"/>
                  </w14:solidFill>
                </w14:textFill>
              </w:rPr>
              <w:t>吹塑废气经集气罩收集后进入二级活性炭处理，由</w:t>
            </w:r>
            <w:r>
              <w:rPr>
                <w:rFonts w:hint="default" w:ascii="Times New Roman" w:hAnsi="Times New Roman" w:eastAsia="宋体" w:cs="宋体"/>
                <w:color w:val="000000" w:themeColor="text1"/>
                <w:sz w:val="24"/>
                <w:szCs w:val="24"/>
                <w:lang w:val="en-US" w:eastAsia="zh-CN"/>
                <w14:textFill>
                  <w14:solidFill>
                    <w14:schemeClr w14:val="tx1"/>
                  </w14:solidFill>
                </w14:textFill>
              </w:rPr>
              <w:t>15m</w:t>
            </w:r>
            <w:r>
              <w:rPr>
                <w:rFonts w:hint="eastAsia" w:ascii="Times New Roman" w:hAnsi="Times New Roman" w:eastAsia="宋体" w:cs="宋体"/>
                <w:color w:val="000000" w:themeColor="text1"/>
                <w:sz w:val="24"/>
                <w:szCs w:val="24"/>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4"/>
                <w:szCs w:val="24"/>
                <w:lang w:val="en-US" w:eastAsia="zh-CN"/>
                <w14:textFill>
                  <w14:solidFill>
                    <w14:schemeClr w14:val="tx1"/>
                  </w14:solidFill>
                </w14:textFill>
              </w:rPr>
              <w:t>排放。</w:t>
            </w:r>
            <w:r>
              <w:rPr>
                <w:rFonts w:hint="eastAsia" w:ascii="Times New Roman" w:hAnsi="Times New Roman" w:cs="宋体"/>
                <w:color w:val="000000" w:themeColor="text1"/>
                <w:sz w:val="24"/>
                <w:szCs w:val="24"/>
                <w:lang w:val="en-US" w:eastAsia="zh-CN"/>
                <w14:textFill>
                  <w14:solidFill>
                    <w14:schemeClr w14:val="tx1"/>
                  </w14:solidFill>
                </w14:textFill>
              </w:rPr>
              <w:t>化妆间二次密闭，化妆废气产生量较少，无组织排放。</w:t>
            </w:r>
            <w:r>
              <w:rPr>
                <w:rFonts w:hint="eastAsia" w:ascii="Times New Roman" w:hAnsi="Times New Roman" w:eastAsia="宋体" w:cs="宋体"/>
                <w:color w:val="000000" w:themeColor="text1"/>
                <w:sz w:val="24"/>
                <w:szCs w:val="24"/>
                <w:lang w:val="en-US" w:eastAsia="zh-CN"/>
                <w14:textFill>
                  <w14:solidFill>
                    <w14:schemeClr w14:val="tx1"/>
                  </w14:solidFill>
                </w14:textFill>
              </w:rPr>
              <w:t>危废暂存间废气经负压收集后与吹塑有机废气一起进入二级活性炭处理，由</w:t>
            </w:r>
            <w:r>
              <w:rPr>
                <w:rFonts w:hint="default" w:ascii="Times New Roman" w:hAnsi="Times New Roman" w:eastAsia="宋体" w:cs="宋体"/>
                <w:color w:val="000000" w:themeColor="text1"/>
                <w:sz w:val="24"/>
                <w:szCs w:val="24"/>
                <w:lang w:val="en-US" w:eastAsia="zh-CN"/>
                <w14:textFill>
                  <w14:solidFill>
                    <w14:schemeClr w14:val="tx1"/>
                  </w14:solidFill>
                </w14:textFill>
              </w:rPr>
              <w:t>15m</w:t>
            </w:r>
            <w:r>
              <w:rPr>
                <w:rFonts w:hint="eastAsia" w:ascii="Times New Roman" w:hAnsi="Times New Roman" w:eastAsia="宋体" w:cs="宋体"/>
                <w:color w:val="000000" w:themeColor="text1"/>
                <w:sz w:val="24"/>
                <w:szCs w:val="24"/>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4"/>
                <w:szCs w:val="24"/>
                <w:lang w:val="en-US" w:eastAsia="zh-CN"/>
                <w14:textFill>
                  <w14:solidFill>
                    <w14:schemeClr w14:val="tx1"/>
                  </w14:solidFill>
                </w14:textFill>
              </w:rPr>
              <w:t>排放。</w:t>
            </w:r>
            <w:r>
              <w:rPr>
                <w:rFonts w:hint="eastAsia" w:ascii="Times New Roman" w:hAnsi="Times New Roman" w:cs="宋体"/>
                <w:color w:val="000000" w:themeColor="text1"/>
                <w:sz w:val="24"/>
                <w:szCs w:val="24"/>
                <w:lang w:val="en-US" w:eastAsia="zh-CN"/>
                <w14:textFill>
                  <w14:solidFill>
                    <w14:schemeClr w14:val="tx1"/>
                  </w14:solidFill>
                </w14:textFill>
              </w:rPr>
              <w:t>粉碎产生少量粉尘，车间二次密闭，无组织排放。</w:t>
            </w:r>
            <w:r>
              <w:rPr>
                <w:rFonts w:hint="eastAsia" w:ascii="Times New Roman" w:hAnsi="Times New Roman" w:eastAsia="宋体" w:cs="宋体"/>
                <w:color w:val="000000" w:themeColor="text1"/>
                <w:sz w:val="24"/>
                <w:szCs w:val="24"/>
                <w:lang w:val="en-US" w:eastAsia="zh-CN"/>
                <w14:textFill>
                  <w14:solidFill>
                    <w14:schemeClr w14:val="tx1"/>
                  </w14:solidFill>
                </w14:textFill>
              </w:rPr>
              <w:t>职工生活污水经化粪池处理后进入许昌市鸿瀚环境技术管理有限公司。冷却</w:t>
            </w:r>
            <w:r>
              <w:rPr>
                <w:rFonts w:hint="eastAsia" w:ascii="Times New Roman" w:hAnsi="Times New Roman" w:cs="宋体"/>
                <w:color w:val="000000" w:themeColor="text1"/>
                <w:sz w:val="24"/>
                <w:szCs w:val="24"/>
                <w:lang w:val="en-US" w:eastAsia="zh-CN"/>
                <w14:textFill>
                  <w14:solidFill>
                    <w14:schemeClr w14:val="tx1"/>
                  </w14:solidFill>
                </w14:textFill>
              </w:rPr>
              <w:t>水废水</w:t>
            </w:r>
            <w:r>
              <w:rPr>
                <w:rFonts w:hint="eastAsia" w:ascii="Times New Roman" w:hAnsi="Times New Roman" w:eastAsia="宋体" w:cs="宋体"/>
                <w:color w:val="000000" w:themeColor="text1"/>
                <w:sz w:val="24"/>
                <w:szCs w:val="24"/>
                <w:lang w:val="en-US" w:eastAsia="zh-CN"/>
                <w14:textFill>
                  <w14:solidFill>
                    <w14:schemeClr w14:val="tx1"/>
                  </w14:solidFill>
                </w14:textFill>
              </w:rPr>
              <w:t>进入许昌鸿瀚环境技术管理有限公司处理。项目噪声设备采取基础减</w:t>
            </w:r>
            <w:r>
              <w:rPr>
                <w:rFonts w:hint="eastAsia" w:ascii="Times New Roman" w:hAnsi="Times New Roman" w:eastAsia="宋体" w:cs="宋体"/>
                <w:color w:val="000000"/>
                <w:sz w:val="24"/>
                <w:szCs w:val="24"/>
                <w:lang w:val="en-US" w:eastAsia="zh-CN"/>
              </w:rPr>
              <w:t>振、厂房隔声等措施，尽量减轻对周围环境的影响。项目运营期产生的各类固废均可无害化处置，不会对土壤造成影响。</w:t>
            </w:r>
          </w:p>
          <w:p w14:paraId="4137D3FD">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olor w:val="000000"/>
                <w:sz w:val="24"/>
                <w:szCs w:val="24"/>
                <w:lang w:val="en-US"/>
              </w:rPr>
            </w:pPr>
            <w:r>
              <w:rPr>
                <w:rFonts w:hint="eastAsia" w:ascii="Times New Roman" w:hAnsi="Times New Roman"/>
                <w:color w:val="000000"/>
                <w:sz w:val="24"/>
                <w:szCs w:val="24"/>
                <w:lang w:val="en-US"/>
              </w:rPr>
              <w:t>综上，本项目污染物产生量较小，并配套建设环保治理设施，各污染物均可达标排放，对周边环境影响较小，符合环境质量底线要求。</w:t>
            </w:r>
          </w:p>
          <w:p w14:paraId="6C921E0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cs="宋体"/>
                <w:color w:val="000000"/>
                <w:sz w:val="24"/>
                <w:szCs w:val="24"/>
                <w:u w:val="none"/>
                <w:lang w:val="en-US" w:eastAsia="zh-CN" w:bidi="zh-CN"/>
              </w:rPr>
              <w:t>（3）</w:t>
            </w:r>
            <w:r>
              <w:rPr>
                <w:rFonts w:hint="eastAsia" w:ascii="Times New Roman" w:hAnsi="Times New Roman" w:eastAsia="宋体" w:cs="宋体"/>
                <w:color w:val="000000"/>
                <w:sz w:val="24"/>
                <w:szCs w:val="24"/>
                <w:u w:val="none"/>
                <w:lang w:val="en-US" w:eastAsia="zh-CN" w:bidi="zh-CN"/>
              </w:rPr>
              <w:t>符合资源利用上线要求</w:t>
            </w:r>
          </w:p>
          <w:p w14:paraId="48E6278E">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本项目租赁厂房，水电依托市政供给，</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不</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使用地下水资源，不会突破区域资源利用上限，符合。</w:t>
            </w:r>
          </w:p>
          <w:p w14:paraId="6FECD944">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sz w:val="24"/>
                <w:szCs w:val="24"/>
                <w:u w:val="none"/>
                <w:lang w:val="en-US" w:eastAsia="zh-CN" w:bidi="zh-CN"/>
              </w:rPr>
            </w:pPr>
            <w:r>
              <w:rPr>
                <w:rFonts w:hint="eastAsia" w:ascii="Times New Roman" w:hAnsi="Times New Roman" w:cs="宋体"/>
                <w:color w:val="000000"/>
                <w:sz w:val="24"/>
                <w:szCs w:val="24"/>
                <w:u w:val="none"/>
                <w:lang w:val="en-US" w:eastAsia="zh-CN" w:bidi="zh-CN"/>
              </w:rPr>
              <w:t>（4）</w:t>
            </w:r>
            <w:r>
              <w:rPr>
                <w:rFonts w:hint="default" w:ascii="Times New Roman" w:hAnsi="Times New Roman" w:eastAsia="宋体" w:cs="宋体"/>
                <w:color w:val="000000"/>
                <w:sz w:val="24"/>
                <w:szCs w:val="24"/>
                <w:u w:val="none"/>
                <w:lang w:val="en-US" w:eastAsia="zh-CN" w:bidi="zh-CN"/>
              </w:rPr>
              <w:t>生态环境准入清单</w:t>
            </w:r>
          </w:p>
          <w:p w14:paraId="407F53F0">
            <w:pPr>
              <w:spacing w:beforeAutospacing="0" w:afterAutospacing="0" w:line="520" w:lineRule="exact"/>
              <w:ind w:firstLine="480" w:firstLineChars="200"/>
              <w:jc w:val="both"/>
              <w:rPr>
                <w:rFonts w:hint="eastAsia"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①</w:t>
            </w:r>
            <w:r>
              <w:rPr>
                <w:rFonts w:hint="eastAsia" w:ascii="Times New Roman" w:hAnsi="Times New Roman" w:cs="Times New Roman"/>
                <w:color w:val="000000" w:themeColor="text1"/>
                <w:sz w:val="24"/>
                <w:szCs w:val="24"/>
                <w:lang w:val="en-US"/>
                <w14:textFill>
                  <w14:solidFill>
                    <w14:schemeClr w14:val="tx1"/>
                  </w14:solidFill>
                </w14:textFill>
              </w:rPr>
              <w:t>河南省生态环境准入清单</w:t>
            </w:r>
          </w:p>
          <w:p w14:paraId="619AAF8D">
            <w:pPr>
              <w:spacing w:beforeAutospacing="0" w:afterAutospacing="0" w:line="520" w:lineRule="exact"/>
              <w:ind w:firstLine="480" w:firstLineChars="200"/>
              <w:jc w:val="both"/>
              <w:rPr>
                <w:rFonts w:hint="eastAsia" w:ascii="Times New Roman" w:hAnsi="Times New Roman"/>
                <w:color w:val="000000"/>
                <w:sz w:val="24"/>
                <w:szCs w:val="24"/>
                <w:lang w:val="en-US"/>
              </w:rPr>
            </w:pPr>
            <w:r>
              <w:rPr>
                <w:rFonts w:hint="eastAsia" w:ascii="Times New Roman" w:hAnsi="Times New Roman" w:cs="Times New Roman"/>
                <w:color w:val="000000" w:themeColor="text1"/>
                <w:sz w:val="24"/>
                <w:szCs w:val="24"/>
                <w:lang w:val="en-US" w:eastAsia="zh-CN"/>
                <w14:textFill>
                  <w14:solidFill>
                    <w14:schemeClr w14:val="tx1"/>
                  </w14:solidFill>
                </w14:textFill>
              </w:rPr>
              <w:t>厂区</w:t>
            </w:r>
            <w:r>
              <w:rPr>
                <w:rFonts w:hint="eastAsia" w:ascii="Times New Roman" w:hAnsi="Times New Roman" w:cs="Times New Roman"/>
                <w:color w:val="000000" w:themeColor="text1"/>
                <w:sz w:val="24"/>
                <w:szCs w:val="24"/>
                <w:lang w:val="en-US"/>
                <w14:textFill>
                  <w14:solidFill>
                    <w14:schemeClr w14:val="tx1"/>
                  </w14:solidFill>
                </w14:textFill>
              </w:rPr>
              <w:t>与《河南省生态环境分区管控总体要求》</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2023年版</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相符性见表</w:t>
            </w:r>
            <w:r>
              <w:rPr>
                <w:rFonts w:hint="eastAsia" w:ascii="Times New Roman" w:hAnsi="Times New Roman" w:cs="Times New Roman"/>
                <w:color w:val="000000" w:themeColor="text1"/>
                <w:sz w:val="24"/>
                <w:szCs w:val="24"/>
                <w:lang w:val="en-US" w:eastAsia="zh-CN"/>
                <w14:textFill>
                  <w14:solidFill>
                    <w14:schemeClr w14:val="tx1"/>
                  </w14:solidFill>
                </w14:textFill>
              </w:rPr>
              <w:t>1-4</w:t>
            </w:r>
            <w:r>
              <w:rPr>
                <w:rFonts w:hint="eastAsia" w:ascii="Times New Roman" w:hAnsi="Times New Roman" w:cs="Times New Roman"/>
                <w:color w:val="000000" w:themeColor="text1"/>
                <w:sz w:val="24"/>
                <w:szCs w:val="24"/>
                <w:lang w:val="en-US"/>
                <w14:textFill>
                  <w14:solidFill>
                    <w14:schemeClr w14:val="tx1"/>
                  </w14:solidFill>
                </w14:textFill>
              </w:rPr>
              <w:t>。</w:t>
            </w:r>
          </w:p>
          <w:p w14:paraId="71884A9E">
            <w:pPr>
              <w:spacing w:beforeAutospacing="0" w:afterAutospacing="0" w:line="520" w:lineRule="exact"/>
              <w:ind w:firstLine="480" w:firstLineChars="200"/>
              <w:jc w:val="both"/>
              <w:rPr>
                <w:rFonts w:hint="eastAsia" w:ascii="Times New Roman" w:hAnsi="Times New Roman"/>
                <w:color w:val="000000"/>
                <w:sz w:val="24"/>
                <w:szCs w:val="24"/>
                <w:lang w:val="en-US"/>
              </w:rPr>
            </w:pPr>
            <w:r>
              <w:rPr>
                <w:rFonts w:hint="default" w:ascii="Times New Roman" w:hAnsi="Times New Roman"/>
                <w:color w:val="000000"/>
                <w:sz w:val="24"/>
                <w:szCs w:val="24"/>
                <w:lang w:val="en-US"/>
              </w:rPr>
              <w:t>②</w:t>
            </w:r>
            <w:r>
              <w:rPr>
                <w:rFonts w:hint="eastAsia" w:ascii="Times New Roman" w:hAnsi="Times New Roman"/>
                <w:color w:val="000000"/>
                <w:sz w:val="24"/>
                <w:szCs w:val="24"/>
                <w:lang w:val="en-US"/>
              </w:rPr>
              <w:t>所在单元管控要求</w:t>
            </w:r>
          </w:p>
          <w:p w14:paraId="2A49A5E8">
            <w:pPr>
              <w:spacing w:beforeAutospacing="0" w:afterAutospacing="0" w:line="520" w:lineRule="exact"/>
              <w:ind w:firstLine="480" w:firstLineChars="200"/>
              <w:jc w:val="both"/>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厂址位于河南省许昌市魏都区滨河路与万通路交叉口先进制造业开发区2号（许昌宜航卫生用品有限公司院内）</w:t>
            </w:r>
            <w:r>
              <w:rPr>
                <w:rFonts w:hint="eastAsia" w:ascii="Times New Roman" w:hAnsi="Times New Roman" w:eastAsia="宋体" w:cs="宋体"/>
                <w:color w:val="000000" w:themeColor="text1"/>
                <w:sz w:val="24"/>
                <w:szCs w:val="24"/>
                <w:lang w:val="en-US"/>
                <w14:textFill>
                  <w14:solidFill>
                    <w14:schemeClr w14:val="tx1"/>
                  </w14:solidFill>
                </w14:textFill>
              </w:rPr>
              <w:t>，</w:t>
            </w:r>
            <w:r>
              <w:rPr>
                <w:rFonts w:hint="eastAsia" w:ascii="Times New Roman" w:hAnsi="Times New Roman" w:cs="Times New Roman"/>
                <w:color w:val="000000" w:themeColor="text1"/>
                <w:sz w:val="24"/>
                <w:szCs w:val="24"/>
                <w:lang w:val="en-US"/>
                <w14:textFill>
                  <w14:solidFill>
                    <w14:schemeClr w14:val="tx1"/>
                  </w14:solidFill>
                </w14:textFill>
              </w:rPr>
              <w:t>经查询“河南省三线一单综合信息应用平台”，本项目所在区域为重点管控单元，环境管控单元编码为ZH41100220001，环境管控单元名称：许昌魏都区先进制造业开发区，经对照许昌魏都区先进制造业开发区重点单元管控要求</w:t>
            </w:r>
            <w:r>
              <w:rPr>
                <w:rFonts w:hint="eastAsia" w:ascii="Times New Roman" w:hAnsi="Times New Roman" w:cs="Times New Roman"/>
                <w:color w:val="000000" w:themeColor="text1"/>
                <w:sz w:val="24"/>
                <w:szCs w:val="24"/>
                <w:lang w:val="en-US" w:eastAsia="zh-CN"/>
                <w14:textFill>
                  <w14:solidFill>
                    <w14:schemeClr w14:val="tx1"/>
                  </w14:solidFill>
                </w14:textFill>
              </w:rPr>
              <w:t>（见表1-5）</w:t>
            </w:r>
            <w:r>
              <w:rPr>
                <w:rFonts w:hint="eastAsia" w:ascii="Times New Roman" w:hAnsi="Times New Roman" w:cs="Times New Roman"/>
                <w:color w:val="000000" w:themeColor="text1"/>
                <w:sz w:val="24"/>
                <w:szCs w:val="24"/>
                <w:lang w:val="en-US"/>
                <w14:textFill>
                  <w14:solidFill>
                    <w14:schemeClr w14:val="tx1"/>
                  </w14:solidFill>
                </w14:textFill>
              </w:rPr>
              <w:t>，本项目符合许昌魏都区先进制造业开发区重点单元管控要求；本项目在河南省三线一单综合信息应用平台中的位置见</w:t>
            </w:r>
            <w:r>
              <w:rPr>
                <w:rFonts w:hint="eastAsia" w:ascii="Times New Roman" w:hAnsi="Times New Roman" w:cs="Times New Roman"/>
                <w:color w:val="000000" w:themeColor="text1"/>
                <w:sz w:val="24"/>
                <w:szCs w:val="24"/>
                <w:lang w:val="en-US" w:eastAsia="zh-CN"/>
                <w14:textFill>
                  <w14:solidFill>
                    <w14:schemeClr w14:val="tx1"/>
                  </w14:solidFill>
                </w14:textFill>
              </w:rPr>
              <w:t>图1-1</w:t>
            </w:r>
            <w:r>
              <w:rPr>
                <w:rFonts w:hint="eastAsia" w:ascii="Times New Roman" w:hAnsi="Times New Roman" w:cs="Times New Roman"/>
                <w:color w:val="000000" w:themeColor="text1"/>
                <w:sz w:val="24"/>
                <w:szCs w:val="24"/>
                <w:lang w:val="en-US"/>
                <w14:textFill>
                  <w14:solidFill>
                    <w14:schemeClr w14:val="tx1"/>
                  </w14:solidFill>
                </w14:textFill>
              </w:rPr>
              <w:t>，与单元管控要求相符性分析见表</w:t>
            </w:r>
            <w:r>
              <w:rPr>
                <w:rFonts w:hint="eastAsia" w:ascii="Times New Roman" w:hAnsi="Times New Roman" w:cs="Times New Roman"/>
                <w:color w:val="000000" w:themeColor="text1"/>
                <w:sz w:val="24"/>
                <w:szCs w:val="24"/>
                <w:lang w:val="en-US" w:eastAsia="zh-CN"/>
                <w14:textFill>
                  <w14:solidFill>
                    <w14:schemeClr w14:val="tx1"/>
                  </w14:solidFill>
                </w14:textFill>
              </w:rPr>
              <w:t>1-4及表1-5</w:t>
            </w:r>
            <w:r>
              <w:rPr>
                <w:rFonts w:hint="eastAsia" w:ascii="Times New Roman" w:hAnsi="Times New Roman" w:cs="Times New Roman"/>
                <w:color w:val="000000" w:themeColor="text1"/>
                <w:sz w:val="24"/>
                <w:szCs w:val="24"/>
                <w:lang w:val="en-US"/>
                <w14:textFill>
                  <w14:solidFill>
                    <w14:schemeClr w14:val="tx1"/>
                  </w14:solidFill>
                </w14:textFill>
              </w:rPr>
              <w:t>。</w:t>
            </w:r>
          </w:p>
        </w:tc>
      </w:tr>
    </w:tbl>
    <w:p w14:paraId="48297AD3">
      <w:pPr>
        <w:pStyle w:val="35"/>
        <w:rPr>
          <w:sz w:val="21"/>
        </w:rPr>
        <w:sectPr>
          <w:footerReference r:id="rId7" w:type="default"/>
          <w:pgSz w:w="11910" w:h="16840"/>
          <w:pgMar w:top="1701" w:right="1587" w:bottom="1984" w:left="1587" w:header="850" w:footer="1134" w:gutter="0"/>
          <w:pgBorders>
            <w:top w:val="none" w:sz="0" w:space="0"/>
            <w:left w:val="none" w:sz="0" w:space="0"/>
            <w:bottom w:val="none" w:sz="0" w:space="0"/>
            <w:right w:val="none" w:sz="0" w:space="0"/>
          </w:pgBorders>
          <w:pgNumType w:fmt="numberInDash" w:start="1"/>
          <w:cols w:space="720" w:num="1"/>
        </w:sectPr>
      </w:pPr>
    </w:p>
    <w:p w14:paraId="146F32D9">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Times New Roman"/>
          <w:sz w:val="24"/>
          <w:szCs w:val="28"/>
          <w:u w:val="none"/>
          <w:lang w:eastAsia="zh-CN"/>
        </w:rPr>
      </w:pPr>
      <w:r>
        <w:rPr>
          <w:rFonts w:hint="eastAsia" w:ascii="Times New Roman" w:hAnsi="Times New Roman" w:eastAsia="宋体" w:cs="Times New Roman"/>
          <w:sz w:val="24"/>
          <w:szCs w:val="28"/>
          <w:u w:val="none"/>
          <w:lang w:eastAsia="zh-CN"/>
        </w:rPr>
        <w:drawing>
          <wp:inline distT="0" distB="0" distL="114300" distR="114300">
            <wp:extent cx="8348980" cy="4078605"/>
            <wp:effectExtent l="0" t="0" r="13970" b="17145"/>
            <wp:docPr id="11" name="图片 11" descr="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页-3"/>
                    <pic:cNvPicPr>
                      <a:picLocks noChangeAspect="1"/>
                    </pic:cNvPicPr>
                  </pic:nvPicPr>
                  <pic:blipFill>
                    <a:blip r:embed="rId23"/>
                    <a:stretch>
                      <a:fillRect/>
                    </a:stretch>
                  </pic:blipFill>
                  <pic:spPr>
                    <a:xfrm>
                      <a:off x="0" y="0"/>
                      <a:ext cx="8348980" cy="4078605"/>
                    </a:xfrm>
                    <a:prstGeom prst="rect">
                      <a:avLst/>
                    </a:prstGeom>
                  </pic:spPr>
                </pic:pic>
              </a:graphicData>
            </a:graphic>
          </wp:inline>
        </w:drawing>
      </w:r>
    </w:p>
    <w:p w14:paraId="1E15F732">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Times New Roman"/>
          <w:color w:val="000000" w:themeColor="text1"/>
          <w:sz w:val="24"/>
          <w:szCs w:val="28"/>
          <w:u w:val="none"/>
          <w:lang w:eastAsia="zh-CN"/>
          <w14:textFill>
            <w14:solidFill>
              <w14:schemeClr w14:val="tx1"/>
            </w14:solidFill>
          </w14:textFill>
        </w:rPr>
        <w:sectPr>
          <w:pgSz w:w="1685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r>
        <w:rPr>
          <w:rFonts w:hint="eastAsia" w:ascii="黑体" w:eastAsia="黑体"/>
          <w:color w:val="000000" w:themeColor="text1"/>
          <w:sz w:val="24"/>
          <w:szCs w:val="32"/>
          <w14:textFill>
            <w14:solidFill>
              <w14:schemeClr w14:val="tx1"/>
            </w14:solidFill>
          </w14:textFill>
        </w:rPr>
        <w:t>图</w:t>
      </w:r>
      <w:r>
        <w:rPr>
          <w:rFonts w:hint="eastAsia" w:ascii="黑体" w:eastAsia="黑体"/>
          <w:color w:val="000000" w:themeColor="text1"/>
          <w:sz w:val="24"/>
          <w:szCs w:val="32"/>
          <w:lang w:val="en-US" w:eastAsia="zh-CN"/>
          <w14:textFill>
            <w14:solidFill>
              <w14:schemeClr w14:val="tx1"/>
            </w14:solidFill>
          </w14:textFill>
        </w:rPr>
        <w:t>1-1</w:t>
      </w:r>
      <w:r>
        <w:rPr>
          <w:rFonts w:hint="eastAsia" w:ascii="黑体" w:eastAsia="黑体"/>
          <w:color w:val="000000" w:themeColor="text1"/>
          <w:sz w:val="24"/>
          <w:szCs w:val="32"/>
          <w14:textFill>
            <w14:solidFill>
              <w14:schemeClr w14:val="tx1"/>
            </w14:solidFill>
          </w14:textFill>
        </w:rPr>
        <w:t xml:space="preserve">  项目</w:t>
      </w:r>
      <w:r>
        <w:rPr>
          <w:rFonts w:hint="eastAsia" w:ascii="黑体" w:eastAsia="黑体"/>
          <w:color w:val="000000" w:themeColor="text1"/>
          <w:sz w:val="24"/>
          <w:szCs w:val="32"/>
          <w:lang w:val="en-US" w:eastAsia="zh-CN"/>
          <w14:textFill>
            <w14:solidFill>
              <w14:schemeClr w14:val="tx1"/>
            </w14:solidFill>
          </w14:textFill>
        </w:rPr>
        <w:t>在河南省三线一单综合信息应用平台的位置</w:t>
      </w:r>
    </w:p>
    <w:tbl>
      <w:tblPr>
        <w:tblStyle w:val="23"/>
        <w:tblW w:w="133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12552"/>
      </w:tblGrid>
      <w:tr w14:paraId="1AA765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62" w:hRule="atLeast"/>
          <w:jc w:val="center"/>
        </w:trPr>
        <w:tc>
          <w:tcPr>
            <w:tcW w:w="824" w:type="dxa"/>
            <w:vAlign w:val="center"/>
          </w:tcPr>
          <w:p w14:paraId="71A7ABE5">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sz w:val="24"/>
                <w:szCs w:val="24"/>
                <w:u w:val="none"/>
                <w:lang w:val="en-US" w:eastAsia="zh-CN" w:bidi="zh-CN"/>
              </w:rPr>
            </w:pPr>
            <w:r>
              <w:rPr>
                <w:rFonts w:hint="default" w:ascii="Times New Roman" w:hAnsi="Times New Roman" w:cs="Times New Roman"/>
                <w:sz w:val="24"/>
                <w:szCs w:val="28"/>
                <w:u w:val="none"/>
              </w:rPr>
              <w:t>其他符合性分析</w:t>
            </w:r>
          </w:p>
        </w:tc>
        <w:tc>
          <w:tcPr>
            <w:tcW w:w="12552" w:type="dxa"/>
            <w:vAlign w:val="center"/>
          </w:tcPr>
          <w:p w14:paraId="2F91F754">
            <w:pPr>
              <w:spacing w:beforeAutospacing="0" w:afterAutospacing="0" w:line="520" w:lineRule="exact"/>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1-4</w:t>
            </w:r>
            <w:r>
              <w:rPr>
                <w:rFonts w:hint="default" w:ascii="Times New Roman" w:hAnsi="Times New Roman" w:eastAsia="黑体" w:cs="Times New Roman"/>
                <w:color w:val="000000" w:themeColor="text1"/>
                <w:sz w:val="24"/>
                <w:szCs w:val="24"/>
                <w14:textFill>
                  <w14:solidFill>
                    <w14:schemeClr w14:val="tx1"/>
                  </w14:solidFill>
                </w14:textFill>
              </w:rPr>
              <w:t xml:space="preserve">  项目</w:t>
            </w:r>
            <w:r>
              <w:rPr>
                <w:rFonts w:hint="eastAsia" w:ascii="Times New Roman" w:hAnsi="Times New Roman" w:eastAsia="黑体" w:cs="Times New Roman"/>
                <w:color w:val="000000" w:themeColor="text1"/>
                <w:sz w:val="24"/>
                <w:szCs w:val="24"/>
                <w14:textFill>
                  <w14:solidFill>
                    <w14:schemeClr w14:val="tx1"/>
                  </w14:solidFill>
                </w14:textFill>
              </w:rPr>
              <w:t>与河南省生态环境分区管控总体要求相符性分析一览表</w:t>
            </w:r>
          </w:p>
          <w:tbl>
            <w:tblPr>
              <w:tblStyle w:val="23"/>
              <w:tblW w:w="12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5"/>
              <w:gridCol w:w="686"/>
              <w:gridCol w:w="5385"/>
              <w:gridCol w:w="1572"/>
              <w:gridCol w:w="3092"/>
              <w:gridCol w:w="692"/>
            </w:tblGrid>
            <w:tr w14:paraId="55484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tcBorders>
                    <w:tl2br w:val="nil"/>
                    <w:tr2bl w:val="nil"/>
                  </w:tcBorders>
                  <w:vAlign w:val="center"/>
                </w:tcPr>
                <w:p w14:paraId="4C21FDB9">
                  <w:pPr>
                    <w:spacing w:beforeAutospacing="0" w:afterAutospacing="0" w:line="360" w:lineRule="exact"/>
                    <w:jc w:val="cente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环境管控单元分区</w:t>
                  </w:r>
                </w:p>
              </w:tc>
              <w:tc>
                <w:tcPr>
                  <w:tcW w:w="771" w:type="dxa"/>
                  <w:gridSpan w:val="2"/>
                  <w:tcBorders>
                    <w:tl2br w:val="nil"/>
                    <w:tr2bl w:val="nil"/>
                  </w:tcBorders>
                  <w:vAlign w:val="center"/>
                </w:tcPr>
                <w:p w14:paraId="018A5607">
                  <w:pPr>
                    <w:spacing w:beforeAutospacing="0" w:afterAutospacing="0" w:line="360" w:lineRule="exact"/>
                    <w:jc w:val="center"/>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管控类别</w:t>
                  </w:r>
                </w:p>
              </w:tc>
              <w:tc>
                <w:tcPr>
                  <w:tcW w:w="5385" w:type="dxa"/>
                  <w:tcBorders>
                    <w:tl2br w:val="nil"/>
                    <w:tr2bl w:val="nil"/>
                  </w:tcBorders>
                  <w:vAlign w:val="center"/>
                </w:tcPr>
                <w:p w14:paraId="7A478BB8">
                  <w:pPr>
                    <w:spacing w:beforeAutospacing="0" w:afterAutospacing="0" w:line="360" w:lineRule="exact"/>
                    <w:jc w:val="center"/>
                    <w:rPr>
                      <w:rFonts w:hint="default" w:ascii="Times New Roman" w:hAnsi="Times New Roman" w:cs="Times New Roman"/>
                      <w:b/>
                      <w:bCs/>
                      <w:color w:val="000000" w:themeColor="text1"/>
                      <w:sz w:val="21"/>
                      <w:szCs w:val="21"/>
                      <w:u w:val="none"/>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准入要求</w:t>
                  </w:r>
                </w:p>
              </w:tc>
              <w:tc>
                <w:tcPr>
                  <w:tcW w:w="4664" w:type="dxa"/>
                  <w:gridSpan w:val="2"/>
                  <w:tcBorders>
                    <w:tl2br w:val="nil"/>
                    <w:tr2bl w:val="nil"/>
                  </w:tcBorders>
                  <w:vAlign w:val="center"/>
                </w:tcPr>
                <w:p w14:paraId="5569F401">
                  <w:pPr>
                    <w:spacing w:beforeAutospacing="0" w:afterAutospacing="0" w:line="360" w:lineRule="exact"/>
                    <w:jc w:val="center"/>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14:textFill>
                        <w14:solidFill>
                          <w14:schemeClr w14:val="tx1"/>
                        </w14:solidFill>
                      </w14:textFill>
                    </w:rPr>
                    <w:t>本项目情况</w:t>
                  </w:r>
                </w:p>
              </w:tc>
              <w:tc>
                <w:tcPr>
                  <w:tcW w:w="692" w:type="dxa"/>
                  <w:tcBorders>
                    <w:tl2br w:val="nil"/>
                    <w:tr2bl w:val="nil"/>
                  </w:tcBorders>
                  <w:vAlign w:val="center"/>
                </w:tcPr>
                <w:p w14:paraId="56C00118">
                  <w:pPr>
                    <w:spacing w:beforeAutospacing="0" w:afterAutospacing="0" w:line="360" w:lineRule="exact"/>
                    <w:jc w:val="center"/>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14:textFill>
                        <w14:solidFill>
                          <w14:schemeClr w14:val="tx1"/>
                        </w14:solidFill>
                      </w14:textFill>
                    </w:rPr>
                    <w:t>符合性</w:t>
                  </w:r>
                </w:p>
              </w:tc>
            </w:tr>
            <w:tr w14:paraId="7BE08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64D1E098">
                  <w:pPr>
                    <w:spacing w:beforeAutospacing="0" w:afterAutospacing="0" w:line="360" w:lineRule="exact"/>
                    <w:jc w:val="left"/>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河南省生态环境总体准入要求</w:t>
                  </w:r>
                </w:p>
              </w:tc>
            </w:tr>
            <w:tr w14:paraId="0D3DE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restart"/>
                  <w:tcBorders>
                    <w:tl2br w:val="nil"/>
                    <w:tr2bl w:val="nil"/>
                  </w:tcBorders>
                  <w:vAlign w:val="center"/>
                </w:tcPr>
                <w:p w14:paraId="2579B926">
                  <w:pPr>
                    <w:pStyle w:val="60"/>
                    <w:spacing w:beforeAutospacing="0" w:afterAutospacing="0" w:line="360" w:lineRule="exact"/>
                    <w:jc w:val="cente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重点管控单元</w:t>
                  </w:r>
                </w:p>
              </w:tc>
              <w:tc>
                <w:tcPr>
                  <w:tcW w:w="771" w:type="dxa"/>
                  <w:gridSpan w:val="2"/>
                  <w:tcBorders>
                    <w:tl2br w:val="nil"/>
                    <w:tr2bl w:val="nil"/>
                  </w:tcBorders>
                  <w:vAlign w:val="center"/>
                </w:tcPr>
                <w:p w14:paraId="05C7034E">
                  <w:pPr>
                    <w:pStyle w:val="60"/>
                    <w:spacing w:beforeAutospacing="0" w:afterAutospacing="0" w:line="360" w:lineRule="exact"/>
                    <w:jc w:val="center"/>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00B9A545">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根据国家产业政策、区域定位及环境特征等，建立差别化的产业准入要求，鼓励建设符合规划环评的项目。</w:t>
                  </w:r>
                </w:p>
                <w:p w14:paraId="58A896DC">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推行绿色制造，支持创建绿色工厂、绿色园区、绿色供应链。</w:t>
                  </w:r>
                </w:p>
                <w:p w14:paraId="17636C43">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推进新建石化化工项目向资源环境优势基地集中，引导化工项目进区入园，促进高水平集聚发展。</w:t>
                  </w:r>
                </w:p>
                <w:p w14:paraId="65C967A8">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强化环境准入约束，坚决遏制“两高一低”项目盲目发展，对不符合规定的项目坚决停批停建。</w:t>
                  </w:r>
                </w:p>
                <w:p w14:paraId="4324B3AD">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涉及产能置换的项目，被置换产能及其配套设施关停后，新建项目方可投产。</w:t>
                  </w:r>
                </w:p>
                <w:p w14:paraId="7612A22F">
                  <w:pPr>
                    <w:pStyle w:val="60"/>
                    <w:numPr>
                      <w:ilvl w:val="0"/>
                      <w:numId w:val="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加快城市建成区内重污染企业就地改造、退城入园、转型转产或关闭退出。</w:t>
                  </w:r>
                </w:p>
                <w:p w14:paraId="6D9F5BB0">
                  <w:pPr>
                    <w:pStyle w:val="60"/>
                    <w:numPr>
                      <w:ilvl w:val="0"/>
                      <w:numId w:val="3"/>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将土壤环境要求纳入国土空间规划，根据土壤污染状况和风险合理规划土地用途。对列入建设用地土壤污染风险管控和修复名录的地块，不得作为住宅、公共管理与公共服务用地；不得办理土地征收、回购、收购、土地供应以及改变土地用途等手续。</w:t>
                  </w:r>
                </w:p>
                <w:p w14:paraId="7F5F95FE">
                  <w:pPr>
                    <w:pStyle w:val="60"/>
                    <w:numPr>
                      <w:ilvl w:val="0"/>
                      <w:numId w:val="3"/>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在集中供热管网覆盖地区，禁止新建、扩建分散燃煤供热锅炉。</w:t>
                  </w:r>
                </w:p>
              </w:tc>
              <w:tc>
                <w:tcPr>
                  <w:tcW w:w="4664" w:type="dxa"/>
                  <w:gridSpan w:val="2"/>
                  <w:tcBorders>
                    <w:tl2br w:val="nil"/>
                    <w:tr2bl w:val="nil"/>
                  </w:tcBorders>
                  <w:vAlign w:val="center"/>
                </w:tcPr>
                <w:p w14:paraId="79F20191">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属于</w:t>
                  </w:r>
                  <w:r>
                    <w:rPr>
                      <w:rFonts w:hint="eastAsia" w:ascii="Times New Roman" w:hAnsi="Times New Roman" w:cs="仿宋_GB2312"/>
                      <w:color w:val="000000" w:themeColor="text1"/>
                      <w:sz w:val="21"/>
                      <w:szCs w:val="21"/>
                      <w:u w:val="none"/>
                      <w:shd w:val="clear"/>
                      <w:lang w:val="en-US" w:eastAsia="zh-CN" w:bidi="zh-CN"/>
                      <w14:textFill>
                        <w14:solidFill>
                          <w14:schemeClr w14:val="tx1"/>
                        </w14:solidFill>
                      </w14:textFill>
                    </w:rPr>
                    <w:t>教学用模型及教具制造</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，根据许昌魏都区先进制造业开发区管理委员会出具的情况说明，不属于园区禁止入驻项目，同意本项目入驻</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，符合许昌魏都区先进制造业开发区发展规划（2022-2035年）</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3125159C">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属于</w:t>
                  </w:r>
                  <w:r>
                    <w:rPr>
                      <w:rFonts w:hint="eastAsia" w:ascii="Times New Roman" w:hAnsi="Times New Roman" w:cs="仿宋_GB2312"/>
                      <w:color w:val="000000" w:themeColor="text1"/>
                      <w:sz w:val="21"/>
                      <w:szCs w:val="21"/>
                      <w:u w:val="none"/>
                      <w:shd w:val="clear"/>
                      <w:lang w:val="en-US" w:eastAsia="zh-CN" w:bidi="zh-CN"/>
                      <w14:textFill>
                        <w14:solidFill>
                          <w14:schemeClr w14:val="tx1"/>
                        </w14:solidFill>
                      </w14:textFill>
                    </w:rPr>
                    <w:t>教学用模型及教具制造</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响应绿色制造，</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无生产过程废水产生，废气经处理后达标排放，固体废物全部合理有效处置，不外排，实现生产绿色化</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6023077D">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本项目不属于新建石化化工项目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4AA0336F">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不属于“两高一低”项目。</w:t>
                  </w:r>
                </w:p>
                <w:p w14:paraId="58520340">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项目不涉及</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产能置换</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4D55C63C">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项目不属于重污染企业</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，选址位于许昌魏都区先进制造业开发区，符合要求</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3DF6998D">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本项目用地属于工业用地，项目建设符合土地性质要求，项目不涉及土地征收、回购以及改变土地用途等情况，符合土壤管理要求</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541C780A">
                  <w:pPr>
                    <w:widowControl w:val="0"/>
                    <w:numPr>
                      <w:ilvl w:val="0"/>
                      <w:numId w:val="4"/>
                    </w:numPr>
                    <w:wordWrap/>
                    <w:autoSpaceDE w:val="0"/>
                    <w:autoSpaceDN w:val="0"/>
                    <w:adjustRightInd/>
                    <w:snapToGrid/>
                    <w:spacing w:beforeAutospacing="0" w:afterAutospacing="0" w:line="360" w:lineRule="exact"/>
                    <w:ind w:firstLine="0" w:firstLineChars="0"/>
                    <w:jc w:val="both"/>
                    <w:textAlignment w:val="auto"/>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项目不涉及</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锅炉建设</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tc>
              <w:tc>
                <w:tcPr>
                  <w:tcW w:w="692" w:type="dxa"/>
                  <w:tcBorders>
                    <w:tl2br w:val="nil"/>
                    <w:tr2bl w:val="nil"/>
                  </w:tcBorders>
                  <w:vAlign w:val="center"/>
                </w:tcPr>
                <w:p w14:paraId="3275A45A">
                  <w:pPr>
                    <w:pStyle w:val="20"/>
                    <w:spacing w:before="0" w:beforeAutospacing="0" w:after="0" w:afterAutospacing="0" w:line="360" w:lineRule="exact"/>
                    <w:jc w:val="center"/>
                    <w:rPr>
                      <w:rFonts w:hint="default" w:ascii="Times New Roman" w:hAnsi="Times New Roman" w:cs="仿宋_GB2312"/>
                      <w:color w:val="000000" w:themeColor="text1"/>
                      <w:sz w:val="21"/>
                      <w:szCs w:val="21"/>
                      <w:u w:val="none"/>
                      <w:shd w:val="clear" w:color="auto" w:fill="FFFFFF"/>
                      <w:lang w:val="en-US"/>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14:textFill>
                        <w14:solidFill>
                          <w14:schemeClr w14:val="tx1"/>
                        </w14:solidFill>
                      </w14:textFill>
                    </w:rPr>
                    <w:t>相符</w:t>
                  </w:r>
                </w:p>
              </w:tc>
            </w:tr>
            <w:tr w14:paraId="0F5C6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continue"/>
                  <w:tcBorders>
                    <w:tl2br w:val="nil"/>
                    <w:tr2bl w:val="nil"/>
                  </w:tcBorders>
                  <w:vAlign w:val="center"/>
                </w:tcPr>
                <w:p w14:paraId="788B5034">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7D00982C">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037C146A">
                  <w:pPr>
                    <w:pStyle w:val="60"/>
                    <w:numPr>
                      <w:ilvl w:val="0"/>
                      <w:numId w:val="5"/>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重点行业建设项目应满足区域、流域控制单元环境质量改善目标管理要求。</w:t>
                  </w:r>
                </w:p>
                <w:p w14:paraId="07222B44">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强化项目环评及“三同时”管理。新建、扩建“两高”项目应采用先进的工艺技术和装备，单位产品污染物排放强度应达到清洁生产先进水平，其中，国家、省绩效分级重点行业新建、扩建项目达到A级水平，改建项目达到B级以上水平。</w:t>
                  </w:r>
                </w:p>
                <w:p w14:paraId="5D809621">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以钢铁、焦化、铸造、建材、有色、石化、化工、工业涂装、包装印刷、电镀、制革、石油开采、造纸、纺织印染、农副食品加工等行业为重点，开展全流程清洁化、循环化、低碳化改造；加快推进钢铁、水泥、焦化行业超低排放改造。</w:t>
                  </w:r>
                </w:p>
                <w:p w14:paraId="5EAAE5D0">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深入推进低挥发性有机物含量原辅材料源头替代，全面推广使用低挥发性有机物含量的涂料、油墨、胶粘剂、清洗剂等</w:t>
                  </w:r>
                  <w:r>
                    <w:rPr>
                      <w:rFonts w:hint="eastAsia" w:ascii="Times New Roman" w:hAnsi="Times New Roman" w:cs="仿宋_GB2312"/>
                      <w:color w:val="000000" w:themeColor="text1"/>
                      <w:sz w:val="21"/>
                      <w:szCs w:val="21"/>
                      <w:u w:val="none"/>
                      <w:lang w:val="en-US" w:eastAsia="zh-CN"/>
                      <w14:textFill>
                        <w14:solidFill>
                          <w14:schemeClr w14:val="tx1"/>
                        </w14:solidFill>
                      </w14:textFill>
                    </w:rPr>
                    <w:t>新型</w:t>
                  </w:r>
                  <w:r>
                    <w:rPr>
                      <w:rFonts w:hint="eastAsia" w:ascii="Times New Roman" w:hAnsi="Times New Roman" w:cs="仿宋_GB2312"/>
                      <w:color w:val="000000" w:themeColor="text1"/>
                      <w:sz w:val="21"/>
                      <w:szCs w:val="21"/>
                      <w:u w:val="none"/>
                      <w:lang w:val="en-US"/>
                      <w14:textFill>
                        <w14:solidFill>
                          <w14:schemeClr w14:val="tx1"/>
                        </w14:solidFill>
                      </w14:textFill>
                    </w:rPr>
                    <w:t>原辅材料。</w:t>
                  </w:r>
                </w:p>
                <w:p w14:paraId="0E432B0A">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采矿项目矿井涌水应尽可能回用生产或综合利用，外排矿井涌水应满足受纳水体水功能区划和控制断面水质要求；选厂的生产废水及初期雨水、矿石及废石场的淋溶水、尾矿库澄清水及渗滤水应收集回用，不外排。</w:t>
                  </w:r>
                </w:p>
                <w:p w14:paraId="0FEC9138">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开发区、工业园区同步规划建设污水收集和集中处理设施，强化工业废水处理设施运行管理，确保稳定达标排放；按照“减量化、稳定化、无害化、资源化”要求，加快城镇污水处理厂污泥处理设施建设，新建污水处理厂必须有明确的污泥处置途径；依法查处取缔非法污泥堆放点，禁止重金属等污染物不达标的污泥进行土地利用。</w:t>
                  </w:r>
                </w:p>
                <w:p w14:paraId="66D53DCC">
                  <w:pPr>
                    <w:pStyle w:val="60"/>
                    <w:numPr>
                      <w:ilvl w:val="0"/>
                      <w:numId w:val="5"/>
                    </w:numPr>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鼓励企业采用先进治理技术，打造行业噪声污染治理示范典型。排放噪声的工业企业应切实采取减振降噪措施，加强厂区内固定设备、运输工具、货物装卸等噪声源管理，同时避免突发噪声扰民。</w:t>
                  </w:r>
                </w:p>
              </w:tc>
              <w:tc>
                <w:tcPr>
                  <w:tcW w:w="4664" w:type="dxa"/>
                  <w:gridSpan w:val="2"/>
                  <w:tcBorders>
                    <w:tl2br w:val="nil"/>
                    <w:tr2bl w:val="nil"/>
                  </w:tcBorders>
                  <w:vAlign w:val="center"/>
                </w:tcPr>
                <w:p w14:paraId="14D64549">
                  <w:pPr>
                    <w:pStyle w:val="60"/>
                    <w:numPr>
                      <w:ilvl w:val="0"/>
                      <w:numId w:val="6"/>
                    </w:numPr>
                    <w:spacing w:beforeAutospacing="0" w:afterAutospacing="0" w:line="360" w:lineRule="exact"/>
                    <w:jc w:val="both"/>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本</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项目属于</w:t>
                  </w:r>
                  <w:r>
                    <w:rPr>
                      <w:rFonts w:hint="eastAsia" w:ascii="Times New Roman" w:hAnsi="Times New Roman" w:cs="仿宋_GB2312"/>
                      <w:color w:val="000000" w:themeColor="text1"/>
                      <w:sz w:val="21"/>
                      <w:szCs w:val="21"/>
                      <w:u w:val="none"/>
                      <w:shd w:val="clear"/>
                      <w:lang w:val="en-US" w:eastAsia="zh-CN" w:bidi="zh-CN"/>
                      <w14:textFill>
                        <w14:solidFill>
                          <w14:schemeClr w14:val="tx1"/>
                        </w14:solidFill>
                      </w14:textFill>
                    </w:rPr>
                    <w:t>教学用模型及教具制造</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，不属于重点行业。</w:t>
                  </w:r>
                </w:p>
                <w:p w14:paraId="23769C01">
                  <w:pPr>
                    <w:widowControl/>
                    <w:numPr>
                      <w:ilvl w:val="0"/>
                      <w:numId w:val="0"/>
                    </w:numPr>
                    <w:wordWrap/>
                    <w:autoSpaceDE w:val="0"/>
                    <w:autoSpaceDN w:val="0"/>
                    <w:adjustRightInd/>
                    <w:snapToGrid/>
                    <w:spacing w:beforeAutospacing="0" w:afterAutospacing="0" w:line="360" w:lineRule="exact"/>
                    <w:ind w:right="0" w:rightChars="0"/>
                    <w:jc w:val="both"/>
                    <w:textAlignment w:val="auto"/>
                    <w:rPr>
                      <w:rFonts w:hint="eastAsia" w:ascii="Times New Roman" w:hAnsi="Times New Roman" w:eastAsia="宋体" w:cs="仿宋_GB2312"/>
                      <w:color w:val="C00000"/>
                      <w:sz w:val="21"/>
                      <w:szCs w:val="21"/>
                      <w:u w:val="none"/>
                      <w:shd w:val="clear" w:color="auto" w:fill="FFFFFF"/>
                      <w:lang w:val="en-US" w:eastAsia="zh-CN" w:bidi="zh-CN"/>
                    </w:rPr>
                  </w:pP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2、本项目属于</w:t>
                  </w:r>
                  <w:r>
                    <w:rPr>
                      <w:rFonts w:hint="eastAsia" w:ascii="Times New Roman" w:hAnsi="Times New Roman" w:cs="仿宋_GB2312"/>
                      <w:color w:val="000000" w:themeColor="text1"/>
                      <w:sz w:val="21"/>
                      <w:szCs w:val="21"/>
                      <w:u w:val="none"/>
                      <w:shd w:val="clear"/>
                      <w:lang w:val="en-US" w:eastAsia="zh-CN" w:bidi="zh-CN"/>
                      <w14:textFill>
                        <w14:solidFill>
                          <w14:schemeClr w14:val="tx1"/>
                        </w14:solidFill>
                      </w14:textFill>
                    </w:rPr>
                    <w:t>教学用模型及教具制造</w:t>
                  </w:r>
                  <w:r>
                    <w:rPr>
                      <w:rFonts w:hint="eastAsia" w:ascii="Times New Roman" w:hAnsi="Times New Roman" w:eastAsia="宋体" w:cs="仿宋_GB2312"/>
                      <w:color w:val="000000" w:themeColor="text1"/>
                      <w:sz w:val="21"/>
                      <w:szCs w:val="21"/>
                      <w:u w:val="none"/>
                      <w:shd w:val="clear"/>
                      <w:lang w:val="en-US" w:eastAsia="zh-CN" w:bidi="zh-CN"/>
                      <w14:textFill>
                        <w14:solidFill>
                          <w14:schemeClr w14:val="tx1"/>
                        </w14:solidFill>
                      </w14:textFill>
                    </w:rPr>
                    <w:t>，为新建项目。不属于“两高”项目。项目严格按照环评措施建</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设，进行“三同时”管理。项目建设能源使用、污染防治措施等各方面符合</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河南省重污染天气重点行业应急减排（2024年修订版）</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要求，具体分析见表1-</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12</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02CD7323">
                  <w:pPr>
                    <w:pStyle w:val="60"/>
                    <w:numPr>
                      <w:ilvl w:val="0"/>
                      <w:numId w:val="0"/>
                    </w:numPr>
                    <w:spacing w:beforeAutospacing="0" w:afterAutospacing="0" w:line="360" w:lineRule="exact"/>
                    <w:ind w:right="0" w:rightChars="0"/>
                    <w:jc w:val="both"/>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3、本项目不属于钢铁、焦化等重点行业。</w:t>
                  </w:r>
                </w:p>
                <w:p w14:paraId="5D7C73E2">
                  <w:pPr>
                    <w:pStyle w:val="60"/>
                    <w:numPr>
                      <w:ilvl w:val="0"/>
                      <w:numId w:val="0"/>
                    </w:numPr>
                    <w:spacing w:beforeAutospacing="0" w:afterAutospacing="0" w:line="360" w:lineRule="exact"/>
                    <w:ind w:right="0" w:rightChars="0"/>
                    <w:jc w:val="both"/>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4、本项目使用</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固体聚丙烯原料生产、色母和水性化妆颜料，生产加热挥发少量有机废气，不属于</w:t>
                  </w:r>
                  <w:r>
                    <w:rPr>
                      <w:rFonts w:hint="eastAsia" w:ascii="Times New Roman" w:hAnsi="Times New Roman" w:cs="仿宋_GB2312"/>
                      <w:color w:val="000000" w:themeColor="text1"/>
                      <w:sz w:val="21"/>
                      <w:szCs w:val="21"/>
                      <w:u w:val="none"/>
                      <w:lang w:val="en-US" w:eastAsia="zh-CN"/>
                      <w14:textFill>
                        <w14:solidFill>
                          <w14:schemeClr w14:val="tx1"/>
                        </w14:solidFill>
                      </w14:textFill>
                    </w:rPr>
                    <w:t>高</w:t>
                  </w:r>
                  <w:r>
                    <w:rPr>
                      <w:rFonts w:hint="eastAsia" w:ascii="Times New Roman" w:hAnsi="Times New Roman" w:cs="仿宋_GB2312"/>
                      <w:color w:val="000000" w:themeColor="text1"/>
                      <w:sz w:val="21"/>
                      <w:szCs w:val="21"/>
                      <w:u w:val="none"/>
                      <w:lang w:val="en-US"/>
                      <w14:textFill>
                        <w14:solidFill>
                          <w14:schemeClr w14:val="tx1"/>
                        </w14:solidFill>
                      </w14:textFill>
                    </w:rPr>
                    <w:t>挥发性有机物含量的</w:t>
                  </w:r>
                  <w:r>
                    <w:rPr>
                      <w:rFonts w:hint="eastAsia" w:ascii="Times New Roman" w:hAnsi="Times New Roman" w:cs="仿宋_GB2312"/>
                      <w:color w:val="000000" w:themeColor="text1"/>
                      <w:sz w:val="21"/>
                      <w:szCs w:val="21"/>
                      <w:u w:val="none"/>
                      <w:lang w:val="en-US" w:eastAsia="zh-CN"/>
                      <w14:textFill>
                        <w14:solidFill>
                          <w14:schemeClr w14:val="tx1"/>
                        </w14:solidFill>
                      </w14:textFill>
                    </w:rPr>
                    <w:t>物料</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p>
                <w:p w14:paraId="1C5F5604">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5、本项目不属于采矿项</w:t>
                  </w:r>
                  <w:r>
                    <w:rPr>
                      <w:rFonts w:hint="eastAsia" w:ascii="Times New Roman" w:hAnsi="Times New Roman" w:cs="仿宋_GB2312"/>
                      <w:color w:val="000000" w:themeColor="text1"/>
                      <w:sz w:val="21"/>
                      <w:szCs w:val="21"/>
                      <w:u w:val="none"/>
                      <w:lang w:val="en-US" w:eastAsia="zh-CN"/>
                      <w14:textFill>
                        <w14:solidFill>
                          <w14:schemeClr w14:val="tx1"/>
                        </w14:solidFill>
                      </w14:textFill>
                    </w:rPr>
                    <w:t>目。</w:t>
                  </w:r>
                </w:p>
                <w:p w14:paraId="6F02D637">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6、本项目不属于建设污水收集和集中处理设施项目。</w:t>
                  </w:r>
                </w:p>
                <w:p w14:paraId="12C6E20F">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7、本项目不使用高噪设备，采取基础减振、厂房隔声的降噪措施，噪声排放满足标准要求。</w:t>
                  </w:r>
                </w:p>
              </w:tc>
              <w:tc>
                <w:tcPr>
                  <w:tcW w:w="692" w:type="dxa"/>
                  <w:tcBorders>
                    <w:tl2br w:val="nil"/>
                    <w:tr2bl w:val="nil"/>
                  </w:tcBorders>
                  <w:vAlign w:val="center"/>
                </w:tcPr>
                <w:p w14:paraId="29A32024">
                  <w:pPr>
                    <w:pStyle w:val="20"/>
                    <w:spacing w:before="0" w:beforeAutospacing="0" w:after="0" w:afterAutospacing="0" w:line="360" w:lineRule="exact"/>
                    <w:jc w:val="center"/>
                    <w:rPr>
                      <w:rFonts w:hint="default" w:ascii="Times New Roman" w:hAnsi="Times New Roman" w:cs="仿宋_GB2312"/>
                      <w:color w:val="000000" w:themeColor="text1"/>
                      <w:sz w:val="21"/>
                      <w:szCs w:val="21"/>
                      <w:u w:val="none"/>
                      <w:shd w:val="clear" w:color="auto" w:fill="FFFFFF"/>
                      <w14:textFill>
                        <w14:solidFill>
                          <w14:schemeClr w14:val="tx1"/>
                        </w14:solidFill>
                      </w14:textFill>
                    </w:rPr>
                  </w:pPr>
                  <w:r>
                    <w:rPr>
                      <w:rFonts w:hint="eastAsia" w:ascii="Times New Roman" w:hAnsi="Times New Roman" w:cs="仿宋_GB2312"/>
                      <w:color w:val="000000" w:themeColor="text1"/>
                      <w:sz w:val="21"/>
                      <w:szCs w:val="21"/>
                      <w:u w:val="none"/>
                      <w:shd w:val="clear" w:color="auto" w:fill="FFFFFF"/>
                      <w:lang w:val="en-US"/>
                      <w14:textFill>
                        <w14:solidFill>
                          <w14:schemeClr w14:val="tx1"/>
                        </w14:solidFill>
                      </w14:textFill>
                    </w:rPr>
                    <w:t>相符</w:t>
                  </w:r>
                </w:p>
              </w:tc>
            </w:tr>
            <w:tr w14:paraId="6009C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925" w:type="dxa"/>
                  <w:vMerge w:val="continue"/>
                  <w:tcBorders>
                    <w:tl2br w:val="nil"/>
                    <w:tr2bl w:val="nil"/>
                  </w:tcBorders>
                  <w:vAlign w:val="center"/>
                </w:tcPr>
                <w:p w14:paraId="51C1B350">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5BF158A9">
                  <w:pPr>
                    <w:pStyle w:val="60"/>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61BAB1A0">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依法推行农用地分类管理制度，强化受污染耕地安全利用和风险管控；用途变更为住宅、公共管理与公共服务用地及有土壤污染风险的建设用地地块，应当依法开展土壤污染状况调查</w:t>
                  </w:r>
                  <w:r>
                    <w:rPr>
                      <w:rFonts w:hint="eastAsia" w:ascii="Times New Roman" w:hAnsi="Times New Roman" w:cs="仿宋_GB2312"/>
                      <w:color w:val="000000" w:themeColor="text1"/>
                      <w:sz w:val="21"/>
                      <w:szCs w:val="21"/>
                      <w:u w:val="none"/>
                      <w:lang w:val="en-US" w:eastAsia="zh-CN"/>
                      <w14:textFill>
                        <w14:solidFill>
                          <w14:schemeClr w14:val="tx1"/>
                        </w14:solidFill>
                      </w14:textFill>
                    </w:rPr>
                    <w:t>；有</w:t>
                  </w:r>
                  <w:r>
                    <w:rPr>
                      <w:rFonts w:hint="eastAsia" w:ascii="Times New Roman" w:hAnsi="Times New Roman" w:cs="仿宋_GB2312"/>
                      <w:color w:val="000000" w:themeColor="text1"/>
                      <w:sz w:val="21"/>
                      <w:szCs w:val="21"/>
                      <w:u w:val="none"/>
                      <w:lang w:val="en-US"/>
                      <w14:textFill>
                        <w14:solidFill>
                          <w14:schemeClr w14:val="tx1"/>
                        </w14:solidFill>
                      </w14:textFill>
                    </w:rPr>
                    <w:t>污染地块经治理与修复，并符合相应规划用地土壤环境质量要求后，方可进入用地程序；合理规划污染地块土地用途，鼓励农药、化工等行业中重度污染地块优先规划用于拓展生态空间。</w:t>
                  </w:r>
                </w:p>
                <w:p w14:paraId="2635D2A2">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以涉重涉危及有毒有害等行业企业为重点，加强水环境风险日常监管；推进涉水企业的环境风险排查整治、风险预防设施设备建设；制定水环境污染事故处置应急预案，加强上下游联防联控，防范跨界水环境风险，提升环境应急处置能力。</w:t>
                  </w:r>
                </w:p>
                <w:p w14:paraId="48F36956">
                  <w:pPr>
                    <w:pStyle w:val="60"/>
                    <w:numPr>
                      <w:ilvl w:val="0"/>
                      <w:numId w:val="7"/>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化工园区内涉及有毒有害物质的重点场所或者重点设施设备（特别是地下储罐、管网等）应进行防渗漏设计和建设，消除土壤和地下水污染隐患；建立完善的生态环境监测监控和风险预警体系，相关监测监控数据应接入地方监测预警系统；建立满足突发环境事件情形下应急处置需求的应急救援体系、预案、平台和专职应急救援队伍，配备符合相关国家标准、行业标准要求的人员和装备。</w:t>
                  </w:r>
                </w:p>
              </w:tc>
              <w:tc>
                <w:tcPr>
                  <w:tcW w:w="4664" w:type="dxa"/>
                  <w:gridSpan w:val="2"/>
                  <w:tcBorders>
                    <w:tl2br w:val="nil"/>
                    <w:tr2bl w:val="nil"/>
                  </w:tcBorders>
                  <w:vAlign w:val="center"/>
                </w:tcPr>
                <w:p w14:paraId="337C7D29">
                  <w:pPr>
                    <w:pStyle w:val="60"/>
                    <w:numPr>
                      <w:ilvl w:val="0"/>
                      <w:numId w:val="8"/>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本项目用地性质为工业用地，不涉及</w:t>
                  </w:r>
                  <w:r>
                    <w:rPr>
                      <w:rFonts w:hint="eastAsia" w:ascii="Times New Roman" w:hAnsi="Times New Roman" w:cs="仿宋_GB2312"/>
                      <w:color w:val="000000" w:themeColor="text1"/>
                      <w:sz w:val="21"/>
                      <w:szCs w:val="21"/>
                      <w:u w:val="none"/>
                      <w:lang w:val="en-US"/>
                      <w14:textFill>
                        <w14:solidFill>
                          <w14:schemeClr w14:val="tx1"/>
                        </w14:solidFill>
                      </w14:textFill>
                    </w:rPr>
                    <w:t>农用地</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6851060F">
                  <w:pPr>
                    <w:pStyle w:val="60"/>
                    <w:numPr>
                      <w:ilvl w:val="0"/>
                      <w:numId w:val="0"/>
                    </w:numPr>
                    <w:spacing w:beforeAutospacing="0" w:afterAutospacing="0" w:line="360" w:lineRule="exact"/>
                    <w:ind w:right="0" w:rightChars="0"/>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2、本项目运营期职工生活污水经化粪池处理后进入许昌市鸿瀚环境技术管理有限公司，冷却</w:t>
                  </w:r>
                  <w:r>
                    <w:rPr>
                      <w:rFonts w:hint="eastAsia" w:ascii="Times New Roman" w:hAnsi="Times New Roman" w:cs="仿宋_GB2312"/>
                      <w:color w:val="000000" w:themeColor="text1"/>
                      <w:sz w:val="21"/>
                      <w:szCs w:val="21"/>
                      <w:u w:val="none"/>
                      <w:lang w:val="en-US" w:eastAsia="zh-CN"/>
                      <w14:textFill>
                        <w14:solidFill>
                          <w14:schemeClr w14:val="tx1"/>
                        </w14:solidFill>
                      </w14:textFill>
                    </w:rPr>
                    <w:t>水废水</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进入许昌鸿瀚环境技术管理有限公司处理。生产使用聚丙烯颗粒、色母、</w:t>
                  </w:r>
                  <w:r>
                    <w:rPr>
                      <w:rFonts w:hint="eastAsia" w:ascii="Times New Roman" w:hAnsi="Times New Roman" w:cs="仿宋_GB2312"/>
                      <w:color w:val="000000" w:themeColor="text1"/>
                      <w:sz w:val="21"/>
                      <w:szCs w:val="21"/>
                      <w:u w:val="none"/>
                      <w:lang w:val="en-US" w:eastAsia="zh-CN"/>
                      <w14:textFill>
                        <w14:solidFill>
                          <w14:schemeClr w14:val="tx1"/>
                        </w14:solidFill>
                      </w14:textFill>
                    </w:rPr>
                    <w:t>水性</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化妆</w:t>
                  </w:r>
                  <w:r>
                    <w:rPr>
                      <w:rFonts w:hint="eastAsia" w:ascii="Times New Roman" w:hAnsi="Times New Roman" w:cs="仿宋_GB2312"/>
                      <w:color w:val="000000" w:themeColor="text1"/>
                      <w:sz w:val="21"/>
                      <w:szCs w:val="21"/>
                      <w:u w:val="none"/>
                      <w:lang w:val="en-US" w:eastAsia="zh-CN"/>
                      <w14:textFill>
                        <w14:solidFill>
                          <w14:schemeClr w14:val="tx1"/>
                        </w14:solidFill>
                      </w14:textFill>
                    </w:rPr>
                    <w:t>颜料</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，不属于涉重涉危及有毒有害等行业企业。</w:t>
                  </w:r>
                </w:p>
                <w:p w14:paraId="1E2C2CD3">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3、本项目不涉及地下储罐、输送管道和有毒有害化学物质，符合环境风险防控要求。</w:t>
                  </w:r>
                </w:p>
              </w:tc>
              <w:tc>
                <w:tcPr>
                  <w:tcW w:w="692" w:type="dxa"/>
                  <w:tcBorders>
                    <w:tl2br w:val="nil"/>
                    <w:tr2bl w:val="nil"/>
                  </w:tcBorders>
                  <w:vAlign w:val="center"/>
                </w:tcPr>
                <w:p w14:paraId="267B469C">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相符</w:t>
                  </w:r>
                </w:p>
              </w:tc>
            </w:tr>
            <w:tr w14:paraId="03FEE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5" w:type="dxa"/>
                  <w:vMerge w:val="continue"/>
                  <w:tcBorders>
                    <w:tl2br w:val="nil"/>
                    <w:tr2bl w:val="nil"/>
                  </w:tcBorders>
                  <w:vAlign w:val="center"/>
                </w:tcPr>
                <w:p w14:paraId="254B5D52">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771" w:type="dxa"/>
                  <w:gridSpan w:val="2"/>
                  <w:tcBorders>
                    <w:tl2br w:val="nil"/>
                    <w:tr2bl w:val="nil"/>
                  </w:tcBorders>
                  <w:vAlign w:val="center"/>
                </w:tcPr>
                <w:p w14:paraId="66E7BE4A">
                  <w:pPr>
                    <w:pStyle w:val="60"/>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0F1E6A4F">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“十四五”时期，规模以上工业单位增加值能耗下降18%，万元工业增加值用水量下降10%。</w:t>
                  </w:r>
                </w:p>
                <w:p w14:paraId="550F37C3">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新建、扩建“两高”项目单位产品物耗、能耗、水耗等达到清洁生产先进水平。</w:t>
                  </w:r>
                </w:p>
                <w:p w14:paraId="04EA8A32">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实施重点领域节能降碳改造，到2025年钢铁、电解铝、水泥、炼油、乙烯、焦化等重点行业产能达到能效标杆水平的比例超过30%，行业整体能效水平明显提升，碳排放强度明显下降，绿色低碳发展能力显著增强。</w:t>
                  </w:r>
                </w:p>
                <w:p w14:paraId="4028BF09">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对以煤、石油焦、渣油、重油等为燃料的锅炉和工业炉窑，加快使用工业余热、电厂热力、清洁能源等进行替代。</w:t>
                  </w:r>
                </w:p>
                <w:p w14:paraId="550A623E">
                  <w:pPr>
                    <w:pStyle w:val="60"/>
                    <w:numPr>
                      <w:ilvl w:val="0"/>
                      <w:numId w:val="9"/>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除应急取（排）水、地下水监测外，在地下水禁采区内，禁止取用地下水；在地下水限采区内，禁止开凿新的取水井或者增加地下水取水量。</w:t>
                  </w:r>
                </w:p>
              </w:tc>
              <w:tc>
                <w:tcPr>
                  <w:tcW w:w="4664" w:type="dxa"/>
                  <w:gridSpan w:val="2"/>
                  <w:tcBorders>
                    <w:tl2br w:val="nil"/>
                    <w:tr2bl w:val="nil"/>
                  </w:tcBorders>
                  <w:vAlign w:val="center"/>
                </w:tcPr>
                <w:p w14:paraId="21E05B53">
                  <w:pPr>
                    <w:pStyle w:val="60"/>
                    <w:numPr>
                      <w:ilvl w:val="0"/>
                      <w:numId w:val="10"/>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本项目</w:t>
                  </w:r>
                  <w:r>
                    <w:rPr>
                      <w:rFonts w:hint="eastAsia"/>
                      <w:color w:val="000000" w:themeColor="text1"/>
                      <w:u w:val="none"/>
                      <w:lang w:val="en-US" w:eastAsia="zh-CN"/>
                      <w14:textFill>
                        <w14:solidFill>
                          <w14:schemeClr w14:val="tx1"/>
                        </w14:solidFill>
                      </w14:textFill>
                    </w:rPr>
                    <w:t>年</w:t>
                  </w:r>
                  <w:r>
                    <w:rPr>
                      <w:rFonts w:hint="eastAsia" w:ascii="Times New Roman" w:hAnsi="Times New Roman" w:cs="仿宋_GB2312"/>
                      <w:color w:val="000000" w:themeColor="text1"/>
                      <w:sz w:val="21"/>
                      <w:szCs w:val="21"/>
                      <w:u w:val="none"/>
                      <w:lang w:val="en-US" w:eastAsia="zh-CN"/>
                      <w14:textFill>
                        <w14:solidFill>
                          <w14:schemeClr w14:val="tx1"/>
                        </w14:solidFill>
                      </w14:textFill>
                    </w:rPr>
                    <w:t>营业收入约100万元，不属于</w:t>
                  </w:r>
                  <w:r>
                    <w:rPr>
                      <w:rFonts w:hint="eastAsia" w:ascii="Times New Roman" w:hAnsi="Times New Roman" w:cs="仿宋_GB2312"/>
                      <w:color w:val="000000" w:themeColor="text1"/>
                      <w:sz w:val="21"/>
                      <w:szCs w:val="21"/>
                      <w:u w:val="none"/>
                      <w:lang w:val="en-US"/>
                      <w14:textFill>
                        <w14:solidFill>
                          <w14:schemeClr w14:val="tx1"/>
                        </w14:solidFill>
                      </w14:textFill>
                    </w:rPr>
                    <w:t>规模以上工业单位</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p w14:paraId="1462CC55">
                  <w:pPr>
                    <w:pStyle w:val="60"/>
                    <w:numPr>
                      <w:ilvl w:val="0"/>
                      <w:numId w:val="10"/>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本项目不属于“两高”项目</w:t>
                  </w:r>
                  <w:r>
                    <w:rPr>
                      <w:rFonts w:hint="eastAsia" w:ascii="Times New Roman" w:hAnsi="Times New Roman" w:cs="仿宋_GB2312"/>
                      <w:color w:val="000000" w:themeColor="text1"/>
                      <w:sz w:val="21"/>
                      <w:szCs w:val="21"/>
                      <w:u w:val="none"/>
                      <w:lang w:val="en-US"/>
                      <w14:textFill>
                        <w14:solidFill>
                          <w14:schemeClr w14:val="tx1"/>
                        </w14:solidFill>
                      </w14:textFill>
                    </w:rPr>
                    <w:t>。</w:t>
                  </w:r>
                </w:p>
                <w:p w14:paraId="60E9F6F2">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3、本项目不属于钢铁、电解铝等重点行业领域。</w:t>
                  </w:r>
                </w:p>
                <w:p w14:paraId="639A219A">
                  <w:pPr>
                    <w:pStyle w:val="60"/>
                    <w:numPr>
                      <w:ilvl w:val="0"/>
                      <w:numId w:val="0"/>
                    </w:numPr>
                    <w:spacing w:beforeAutospacing="0" w:afterAutospacing="0" w:line="360" w:lineRule="exact"/>
                    <w:ind w:right="0" w:rightChars="0"/>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4、本项目不使用</w:t>
                  </w:r>
                  <w:r>
                    <w:rPr>
                      <w:rFonts w:hint="eastAsia" w:ascii="Times New Roman" w:hAnsi="Times New Roman" w:cs="仿宋_GB2312"/>
                      <w:color w:val="000000" w:themeColor="text1"/>
                      <w:sz w:val="21"/>
                      <w:szCs w:val="21"/>
                      <w:u w:val="none"/>
                      <w:lang w:val="en-US"/>
                      <w14:textFill>
                        <w14:solidFill>
                          <w14:schemeClr w14:val="tx1"/>
                        </w14:solidFill>
                      </w14:textFill>
                    </w:rPr>
                    <w:t>锅炉和工业炉窑</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r>
                    <w:rPr>
                      <w:rFonts w:hint="eastAsia" w:ascii="Times New Roman" w:hAnsi="Times New Roman" w:cs="仿宋_GB2312"/>
                      <w:color w:val="000000" w:themeColor="text1"/>
                      <w:sz w:val="21"/>
                      <w:szCs w:val="21"/>
                      <w:u w:val="none"/>
                      <w:lang w:val="en-US"/>
                      <w14:textFill>
                        <w14:solidFill>
                          <w14:schemeClr w14:val="tx1"/>
                        </w14:solidFill>
                      </w14:textFill>
                    </w:rPr>
                    <w:t>能源采用清洁能源电能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，符合要求</w:t>
                  </w:r>
                  <w:r>
                    <w:rPr>
                      <w:rFonts w:hint="eastAsia" w:ascii="Times New Roman" w:hAnsi="Times New Roman" w:cs="仿宋_GB2312"/>
                      <w:color w:val="000000" w:themeColor="text1"/>
                      <w:sz w:val="21"/>
                      <w:szCs w:val="21"/>
                      <w:u w:val="none"/>
                      <w:lang w:val="en-US"/>
                      <w14:textFill>
                        <w14:solidFill>
                          <w14:schemeClr w14:val="tx1"/>
                        </w14:solidFill>
                      </w14:textFill>
                    </w:rPr>
                    <w:t>。</w:t>
                  </w:r>
                </w:p>
                <w:p w14:paraId="47F8EC51">
                  <w:pPr>
                    <w:pStyle w:val="60"/>
                    <w:numPr>
                      <w:ilvl w:val="0"/>
                      <w:numId w:val="0"/>
                    </w:numPr>
                    <w:spacing w:beforeAutospacing="0" w:afterAutospacing="0" w:line="360" w:lineRule="exact"/>
                    <w:ind w:right="0" w:rightChars="0"/>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5、</w:t>
                  </w:r>
                  <w:r>
                    <w:rPr>
                      <w:rFonts w:hint="eastAsia" w:ascii="Times New Roman" w:hAnsi="Times New Roman" w:cs="仿宋_GB2312"/>
                      <w:color w:val="000000" w:themeColor="text1"/>
                      <w:sz w:val="21"/>
                      <w:szCs w:val="21"/>
                      <w:u w:val="none"/>
                      <w:lang w:val="en-US"/>
                      <w14:textFill>
                        <w14:solidFill>
                          <w14:schemeClr w14:val="tx1"/>
                        </w14:solidFill>
                      </w14:textFill>
                    </w:rPr>
                    <w:t>本项目用水为市政供水，不</w:t>
                  </w:r>
                  <w:r>
                    <w:rPr>
                      <w:rFonts w:hint="eastAsia" w:ascii="Times New Roman" w:hAnsi="Times New Roman" w:cs="仿宋_GB2312"/>
                      <w:color w:val="000000" w:themeColor="text1"/>
                      <w:sz w:val="21"/>
                      <w:szCs w:val="21"/>
                      <w:u w:val="none"/>
                      <w:lang w:val="en-US" w:eastAsia="zh-CN"/>
                      <w14:textFill>
                        <w14:solidFill>
                          <w14:schemeClr w14:val="tx1"/>
                        </w14:solidFill>
                      </w14:textFill>
                    </w:rPr>
                    <w:t>取用</w:t>
                  </w:r>
                  <w:r>
                    <w:rPr>
                      <w:rFonts w:hint="eastAsia" w:ascii="Times New Roman" w:hAnsi="Times New Roman" w:cs="仿宋_GB2312"/>
                      <w:color w:val="000000" w:themeColor="text1"/>
                      <w:sz w:val="21"/>
                      <w:szCs w:val="21"/>
                      <w:u w:val="none"/>
                      <w:lang w:val="en-US"/>
                      <w14:textFill>
                        <w14:solidFill>
                          <w14:schemeClr w14:val="tx1"/>
                        </w14:solidFill>
                      </w14:textFill>
                    </w:rPr>
                    <w:t>地下水。</w:t>
                  </w:r>
                </w:p>
              </w:tc>
              <w:tc>
                <w:tcPr>
                  <w:tcW w:w="692" w:type="dxa"/>
                  <w:tcBorders>
                    <w:tl2br w:val="nil"/>
                    <w:tr2bl w:val="nil"/>
                  </w:tcBorders>
                  <w:vAlign w:val="center"/>
                </w:tcPr>
                <w:p w14:paraId="76BD132F">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相符</w:t>
                  </w:r>
                </w:p>
              </w:tc>
            </w:tr>
            <w:tr w14:paraId="6EFA0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5D548C20">
                  <w:pPr>
                    <w:pStyle w:val="60"/>
                    <w:spacing w:beforeAutospacing="0" w:afterAutospacing="0" w:line="360" w:lineRule="exact"/>
                    <w:jc w:val="left"/>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b/>
                      <w:bCs/>
                      <w:color w:val="000000" w:themeColor="text1"/>
                      <w:sz w:val="21"/>
                      <w:szCs w:val="21"/>
                      <w:u w:val="none"/>
                      <w:lang w:val="en-US"/>
                      <w14:textFill>
                        <w14:solidFill>
                          <w14:schemeClr w14:val="tx1"/>
                        </w14:solidFill>
                      </w14:textFill>
                    </w:rPr>
                    <w:t>重点区域大气生态环境管控要求</w:t>
                  </w:r>
                </w:p>
              </w:tc>
            </w:tr>
            <w:tr w14:paraId="27B28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tcBorders>
                    <w:tl2br w:val="nil"/>
                    <w:tr2bl w:val="nil"/>
                  </w:tcBorders>
                  <w:vAlign w:val="center"/>
                </w:tcPr>
                <w:p w14:paraId="61D0B5B9">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区域</w:t>
                  </w:r>
                </w:p>
              </w:tc>
              <w:tc>
                <w:tcPr>
                  <w:tcW w:w="686" w:type="dxa"/>
                  <w:tcBorders>
                    <w:tl2br w:val="nil"/>
                    <w:tr2bl w:val="nil"/>
                  </w:tcBorders>
                  <w:vAlign w:val="center"/>
                </w:tcPr>
                <w:p w14:paraId="6E8B0EC3">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管理类别</w:t>
                  </w:r>
                </w:p>
              </w:tc>
              <w:tc>
                <w:tcPr>
                  <w:tcW w:w="6957" w:type="dxa"/>
                  <w:gridSpan w:val="2"/>
                  <w:tcBorders>
                    <w:tl2br w:val="nil"/>
                    <w:tr2bl w:val="nil"/>
                  </w:tcBorders>
                  <w:vAlign w:val="center"/>
                </w:tcPr>
                <w:p w14:paraId="5DCC141F">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管控要求</w:t>
                  </w:r>
                </w:p>
              </w:tc>
              <w:tc>
                <w:tcPr>
                  <w:tcW w:w="3092" w:type="dxa"/>
                  <w:tcBorders>
                    <w:tl2br w:val="nil"/>
                    <w:tr2bl w:val="nil"/>
                  </w:tcBorders>
                  <w:vAlign w:val="center"/>
                </w:tcPr>
                <w:p w14:paraId="46E9287B">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本项目情况</w:t>
                  </w:r>
                </w:p>
              </w:tc>
              <w:tc>
                <w:tcPr>
                  <w:tcW w:w="692" w:type="dxa"/>
                  <w:tcBorders>
                    <w:tl2br w:val="nil"/>
                    <w:tr2bl w:val="nil"/>
                  </w:tcBorders>
                  <w:vAlign w:val="center"/>
                </w:tcPr>
                <w:p w14:paraId="366DBB44">
                  <w:pPr>
                    <w:spacing w:beforeAutospacing="0" w:afterAutospacing="0" w:line="360" w:lineRule="exact"/>
                    <w:jc w:val="center"/>
                    <w:rPr>
                      <w:rFonts w:hint="default"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符合性</w:t>
                  </w:r>
                </w:p>
              </w:tc>
            </w:tr>
            <w:tr w14:paraId="770D4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restart"/>
                  <w:tcBorders>
                    <w:tl2br w:val="nil"/>
                    <w:tr2bl w:val="nil"/>
                  </w:tcBorders>
                  <w:vAlign w:val="center"/>
                </w:tcPr>
                <w:p w14:paraId="67E46041">
                  <w:pPr>
                    <w:pStyle w:val="60"/>
                    <w:spacing w:beforeAutospacing="0" w:afterAutospacing="0" w:line="360" w:lineRule="exact"/>
                    <w:jc w:val="both"/>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京津冀及周边地区（郑州、开封、洛阳、平顶山、安阳、鹤壁、新乡、焦作、濮阳、许昌、漯河、三门峡、商丘、周口市以及济源示范区）</w:t>
                  </w:r>
                </w:p>
              </w:tc>
              <w:tc>
                <w:tcPr>
                  <w:tcW w:w="686" w:type="dxa"/>
                  <w:tcBorders>
                    <w:tl2br w:val="nil"/>
                    <w:tr2bl w:val="nil"/>
                  </w:tcBorders>
                  <w:vAlign w:val="center"/>
                </w:tcPr>
                <w:p w14:paraId="36F240D3">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0B258B64">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坚决遏制“两高”项目盲目发展，落实《中共河南省委河南省人民政府关于深入打好污染防治攻坚战的实施意见》中关于空间布局约束的相关要求。</w:t>
                  </w:r>
                </w:p>
                <w:p w14:paraId="255D017C">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严控磷铵、电石、黄磷等行业新增产能，禁止新建用汞的（聚）氯乙烯产能，加快低效落后产能退出。</w:t>
                  </w:r>
                </w:p>
                <w:p w14:paraId="1BAA0656">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原则上禁止新建企业自备燃煤机组，有序关停整合30万千瓦以上热电联产机组供热合理半径范围内的落后燃煤小热电机组（含自备电厂）。</w:t>
                  </w:r>
                </w:p>
                <w:p w14:paraId="3ADC98EA">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优化危险化学品生产布局，禁止在化工园区外新建、扩建危险化学品生产项目。新建危险化学品生产项目必须进入通过认定的一般或较低安全风险的化工园区（与其他行业生产装置配套建设的项目除外）。</w:t>
                  </w:r>
                </w:p>
                <w:p w14:paraId="2739ECB4">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新建、扩建石化项目不得位于黄河干支流岸线管控范围内等法律法规明令禁止的区域，尽可能远离居民集中区、医院、学校等环境敏感区。</w:t>
                  </w:r>
                </w:p>
                <w:p w14:paraId="1AAA8296">
                  <w:pPr>
                    <w:pStyle w:val="60"/>
                    <w:numPr>
                      <w:ilvl w:val="0"/>
                      <w:numId w:val="11"/>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严格采矿权准入管理，新建露天矿山项目原则上必须位于省级矿产资源规划划定的重点开采区内，鼓励集中连片规模化开发。</w:t>
                  </w:r>
                </w:p>
              </w:tc>
              <w:tc>
                <w:tcPr>
                  <w:tcW w:w="4664" w:type="dxa"/>
                  <w:gridSpan w:val="2"/>
                  <w:tcBorders>
                    <w:tl2br w:val="nil"/>
                    <w:tr2bl w:val="nil"/>
                  </w:tcBorders>
                  <w:vAlign w:val="center"/>
                </w:tcPr>
                <w:p w14:paraId="2F19D127">
                  <w:pPr>
                    <w:pStyle w:val="60"/>
                    <w:numPr>
                      <w:ilvl w:val="0"/>
                      <w:numId w:val="12"/>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本项目不属于“两高”项目。</w:t>
                  </w:r>
                </w:p>
                <w:p w14:paraId="7251E9B5">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w:t>
                  </w:r>
                  <w:r>
                    <w:rPr>
                      <w:rFonts w:hint="eastAsia" w:ascii="Times New Roman" w:hAnsi="Times New Roman" w:cs="仿宋_GB2312"/>
                      <w:color w:val="000000" w:themeColor="text1"/>
                      <w:sz w:val="21"/>
                      <w:szCs w:val="21"/>
                      <w:u w:val="none"/>
                      <w:lang w:val="en-US"/>
                      <w14:textFill>
                        <w14:solidFill>
                          <w14:schemeClr w14:val="tx1"/>
                        </w14:solidFill>
                      </w14:textFill>
                    </w:rPr>
                    <w:t>磷铵、电石、黄磷等行业</w:t>
                  </w:r>
                  <w:r>
                    <w:rPr>
                      <w:rFonts w:hint="eastAsia" w:ascii="Times New Roman" w:hAnsi="Times New Roman" w:cs="仿宋_GB2312"/>
                      <w:color w:val="000000" w:themeColor="text1"/>
                      <w:sz w:val="21"/>
                      <w:szCs w:val="21"/>
                      <w:u w:val="none"/>
                      <w:lang w:val="en-US" w:eastAsia="zh-CN"/>
                      <w14:textFill>
                        <w14:solidFill>
                          <w14:schemeClr w14:val="tx1"/>
                        </w14:solidFill>
                      </w14:textFill>
                    </w:rPr>
                    <w:t>，不属于</w:t>
                  </w:r>
                  <w:r>
                    <w:rPr>
                      <w:rFonts w:hint="eastAsia" w:ascii="Times New Roman" w:hAnsi="Times New Roman" w:cs="仿宋_GB2312"/>
                      <w:color w:val="000000" w:themeColor="text1"/>
                      <w:sz w:val="21"/>
                      <w:szCs w:val="21"/>
                      <w:u w:val="none"/>
                      <w:lang w:val="en-US"/>
                      <w14:textFill>
                        <w14:solidFill>
                          <w14:schemeClr w14:val="tx1"/>
                        </w14:solidFill>
                      </w14:textFill>
                    </w:rPr>
                    <w:t>新建用汞的（聚）氯乙烯产能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w:t>
                  </w:r>
                </w:p>
                <w:p w14:paraId="480E1B96">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本项目无</w:t>
                  </w:r>
                  <w:r>
                    <w:rPr>
                      <w:rFonts w:hint="eastAsia" w:ascii="Times New Roman" w:hAnsi="Times New Roman" w:cs="仿宋_GB2312"/>
                      <w:color w:val="000000" w:themeColor="text1"/>
                      <w:sz w:val="21"/>
                      <w:szCs w:val="21"/>
                      <w:u w:val="none"/>
                      <w:lang w:val="en-US"/>
                      <w14:textFill>
                        <w14:solidFill>
                          <w14:schemeClr w14:val="tx1"/>
                        </w14:solidFill>
                      </w14:textFill>
                    </w:rPr>
                    <w:t>燃煤机组</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5B3D0343">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r>
                    <w:rPr>
                      <w:rFonts w:hint="eastAsia" w:ascii="Times New Roman" w:hAnsi="Times New Roman" w:cs="仿宋_GB2312"/>
                      <w:color w:val="000000" w:themeColor="text1"/>
                      <w:sz w:val="21"/>
                      <w:szCs w:val="21"/>
                      <w:u w:val="none"/>
                      <w:lang w:val="en-US"/>
                      <w14:textFill>
                        <w14:solidFill>
                          <w14:schemeClr w14:val="tx1"/>
                        </w14:solidFill>
                      </w14:textFill>
                    </w:rPr>
                    <w:t>危险化学品生产</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5F7D9B65">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本项目不属于石化项目。</w:t>
                  </w:r>
                </w:p>
                <w:p w14:paraId="77445B04">
                  <w:pPr>
                    <w:pStyle w:val="60"/>
                    <w:numPr>
                      <w:ilvl w:val="0"/>
                      <w:numId w:val="12"/>
                    </w:numPr>
                    <w:spacing w:beforeAutospacing="0" w:afterAutospacing="0" w:line="360" w:lineRule="exact"/>
                    <w:jc w:val="both"/>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本项目不涉及采矿。</w:t>
                  </w:r>
                </w:p>
              </w:tc>
              <w:tc>
                <w:tcPr>
                  <w:tcW w:w="692" w:type="dxa"/>
                  <w:tcBorders>
                    <w:tl2br w:val="nil"/>
                    <w:tr2bl w:val="nil"/>
                  </w:tcBorders>
                  <w:vAlign w:val="center"/>
                </w:tcPr>
                <w:p w14:paraId="674680C9">
                  <w:pPr>
                    <w:pStyle w:val="60"/>
                    <w:spacing w:beforeAutospacing="0" w:afterAutospacing="0" w:line="360" w:lineRule="exact"/>
                    <w:jc w:val="cente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42015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636CBC67">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178C8E4D">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7E5F87DB">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落实超低排放要求、无组织排放特别控制要求。</w:t>
                  </w:r>
                </w:p>
                <w:p w14:paraId="0291C132">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聚焦夏秋季臭氧污染，推进挥发性有机物和氮氧化物协同减排。以石化、化工、涂装、医药、包装印刷、油品储运销等行业领域为重点，推进挥发性有机物综合治理，实施原辅材料和产品源头替代工程。</w:t>
                  </w:r>
                </w:p>
                <w:p w14:paraId="625646AC">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全面淘汰国三及以下排放标准营运中重型柴油货车；推进大宗货物“公转铁”“公转水”。</w:t>
                  </w:r>
                </w:p>
                <w:p w14:paraId="0E7BF556">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全面推广绿色化工制造技术，实现化工原料和反应介质、生产工艺和制造过程绿色化，从源头上控制和减少污染。</w:t>
                  </w:r>
                </w:p>
                <w:p w14:paraId="413725B6">
                  <w:pPr>
                    <w:pStyle w:val="60"/>
                    <w:numPr>
                      <w:ilvl w:val="0"/>
                      <w:numId w:val="13"/>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推行农业绿色生产方式，协同推进种植业、养殖业节能减排与污染治理；推广生物质能、太阳能等绿色用能模式，加快农业及农产品加工设施等可再生能源替代。</w:t>
                  </w:r>
                </w:p>
              </w:tc>
              <w:tc>
                <w:tcPr>
                  <w:tcW w:w="4664" w:type="dxa"/>
                  <w:gridSpan w:val="2"/>
                  <w:tcBorders>
                    <w:tl2br w:val="nil"/>
                    <w:tr2bl w:val="nil"/>
                  </w:tcBorders>
                  <w:vAlign w:val="center"/>
                </w:tcPr>
                <w:p w14:paraId="2FDD8E5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1、</w:t>
                  </w:r>
                  <w:r>
                    <w:rPr>
                      <w:rFonts w:hint="eastAsia" w:ascii="Times New Roman" w:hAnsi="Times New Roman" w:eastAsia="宋体" w:cs="宋体"/>
                      <w:color w:val="000000" w:themeColor="text1"/>
                      <w:sz w:val="21"/>
                      <w:szCs w:val="21"/>
                      <w:lang w:val="en-US" w:eastAsia="zh-CN"/>
                      <w14:textFill>
                        <w14:solidFill>
                          <w14:schemeClr w14:val="tx1"/>
                        </w14:solidFill>
                      </w14:textFill>
                    </w:rPr>
                    <w:t>本项目吹塑</w:t>
                  </w:r>
                  <w:r>
                    <w:rPr>
                      <w:rFonts w:hint="eastAsia" w:ascii="Times New Roman" w:hAnsi="Times New Roman" w:cs="宋体"/>
                      <w:color w:val="000000" w:themeColor="text1"/>
                      <w:sz w:val="21"/>
                      <w:szCs w:val="21"/>
                      <w:lang w:val="en-US" w:eastAsia="zh-CN"/>
                      <w14:textFill>
                        <w14:solidFill>
                          <w14:schemeClr w14:val="tx1"/>
                        </w14:solidFill>
                      </w14:textFill>
                    </w:rPr>
                    <w:t>车间二次密闭，</w:t>
                  </w:r>
                  <w:r>
                    <w:rPr>
                      <w:rFonts w:hint="eastAsia" w:ascii="Times New Roman" w:hAnsi="Times New Roman" w:eastAsia="宋体" w:cs="宋体"/>
                      <w:color w:val="000000" w:themeColor="text1"/>
                      <w:sz w:val="21"/>
                      <w:szCs w:val="21"/>
                      <w:lang w:val="en-US" w:eastAsia="zh-CN"/>
                      <w14:textFill>
                        <w14:solidFill>
                          <w14:schemeClr w14:val="tx1"/>
                        </w14:solidFill>
                      </w14:textFill>
                    </w:rPr>
                    <w:t>废气经集气罩收集后进入二级活性炭处理，由</w:t>
                  </w:r>
                  <w:r>
                    <w:rPr>
                      <w:rFonts w:hint="default" w:ascii="Times New Roman" w:hAnsi="Times New Roman" w:eastAsia="宋体" w:cs="宋体"/>
                      <w:color w:val="000000" w:themeColor="text1"/>
                      <w:sz w:val="21"/>
                      <w:szCs w:val="21"/>
                      <w:lang w:val="en-US" w:eastAsia="zh-CN"/>
                      <w14:textFill>
                        <w14:solidFill>
                          <w14:schemeClr w14:val="tx1"/>
                        </w14:solidFill>
                      </w14:textFill>
                    </w:rPr>
                    <w:t>15m</w:t>
                  </w:r>
                  <w:r>
                    <w:rPr>
                      <w:rFonts w:hint="eastAsia" w:ascii="Times New Roman" w:hAnsi="Times New Roman" w:eastAsia="宋体" w:cs="宋体"/>
                      <w:color w:val="000000" w:themeColor="text1"/>
                      <w:sz w:val="21"/>
                      <w:szCs w:val="21"/>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1"/>
                      <w:szCs w:val="21"/>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化妆间二次密闭，化妆废气产生量较少，无组织排放。</w:t>
                  </w:r>
                  <w:r>
                    <w:rPr>
                      <w:rFonts w:hint="eastAsia" w:ascii="Times New Roman" w:hAnsi="Times New Roman" w:eastAsia="宋体" w:cs="宋体"/>
                      <w:color w:val="000000" w:themeColor="text1"/>
                      <w:sz w:val="21"/>
                      <w:szCs w:val="21"/>
                      <w:lang w:val="en-US" w:eastAsia="zh-CN"/>
                      <w14:textFill>
                        <w14:solidFill>
                          <w14:schemeClr w14:val="tx1"/>
                        </w14:solidFill>
                      </w14:textFill>
                    </w:rPr>
                    <w:t>危废暂存间废气经负压收集后与吹塑有机废气一起进入二级活性炭处理，由</w:t>
                  </w:r>
                  <w:r>
                    <w:rPr>
                      <w:rFonts w:hint="default" w:ascii="Times New Roman" w:hAnsi="Times New Roman" w:eastAsia="宋体" w:cs="宋体"/>
                      <w:color w:val="000000" w:themeColor="text1"/>
                      <w:sz w:val="21"/>
                      <w:szCs w:val="21"/>
                      <w:lang w:val="en-US" w:eastAsia="zh-CN"/>
                      <w14:textFill>
                        <w14:solidFill>
                          <w14:schemeClr w14:val="tx1"/>
                        </w14:solidFill>
                      </w14:textFill>
                    </w:rPr>
                    <w:t>15m</w:t>
                  </w:r>
                  <w:r>
                    <w:rPr>
                      <w:rFonts w:hint="eastAsia" w:ascii="Times New Roman" w:hAnsi="Times New Roman" w:eastAsia="宋体" w:cs="宋体"/>
                      <w:color w:val="000000" w:themeColor="text1"/>
                      <w:sz w:val="21"/>
                      <w:szCs w:val="21"/>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1"/>
                      <w:szCs w:val="21"/>
                      <w:lang w:val="en-US" w:eastAsia="zh-CN"/>
                      <w14:textFill>
                        <w14:solidFill>
                          <w14:schemeClr w14:val="tx1"/>
                        </w14:solidFill>
                      </w14:textFill>
                    </w:rPr>
                    <w:t>排放。</w:t>
                  </w: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粉碎产生少量粉尘</w:t>
                  </w:r>
                  <w:r>
                    <w:rPr>
                      <w:rFonts w:hint="eastAsia" w:ascii="Times New Roman" w:hAnsi="Times New Roman" w:cs="仿宋_GB2312"/>
                      <w:b w:val="0"/>
                      <w:bCs w:val="0"/>
                      <w:color w:val="000000" w:themeColor="text1"/>
                      <w:sz w:val="21"/>
                      <w:szCs w:val="21"/>
                      <w:u w:val="none"/>
                      <w:shd w:val="clear" w:color="auto" w:fill="FFFFFF"/>
                      <w:lang w:val="en-US" w:eastAsia="zh-CN" w:bidi="zh-CN"/>
                      <w14:textFill>
                        <w14:solidFill>
                          <w14:schemeClr w14:val="tx1"/>
                        </w14:solidFill>
                      </w14:textFill>
                    </w:rPr>
                    <w:t>，车间二次</w:t>
                  </w: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密闭，无组织排放。</w:t>
                  </w:r>
                </w:p>
                <w:p w14:paraId="4A37A0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仿宋_GB2312"/>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2、本项目吹塑、化妆有机废气经集气罩收集后进入二级活性炭处理后由根</w:t>
                  </w:r>
                  <w:r>
                    <w:rPr>
                      <w:rFonts w:hint="default"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15m</w:t>
                  </w: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排放。危废暂存间废气经负压收集后与吹塑、化妆有机废气一起进入二级活性炭处理</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。原料聚丙烯、色母常温下不挥发，水性化妆颜料使用量少，加盖密闭，VOCs含量较低。</w:t>
                  </w:r>
                </w:p>
                <w:p w14:paraId="1A23E111">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3、本项目物料及产品运输采用国五及以上货车。</w:t>
                  </w:r>
                </w:p>
                <w:p w14:paraId="56312E0A">
                  <w:pPr>
                    <w:pStyle w:val="60"/>
                    <w:numPr>
                      <w:ilvl w:val="0"/>
                      <w:numId w:val="0"/>
                    </w:numPr>
                    <w:spacing w:beforeAutospacing="0" w:afterAutospacing="0" w:line="360" w:lineRule="exact"/>
                    <w:ind w:right="0" w:rightChars="0"/>
                    <w:jc w:val="both"/>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4、本项目不涉及化工制造。</w:t>
                  </w:r>
                </w:p>
                <w:p w14:paraId="268189BA">
                  <w:pPr>
                    <w:pStyle w:val="60"/>
                    <w:numPr>
                      <w:ilvl w:val="0"/>
                      <w:numId w:val="0"/>
                    </w:numPr>
                    <w:spacing w:beforeAutospacing="0" w:afterAutospacing="0" w:line="360" w:lineRule="exact"/>
                    <w:ind w:right="0" w:rightChars="0"/>
                    <w:jc w:val="both"/>
                    <w:rPr>
                      <w:rFonts w:hint="default"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5、本项目不属于农业项目。</w:t>
                  </w:r>
                </w:p>
              </w:tc>
              <w:tc>
                <w:tcPr>
                  <w:tcW w:w="692" w:type="dxa"/>
                  <w:tcBorders>
                    <w:tl2br w:val="nil"/>
                    <w:tr2bl w:val="nil"/>
                  </w:tcBorders>
                  <w:vAlign w:val="center"/>
                </w:tcPr>
                <w:p w14:paraId="42298B0D">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37C52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4FF122D6">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359B3F99">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0B3206C3">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对无法实现低VOCs原辅材料替代的工序，在保证安全情况下，应在密闭设备、密闭空间作业或安装二次密闭设施。</w:t>
                  </w:r>
                </w:p>
                <w:p w14:paraId="61DC331F">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矿山开采、选矿、运输过程中，应采取相应的防尘措施，化学矿、有色金属矿石及产品堆场应采取“三防”措施。</w:t>
                  </w:r>
                </w:p>
                <w:p w14:paraId="12A21DC9">
                  <w:pPr>
                    <w:pStyle w:val="60"/>
                    <w:numPr>
                      <w:ilvl w:val="0"/>
                      <w:numId w:val="14"/>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加强空气质量预测预报能力，完善联动应急响应体系，强化区域联防联控。</w:t>
                  </w:r>
                </w:p>
              </w:tc>
              <w:tc>
                <w:tcPr>
                  <w:tcW w:w="4664" w:type="dxa"/>
                  <w:gridSpan w:val="2"/>
                  <w:tcBorders>
                    <w:tl2br w:val="nil"/>
                    <w:tr2bl w:val="nil"/>
                  </w:tcBorders>
                  <w:vAlign w:val="center"/>
                </w:tcPr>
                <w:p w14:paraId="79573AE5">
                  <w:pPr>
                    <w:pStyle w:val="60"/>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1、本项目吹塑工序在</w:t>
                  </w:r>
                  <w:r>
                    <w:rPr>
                      <w:rFonts w:hint="eastAsia" w:ascii="Times New Roman" w:hAnsi="Times New Roman" w:cs="仿宋_GB2312"/>
                      <w:b w:val="0"/>
                      <w:bCs w:val="0"/>
                      <w:color w:val="000000" w:themeColor="text1"/>
                      <w:sz w:val="21"/>
                      <w:szCs w:val="21"/>
                      <w:u w:val="none"/>
                      <w:shd w:val="clear" w:color="auto" w:fill="FFFFFF"/>
                      <w:lang w:val="en-US" w:eastAsia="zh-CN" w:bidi="zh-CN"/>
                      <w14:textFill>
                        <w14:solidFill>
                          <w14:schemeClr w14:val="tx1"/>
                        </w14:solidFill>
                      </w14:textFill>
                    </w:rPr>
                    <w:t>二次密闭车间</w:t>
                  </w:r>
                  <w:r>
                    <w:rPr>
                      <w:rFonts w:hint="eastAsia" w:ascii="Times New Roman" w:hAnsi="Times New Roman" w:eastAsia="宋体" w:cs="仿宋_GB2312"/>
                      <w:b w:val="0"/>
                      <w:bCs w:val="0"/>
                      <w:color w:val="000000" w:themeColor="text1"/>
                      <w:sz w:val="21"/>
                      <w:szCs w:val="21"/>
                      <w:u w:val="none"/>
                      <w:shd w:val="clear" w:color="auto" w:fill="FFFFFF"/>
                      <w:lang w:val="en-US" w:eastAsia="zh-CN" w:bidi="zh-CN"/>
                      <w14:textFill>
                        <w14:solidFill>
                          <w14:schemeClr w14:val="tx1"/>
                        </w14:solidFill>
                      </w14:textFill>
                    </w:rPr>
                    <w:t>中进行</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w:t>
                  </w:r>
                </w:p>
                <w:p w14:paraId="22FA6195">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2、本项目不属于矿山开采项目。</w:t>
                  </w:r>
                </w:p>
                <w:p w14:paraId="11F785FA">
                  <w:pPr>
                    <w:pStyle w:val="60"/>
                    <w:numPr>
                      <w:ilvl w:val="0"/>
                      <w:numId w:val="0"/>
                    </w:numPr>
                    <w:spacing w:beforeAutospacing="0" w:afterAutospacing="0" w:line="360" w:lineRule="exact"/>
                    <w:ind w:right="0" w:rightChars="0"/>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3、本项目不涉及。</w:t>
                  </w:r>
                </w:p>
              </w:tc>
              <w:tc>
                <w:tcPr>
                  <w:tcW w:w="692" w:type="dxa"/>
                  <w:tcBorders>
                    <w:tl2br w:val="nil"/>
                    <w:tr2bl w:val="nil"/>
                  </w:tcBorders>
                  <w:vAlign w:val="center"/>
                </w:tcPr>
                <w:p w14:paraId="7E82F279">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6330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2FD4F894">
                  <w:pPr>
                    <w:pStyle w:val="60"/>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p>
              </w:tc>
              <w:tc>
                <w:tcPr>
                  <w:tcW w:w="686" w:type="dxa"/>
                  <w:tcBorders>
                    <w:tl2br w:val="nil"/>
                    <w:tr2bl w:val="nil"/>
                  </w:tcBorders>
                  <w:vAlign w:val="center"/>
                </w:tcPr>
                <w:p w14:paraId="5580D502">
                  <w:pPr>
                    <w:pStyle w:val="60"/>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01FAF580">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严格合理控制煤炭消费，“十四五”期间完成省定煤炭消费总量控制目标。</w:t>
                  </w:r>
                </w:p>
                <w:p w14:paraId="5CE10585">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到2025年，吨钢综合能耗达到国内先进水平。</w:t>
                  </w:r>
                </w:p>
                <w:p w14:paraId="3EBBE0F8">
                  <w:pPr>
                    <w:pStyle w:val="60"/>
                    <w:numPr>
                      <w:ilvl w:val="0"/>
                      <w:numId w:val="15"/>
                    </w:numPr>
                    <w:spacing w:beforeAutospacing="0" w:afterAutospacing="0" w:line="360" w:lineRule="exact"/>
                    <w:jc w:val="both"/>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到2025年，钢铁、石化化工、有色金属、建材等行业重点产品能效达到国际先进水平，规模以上工业单位增加值能耗比2020年下降13.5%。</w:t>
                  </w:r>
                </w:p>
              </w:tc>
              <w:tc>
                <w:tcPr>
                  <w:tcW w:w="4664" w:type="dxa"/>
                  <w:gridSpan w:val="2"/>
                  <w:tcBorders>
                    <w:tl2br w:val="nil"/>
                    <w:tr2bl w:val="nil"/>
                  </w:tcBorders>
                  <w:vAlign w:val="center"/>
                </w:tcPr>
                <w:p w14:paraId="15E4D17E">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w:t>
                  </w:r>
                  <w:r>
                    <w:rPr>
                      <w:rFonts w:hint="eastAsia" w:ascii="Times New Roman" w:hAnsi="Times New Roman" w:cs="仿宋_GB2312"/>
                      <w:color w:val="000000" w:themeColor="text1"/>
                      <w:sz w:val="21"/>
                      <w:szCs w:val="21"/>
                      <w:u w:val="none"/>
                      <w:lang w:val="en-US"/>
                      <w14:textFill>
                        <w14:solidFill>
                          <w14:schemeClr w14:val="tx1"/>
                        </w14:solidFill>
                      </w14:textFill>
                    </w:rPr>
                    <w:t>项目采用的能源为清洁能源电能</w:t>
                  </w:r>
                  <w:r>
                    <w:rPr>
                      <w:rFonts w:hint="eastAsia" w:ascii="Times New Roman" w:hAnsi="Times New Roman" w:cs="仿宋_GB2312"/>
                      <w:color w:val="000000" w:themeColor="text1"/>
                      <w:sz w:val="21"/>
                      <w:szCs w:val="21"/>
                      <w:u w:val="none"/>
                      <w:lang w:val="en-US" w:eastAsia="zh-CN"/>
                      <w14:textFill>
                        <w14:solidFill>
                          <w14:schemeClr w14:val="tx1"/>
                        </w14:solidFill>
                      </w14:textFill>
                    </w:rPr>
                    <w:t>，不涉及煤炭消耗。</w:t>
                  </w:r>
                </w:p>
                <w:p w14:paraId="294A39D5">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本项目不涉及钢材生产。</w:t>
                  </w:r>
                </w:p>
                <w:p w14:paraId="0581533F">
                  <w:pPr>
                    <w:pStyle w:val="60"/>
                    <w:numPr>
                      <w:ilvl w:val="0"/>
                      <w:numId w:val="16"/>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本项目不属于钢铁、石化化工等行业。</w:t>
                  </w:r>
                </w:p>
              </w:tc>
              <w:tc>
                <w:tcPr>
                  <w:tcW w:w="692" w:type="dxa"/>
                  <w:tcBorders>
                    <w:tl2br w:val="nil"/>
                    <w:tr2bl w:val="nil"/>
                  </w:tcBorders>
                  <w:vAlign w:val="center"/>
                </w:tcPr>
                <w:p w14:paraId="3FF53643">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0AED1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37" w:type="dxa"/>
                  <w:gridSpan w:val="7"/>
                  <w:tcBorders>
                    <w:tl2br w:val="nil"/>
                    <w:tr2bl w:val="nil"/>
                  </w:tcBorders>
                  <w:vAlign w:val="center"/>
                </w:tcPr>
                <w:p w14:paraId="609BE8D6">
                  <w:pPr>
                    <w:spacing w:beforeAutospacing="0" w:afterAutospacing="0" w:line="360" w:lineRule="exact"/>
                    <w:jc w:val="left"/>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重点流域生态环境管控要求</w:t>
                  </w:r>
                </w:p>
              </w:tc>
            </w:tr>
            <w:tr w14:paraId="52BD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tcBorders>
                    <w:tl2br w:val="nil"/>
                    <w:tr2bl w:val="nil"/>
                  </w:tcBorders>
                  <w:vAlign w:val="center"/>
                </w:tcPr>
                <w:p w14:paraId="27D94ECB">
                  <w:pPr>
                    <w:spacing w:beforeAutospacing="0" w:afterAutospacing="0" w:line="360" w:lineRule="exact"/>
                    <w:jc w:val="center"/>
                    <w:rPr>
                      <w:rFonts w:hint="default"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区域</w:t>
                  </w:r>
                </w:p>
              </w:tc>
              <w:tc>
                <w:tcPr>
                  <w:tcW w:w="686" w:type="dxa"/>
                  <w:tcBorders>
                    <w:tl2br w:val="nil"/>
                    <w:tr2bl w:val="nil"/>
                  </w:tcBorders>
                  <w:vAlign w:val="center"/>
                </w:tcPr>
                <w:p w14:paraId="73113F19">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管理类别</w:t>
                  </w:r>
                </w:p>
              </w:tc>
              <w:tc>
                <w:tcPr>
                  <w:tcW w:w="5385" w:type="dxa"/>
                  <w:tcBorders>
                    <w:tl2br w:val="nil"/>
                    <w:tr2bl w:val="nil"/>
                  </w:tcBorders>
                  <w:vAlign w:val="center"/>
                </w:tcPr>
                <w:p w14:paraId="77F4C18A">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管控要求</w:t>
                  </w:r>
                </w:p>
              </w:tc>
              <w:tc>
                <w:tcPr>
                  <w:tcW w:w="4664" w:type="dxa"/>
                  <w:gridSpan w:val="2"/>
                  <w:tcBorders>
                    <w:tl2br w:val="nil"/>
                    <w:tr2bl w:val="nil"/>
                  </w:tcBorders>
                  <w:vAlign w:val="center"/>
                </w:tcPr>
                <w:p w14:paraId="68506BC7">
                  <w:pPr>
                    <w:spacing w:beforeAutospacing="0" w:afterAutospacing="0" w:line="360" w:lineRule="exact"/>
                    <w:jc w:val="center"/>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本项目情况</w:t>
                  </w:r>
                </w:p>
              </w:tc>
              <w:tc>
                <w:tcPr>
                  <w:tcW w:w="692" w:type="dxa"/>
                  <w:tcBorders>
                    <w:tl2br w:val="nil"/>
                    <w:tr2bl w:val="nil"/>
                  </w:tcBorders>
                  <w:vAlign w:val="center"/>
                </w:tcPr>
                <w:p w14:paraId="6B91BDF9">
                  <w:pPr>
                    <w:spacing w:beforeAutospacing="0" w:afterAutospacing="0" w:line="360" w:lineRule="exact"/>
                    <w:jc w:val="center"/>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符合性</w:t>
                  </w:r>
                </w:p>
              </w:tc>
            </w:tr>
            <w:tr w14:paraId="26A85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restart"/>
                  <w:tcBorders>
                    <w:tl2br w:val="nil"/>
                    <w:tr2bl w:val="nil"/>
                  </w:tcBorders>
                  <w:vAlign w:val="center"/>
                </w:tcPr>
                <w:p w14:paraId="1A4A84CE">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b/>
                      <w:bCs/>
                      <w:color w:val="000000" w:themeColor="text1"/>
                      <w:sz w:val="21"/>
                      <w:szCs w:val="21"/>
                      <w:u w:val="none"/>
                      <w:lang w:val="en-US" w:eastAsia="zh-CN"/>
                      <w14:textFill>
                        <w14:solidFill>
                          <w14:schemeClr w14:val="tx1"/>
                        </w14:solidFill>
                      </w14:textFill>
                    </w:rPr>
                    <w:t>省辖淮河流域</w:t>
                  </w:r>
                </w:p>
              </w:tc>
              <w:tc>
                <w:tcPr>
                  <w:tcW w:w="686" w:type="dxa"/>
                  <w:tcBorders>
                    <w:tl2br w:val="nil"/>
                    <w:tr2bl w:val="nil"/>
                  </w:tcBorders>
                  <w:vAlign w:val="center"/>
                </w:tcPr>
                <w:p w14:paraId="0C98AAE9">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空间布局约束</w:t>
                  </w:r>
                </w:p>
              </w:tc>
              <w:tc>
                <w:tcPr>
                  <w:tcW w:w="5385" w:type="dxa"/>
                  <w:tcBorders>
                    <w:tl2br w:val="nil"/>
                    <w:tr2bl w:val="nil"/>
                  </w:tcBorders>
                  <w:vAlign w:val="center"/>
                </w:tcPr>
                <w:p w14:paraId="6702FA44">
                  <w:pPr>
                    <w:pStyle w:val="60"/>
                    <w:numPr>
                      <w:ilvl w:val="0"/>
                      <w:numId w:val="17"/>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禁止在淮河流域新建化学制浆造纸企业，以及新建制革、化工、印染、电镀、酿造等污染严重的小型企业。</w:t>
                  </w:r>
                </w:p>
                <w:p w14:paraId="1C05A4D5">
                  <w:pPr>
                    <w:pStyle w:val="60"/>
                    <w:numPr>
                      <w:ilvl w:val="0"/>
                      <w:numId w:val="17"/>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严格落实南水北调干渠水源地保护的有关规定，避免水体受到污染。</w:t>
                  </w:r>
                </w:p>
              </w:tc>
              <w:tc>
                <w:tcPr>
                  <w:tcW w:w="4664" w:type="dxa"/>
                  <w:gridSpan w:val="2"/>
                  <w:tcBorders>
                    <w:tl2br w:val="nil"/>
                    <w:tr2bl w:val="nil"/>
                  </w:tcBorders>
                  <w:vAlign w:val="center"/>
                </w:tcPr>
                <w:p w14:paraId="4CA9A937">
                  <w:pPr>
                    <w:numPr>
                      <w:ilvl w:val="0"/>
                      <w:numId w:val="18"/>
                    </w:numPr>
                    <w:spacing w:beforeAutospacing="0" w:afterAutospacing="0" w:line="360" w:lineRule="exact"/>
                    <w:jc w:val="both"/>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本项目属于</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教学用模型及教具制造</w:t>
                  </w: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，不属于污染严重的小型企业。</w:t>
                  </w:r>
                </w:p>
                <w:p w14:paraId="3C6C8277">
                  <w:pPr>
                    <w:numPr>
                      <w:ilvl w:val="0"/>
                      <w:numId w:val="18"/>
                    </w:numPr>
                    <w:spacing w:beforeAutospacing="0" w:afterAutospacing="0" w:line="360" w:lineRule="exact"/>
                    <w:jc w:val="both"/>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本项目不在南水北调干</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渠水源地保护范围内。</w:t>
                  </w:r>
                </w:p>
              </w:tc>
              <w:tc>
                <w:tcPr>
                  <w:tcW w:w="692" w:type="dxa"/>
                  <w:tcBorders>
                    <w:tl2br w:val="nil"/>
                    <w:tr2bl w:val="nil"/>
                  </w:tcBorders>
                  <w:vAlign w:val="center"/>
                </w:tcPr>
                <w:p w14:paraId="312A93BF">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7EA4D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6B2DD8EE">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728B246F">
                  <w:pPr>
                    <w:pStyle w:val="60"/>
                    <w:spacing w:beforeAutospacing="0" w:afterAutospacing="0" w:line="360" w:lineRule="exact"/>
                    <w:jc w:val="both"/>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污染物排放管控</w:t>
                  </w:r>
                </w:p>
              </w:tc>
              <w:tc>
                <w:tcPr>
                  <w:tcW w:w="5385" w:type="dxa"/>
                  <w:tcBorders>
                    <w:tl2br w:val="nil"/>
                    <w:tr2bl w:val="nil"/>
                  </w:tcBorders>
                  <w:vAlign w:val="center"/>
                </w:tcPr>
                <w:p w14:paraId="03B51C7F">
                  <w:pPr>
                    <w:pStyle w:val="60"/>
                    <w:numPr>
                      <w:ilvl w:val="0"/>
                      <w:numId w:val="19"/>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严格执行洪河、惠济河、贾鲁河、清潩河流域水污染物排放标准，控制排放总量。</w:t>
                  </w:r>
                </w:p>
                <w:p w14:paraId="37B6B93E">
                  <w:pPr>
                    <w:pStyle w:val="60"/>
                    <w:numPr>
                      <w:ilvl w:val="0"/>
                      <w:numId w:val="19"/>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推进城镇污水处理厂建设，提升污水收集效能。加强农业农村污染防治，以乡镇政府所在地、南水北调中线工程总干渠沿线村庄为重点，梯次推进农村生活污水治理；加快推进畜禽粪污资源化利用。</w:t>
                  </w:r>
                </w:p>
              </w:tc>
              <w:tc>
                <w:tcPr>
                  <w:tcW w:w="4664" w:type="dxa"/>
                  <w:gridSpan w:val="2"/>
                  <w:tcBorders>
                    <w:tl2br w:val="nil"/>
                    <w:tr2bl w:val="nil"/>
                  </w:tcBorders>
                  <w:vAlign w:val="center"/>
                </w:tcPr>
                <w:p w14:paraId="10C49DD3">
                  <w:pPr>
                    <w:numPr>
                      <w:ilvl w:val="0"/>
                      <w:numId w:val="20"/>
                    </w:numPr>
                    <w:spacing w:beforeAutospacing="0" w:afterAutospacing="0" w:line="360" w:lineRule="exact"/>
                    <w:jc w:val="both"/>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本项目废水排放各因子满足许昌市鸿瀚环境技术管理有限公司进水水质要求，</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废水</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污染物排放量</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为COD</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0.0065</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t/a、氨氮</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0.0003</w:t>
                  </w:r>
                  <w:r>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t>t/a</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，进行等量替代</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，符合要求</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w:t>
                  </w:r>
                </w:p>
                <w:p w14:paraId="1690EACE">
                  <w:pPr>
                    <w:numPr>
                      <w:ilvl w:val="0"/>
                      <w:numId w:val="20"/>
                    </w:numPr>
                    <w:spacing w:beforeAutospacing="0" w:afterAutospacing="0" w:line="360" w:lineRule="exact"/>
                    <w:jc w:val="both"/>
                    <w:rPr>
                      <w:rFonts w:hint="default" w:ascii="Times New Roman" w:hAnsi="Times New Roman"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本项目不涉及污水处理设施建设。</w:t>
                  </w:r>
                </w:p>
              </w:tc>
              <w:tc>
                <w:tcPr>
                  <w:tcW w:w="692" w:type="dxa"/>
                  <w:tcBorders>
                    <w:tl2br w:val="nil"/>
                    <w:tr2bl w:val="nil"/>
                  </w:tcBorders>
                  <w:vAlign w:val="center"/>
                </w:tcPr>
                <w:p w14:paraId="71F7797D">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6613C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2352F76C">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24CACB54">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环境风险防控</w:t>
                  </w:r>
                </w:p>
              </w:tc>
              <w:tc>
                <w:tcPr>
                  <w:tcW w:w="5385" w:type="dxa"/>
                  <w:tcBorders>
                    <w:tl2br w:val="nil"/>
                    <w:tr2bl w:val="nil"/>
                  </w:tcBorders>
                  <w:vAlign w:val="center"/>
                </w:tcPr>
                <w:p w14:paraId="5E03057A">
                  <w:pPr>
                    <w:pStyle w:val="60"/>
                    <w:numPr>
                      <w:ilvl w:val="0"/>
                      <w:numId w:val="21"/>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以涡河、惠济河、包河、沱河、浍河等河流跨省界河段为重点，加大跨省界河流污染整治力度，推进闸坝优化调度。</w:t>
                  </w:r>
                </w:p>
                <w:p w14:paraId="3E8523E3">
                  <w:pPr>
                    <w:pStyle w:val="60"/>
                    <w:numPr>
                      <w:ilvl w:val="0"/>
                      <w:numId w:val="21"/>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对具有通航功能的重点河流加强船舶污染物防控，防止事故性溢油和操作性排放的油污染。</w:t>
                  </w:r>
                </w:p>
              </w:tc>
              <w:tc>
                <w:tcPr>
                  <w:tcW w:w="4664" w:type="dxa"/>
                  <w:gridSpan w:val="2"/>
                  <w:tcBorders>
                    <w:tl2br w:val="nil"/>
                    <w:tr2bl w:val="nil"/>
                  </w:tcBorders>
                  <w:vAlign w:val="center"/>
                </w:tcPr>
                <w:p w14:paraId="3EEAFEC1">
                  <w:pPr>
                    <w:pStyle w:val="60"/>
                    <w:numPr>
                      <w:ilvl w:val="0"/>
                      <w:numId w:val="22"/>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p>
                <w:p w14:paraId="4FA6AA71">
                  <w:pPr>
                    <w:pStyle w:val="60"/>
                    <w:numPr>
                      <w:ilvl w:val="0"/>
                      <w:numId w:val="22"/>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本项目不涉及。</w:t>
                  </w:r>
                </w:p>
              </w:tc>
              <w:tc>
                <w:tcPr>
                  <w:tcW w:w="692" w:type="dxa"/>
                  <w:tcBorders>
                    <w:tl2br w:val="nil"/>
                    <w:tr2bl w:val="nil"/>
                  </w:tcBorders>
                  <w:vAlign w:val="center"/>
                </w:tcPr>
                <w:p w14:paraId="065939D5">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r w14:paraId="39024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10" w:type="dxa"/>
                  <w:gridSpan w:val="2"/>
                  <w:vMerge w:val="continue"/>
                  <w:tcBorders>
                    <w:tl2br w:val="nil"/>
                    <w:tr2bl w:val="nil"/>
                  </w:tcBorders>
                  <w:vAlign w:val="center"/>
                </w:tcPr>
                <w:p w14:paraId="35B46280">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p>
              </w:tc>
              <w:tc>
                <w:tcPr>
                  <w:tcW w:w="686" w:type="dxa"/>
                  <w:tcBorders>
                    <w:tl2br w:val="nil"/>
                    <w:tr2bl w:val="nil"/>
                  </w:tcBorders>
                  <w:vAlign w:val="center"/>
                </w:tcPr>
                <w:p w14:paraId="324C4076">
                  <w:pPr>
                    <w:pStyle w:val="60"/>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14:textFill>
                        <w14:solidFill>
                          <w14:schemeClr w14:val="tx1"/>
                        </w14:solidFill>
                      </w14:textFill>
                    </w:rPr>
                    <w:t>资源利用效率</w:t>
                  </w:r>
                </w:p>
              </w:tc>
              <w:tc>
                <w:tcPr>
                  <w:tcW w:w="5385" w:type="dxa"/>
                  <w:tcBorders>
                    <w:tl2br w:val="nil"/>
                    <w:tr2bl w:val="nil"/>
                  </w:tcBorders>
                  <w:vAlign w:val="center"/>
                </w:tcPr>
                <w:p w14:paraId="3F028346">
                  <w:pPr>
                    <w:pStyle w:val="60"/>
                    <w:numPr>
                      <w:ilvl w:val="0"/>
                      <w:numId w:val="2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在提高工业、农业和城镇生活用水节约化水平的同时，提高非常规水利用率；重点抓好缺水城市污水再生利用设施建设与改造。</w:t>
                  </w:r>
                </w:p>
                <w:p w14:paraId="6309EDEE">
                  <w:pPr>
                    <w:pStyle w:val="60"/>
                    <w:numPr>
                      <w:ilvl w:val="0"/>
                      <w:numId w:val="2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在粮食核心区规模化推行高效节水灌溉；实施工业节水减排行动，大力推进工业水循环利用，推进节水型企业、节水型工业园区建设。</w:t>
                  </w:r>
                </w:p>
                <w:p w14:paraId="421BB564">
                  <w:pPr>
                    <w:pStyle w:val="60"/>
                    <w:numPr>
                      <w:ilvl w:val="0"/>
                      <w:numId w:val="23"/>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重点推进南水北调受水区地下水压采工作，加快公共供水管网建设，逐步关停自备井。</w:t>
                  </w:r>
                </w:p>
              </w:tc>
              <w:tc>
                <w:tcPr>
                  <w:tcW w:w="4664" w:type="dxa"/>
                  <w:gridSpan w:val="2"/>
                  <w:tcBorders>
                    <w:tl2br w:val="nil"/>
                    <w:tr2bl w:val="nil"/>
                  </w:tcBorders>
                  <w:vAlign w:val="center"/>
                </w:tcPr>
                <w:p w14:paraId="644D0D1E">
                  <w:pPr>
                    <w:pStyle w:val="60"/>
                    <w:numPr>
                      <w:ilvl w:val="0"/>
                      <w:numId w:val="24"/>
                    </w:numPr>
                    <w:spacing w:beforeAutospacing="0" w:afterAutospacing="0" w:line="360" w:lineRule="exact"/>
                    <w:jc w:val="both"/>
                    <w:rPr>
                      <w:rFonts w:hint="eastAsia"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本项目无生产废水产生，不涉及污水再利用</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p w14:paraId="47A13514">
                  <w:pPr>
                    <w:pStyle w:val="60"/>
                    <w:numPr>
                      <w:ilvl w:val="0"/>
                      <w:numId w:val="24"/>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本项目生产不使用新鲜水，不涉及</w:t>
                  </w:r>
                  <w:r>
                    <w:rPr>
                      <w:rFonts w:hint="eastAsia" w:ascii="Times New Roman" w:hAnsi="Times New Roman" w:cs="仿宋_GB2312"/>
                      <w:color w:val="000000" w:themeColor="text1"/>
                      <w:sz w:val="21"/>
                      <w:szCs w:val="21"/>
                      <w:u w:val="none"/>
                      <w:lang w:val="en-US" w:eastAsia="zh-CN"/>
                      <w14:textFill>
                        <w14:solidFill>
                          <w14:schemeClr w14:val="tx1"/>
                        </w14:solidFill>
                      </w14:textFill>
                    </w:rPr>
                    <w:t>工业节水和工业水循环利用。</w:t>
                  </w:r>
                </w:p>
                <w:p w14:paraId="05D06E53">
                  <w:pPr>
                    <w:pStyle w:val="60"/>
                    <w:numPr>
                      <w:ilvl w:val="0"/>
                      <w:numId w:val="24"/>
                    </w:numPr>
                    <w:spacing w:beforeAutospacing="0" w:afterAutospacing="0" w:line="360" w:lineRule="exact"/>
                    <w:jc w:val="both"/>
                    <w:rPr>
                      <w:rFonts w:hint="default" w:ascii="Times New Roman" w:hAnsi="Times New Roman" w:cs="仿宋_GB2312"/>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本项目采用市政供水，符合要求。</w:t>
                  </w:r>
                </w:p>
              </w:tc>
              <w:tc>
                <w:tcPr>
                  <w:tcW w:w="692" w:type="dxa"/>
                  <w:tcBorders>
                    <w:tl2br w:val="nil"/>
                    <w:tr2bl w:val="nil"/>
                  </w:tcBorders>
                  <w:vAlign w:val="center"/>
                </w:tcPr>
                <w:p w14:paraId="6A2D596B">
                  <w:pPr>
                    <w:spacing w:beforeAutospacing="0" w:afterAutospacing="0" w:line="360" w:lineRule="exact"/>
                    <w:jc w:val="center"/>
                    <w:rPr>
                      <w:rFonts w:hint="eastAsia" w:ascii="Times New Roman" w:hAnsi="Times New Roman"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相符</w:t>
                  </w:r>
                </w:p>
              </w:tc>
            </w:tr>
          </w:tbl>
          <w:p w14:paraId="70BAFC66">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zh-CN" w:eastAsia="zh-CN"/>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1-5</w:t>
            </w:r>
            <w:r>
              <w:rPr>
                <w:rFonts w:hint="default" w:ascii="Times New Roman" w:hAnsi="Times New Roman" w:eastAsia="黑体" w:cs="Times New Roman"/>
                <w:b w:val="0"/>
                <w:bCs w:val="0"/>
                <w:color w:val="auto"/>
                <w:sz w:val="24"/>
                <w:szCs w:val="24"/>
              </w:rPr>
              <w:t xml:space="preserve">  </w:t>
            </w:r>
            <w:r>
              <w:rPr>
                <w:rFonts w:hint="default" w:ascii="Times New Roman" w:hAnsi="Times New Roman" w:eastAsia="黑体" w:cs="Times New Roman"/>
                <w:b w:val="0"/>
                <w:bCs w:val="0"/>
                <w:color w:val="auto"/>
                <w:sz w:val="24"/>
                <w:szCs w:val="24"/>
                <w:lang w:val="zh-CN" w:eastAsia="zh-CN"/>
              </w:rPr>
              <w:t>项目与</w:t>
            </w:r>
            <w:r>
              <w:rPr>
                <w:rFonts w:hint="eastAsia" w:ascii="Times New Roman" w:hAnsi="Times New Roman" w:eastAsia="黑体" w:cs="Times New Roman"/>
                <w:b w:val="0"/>
                <w:bCs w:val="0"/>
                <w:color w:val="auto"/>
                <w:sz w:val="24"/>
                <w:szCs w:val="24"/>
                <w:lang w:val="en-US" w:eastAsia="zh-CN"/>
              </w:rPr>
              <w:t>河南省环境管控单元</w:t>
            </w:r>
            <w:r>
              <w:rPr>
                <w:rFonts w:hint="default" w:ascii="Times New Roman" w:hAnsi="Times New Roman" w:eastAsia="黑体" w:cs="Times New Roman"/>
                <w:b w:val="0"/>
                <w:bCs w:val="0"/>
                <w:color w:val="auto"/>
                <w:sz w:val="24"/>
                <w:szCs w:val="24"/>
                <w:lang w:val="zh-CN" w:eastAsia="zh-CN"/>
              </w:rPr>
              <w:t>相符性分析一览表</w:t>
            </w:r>
          </w:p>
          <w:tbl>
            <w:tblPr>
              <w:tblStyle w:val="23"/>
              <w:tblW w:w="123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1095"/>
              <w:gridCol w:w="1050"/>
              <w:gridCol w:w="765"/>
              <w:gridCol w:w="675"/>
              <w:gridCol w:w="4080"/>
              <w:gridCol w:w="2551"/>
              <w:gridCol w:w="846"/>
              <w:gridCol w:w="7"/>
            </w:tblGrid>
            <w:tr w14:paraId="201EF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tcBorders>
                    <w:tl2br w:val="nil"/>
                    <w:tr2bl w:val="nil"/>
                  </w:tcBorders>
                  <w:vAlign w:val="center"/>
                </w:tcPr>
                <w:p w14:paraId="64DC4B62">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sz w:val="21"/>
                      <w:szCs w:val="21"/>
                      <w:u w:val="none"/>
                      <w:lang w:val="en-US" w:eastAsia="zh-CN"/>
                    </w:rPr>
                  </w:pPr>
                  <w:r>
                    <w:rPr>
                      <w:rFonts w:hint="eastAsia" w:ascii="Times New Roman" w:hAnsi="Times New Roman" w:cs="Times New Roman"/>
                      <w:b/>
                      <w:bCs/>
                      <w:sz w:val="21"/>
                      <w:szCs w:val="21"/>
                      <w:u w:val="none"/>
                      <w:lang w:val="en-US" w:eastAsia="zh-CN"/>
                    </w:rPr>
                    <w:t>环境管控单元编码</w:t>
                  </w:r>
                </w:p>
              </w:tc>
              <w:tc>
                <w:tcPr>
                  <w:tcW w:w="1095" w:type="dxa"/>
                  <w:tcBorders>
                    <w:tl2br w:val="nil"/>
                    <w:tr2bl w:val="nil"/>
                  </w:tcBorders>
                  <w:vAlign w:val="center"/>
                </w:tcPr>
                <w:p w14:paraId="3022AB2D">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sz w:val="21"/>
                      <w:szCs w:val="21"/>
                      <w:u w:val="none"/>
                      <w:lang w:val="en-US" w:eastAsia="zh-CN"/>
                    </w:rPr>
                  </w:pPr>
                  <w:r>
                    <w:rPr>
                      <w:rFonts w:hint="eastAsia" w:ascii="Times New Roman" w:hAnsi="Times New Roman" w:cs="Times New Roman"/>
                      <w:b/>
                      <w:bCs/>
                      <w:sz w:val="21"/>
                      <w:szCs w:val="21"/>
                      <w:u w:val="none"/>
                      <w:lang w:val="en-US" w:eastAsia="zh-CN"/>
                    </w:rPr>
                    <w:t>环境管控分区名称</w:t>
                  </w:r>
                </w:p>
              </w:tc>
              <w:tc>
                <w:tcPr>
                  <w:tcW w:w="1050" w:type="dxa"/>
                  <w:tcBorders>
                    <w:tl2br w:val="nil"/>
                    <w:tr2bl w:val="nil"/>
                  </w:tcBorders>
                  <w:vAlign w:val="center"/>
                </w:tcPr>
                <w:p w14:paraId="345376B4">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sz w:val="21"/>
                      <w:szCs w:val="21"/>
                      <w:u w:val="none"/>
                      <w:lang w:val="en-US" w:eastAsia="zh-CN"/>
                    </w:rPr>
                  </w:pPr>
                  <w:r>
                    <w:rPr>
                      <w:rFonts w:hint="eastAsia" w:ascii="Times New Roman" w:hAnsi="Times New Roman" w:cs="Times New Roman"/>
                      <w:b/>
                      <w:bCs/>
                      <w:sz w:val="21"/>
                      <w:szCs w:val="21"/>
                      <w:u w:val="none"/>
                      <w:lang w:val="en-US" w:eastAsia="zh-CN"/>
                    </w:rPr>
                    <w:t>所属县区</w:t>
                  </w:r>
                </w:p>
              </w:tc>
              <w:tc>
                <w:tcPr>
                  <w:tcW w:w="765" w:type="dxa"/>
                  <w:tcBorders>
                    <w:tl2br w:val="nil"/>
                    <w:tr2bl w:val="nil"/>
                  </w:tcBorders>
                  <w:vAlign w:val="center"/>
                </w:tcPr>
                <w:p w14:paraId="79A29600">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b/>
                      <w:bCs/>
                      <w:sz w:val="21"/>
                      <w:szCs w:val="21"/>
                      <w:u w:val="none"/>
                      <w:lang w:val="en-US" w:eastAsia="zh-CN"/>
                    </w:rPr>
                  </w:pPr>
                  <w:r>
                    <w:rPr>
                      <w:rFonts w:hint="eastAsia" w:ascii="Times New Roman" w:hAnsi="Times New Roman" w:cs="Times New Roman"/>
                      <w:b/>
                      <w:bCs/>
                      <w:sz w:val="21"/>
                      <w:szCs w:val="21"/>
                      <w:u w:val="none"/>
                      <w:lang w:val="en-US" w:eastAsia="zh-CN"/>
                    </w:rPr>
                    <w:t>管控分类</w:t>
                  </w:r>
                </w:p>
              </w:tc>
              <w:tc>
                <w:tcPr>
                  <w:tcW w:w="4755" w:type="dxa"/>
                  <w:gridSpan w:val="2"/>
                  <w:tcBorders>
                    <w:tl2br w:val="nil"/>
                    <w:tr2bl w:val="nil"/>
                  </w:tcBorders>
                  <w:vAlign w:val="center"/>
                </w:tcPr>
                <w:p w14:paraId="571C4771">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sz w:val="21"/>
                      <w:szCs w:val="21"/>
                      <w:u w:val="none"/>
                    </w:rPr>
                  </w:pPr>
                  <w:r>
                    <w:rPr>
                      <w:rFonts w:hint="eastAsia" w:ascii="Times New Roman" w:hAnsi="Times New Roman" w:cs="Times New Roman"/>
                      <w:b/>
                      <w:bCs/>
                      <w:sz w:val="21"/>
                      <w:szCs w:val="21"/>
                      <w:u w:val="none"/>
                      <w:lang w:val="en-US" w:eastAsia="zh-CN"/>
                    </w:rPr>
                    <w:t>单元</w:t>
                  </w:r>
                  <w:r>
                    <w:rPr>
                      <w:rFonts w:hint="default" w:ascii="Times New Roman" w:hAnsi="Times New Roman" w:eastAsia="宋体" w:cs="Times New Roman"/>
                      <w:b/>
                      <w:bCs/>
                      <w:sz w:val="21"/>
                      <w:szCs w:val="21"/>
                      <w:u w:val="none"/>
                    </w:rPr>
                    <w:t>管控要求</w:t>
                  </w:r>
                </w:p>
              </w:tc>
              <w:tc>
                <w:tcPr>
                  <w:tcW w:w="2551" w:type="dxa"/>
                  <w:tcBorders>
                    <w:tl2br w:val="nil"/>
                    <w:tr2bl w:val="nil"/>
                  </w:tcBorders>
                  <w:vAlign w:val="center"/>
                </w:tcPr>
                <w:p w14:paraId="65A24031">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sz w:val="21"/>
                      <w:szCs w:val="21"/>
                      <w:u w:val="none"/>
                      <w:lang w:val="en-US" w:eastAsia="zh-CN"/>
                    </w:rPr>
                  </w:pPr>
                  <w:r>
                    <w:rPr>
                      <w:rFonts w:hint="eastAsia" w:ascii="Times New Roman" w:hAnsi="Times New Roman" w:cs="Times New Roman"/>
                      <w:b/>
                      <w:bCs/>
                      <w:sz w:val="21"/>
                      <w:szCs w:val="21"/>
                      <w:u w:val="none"/>
                      <w:lang w:val="en-US" w:eastAsia="zh-CN"/>
                    </w:rPr>
                    <w:t>本项目情况</w:t>
                  </w:r>
                </w:p>
              </w:tc>
              <w:tc>
                <w:tcPr>
                  <w:tcW w:w="853" w:type="dxa"/>
                  <w:gridSpan w:val="2"/>
                  <w:tcBorders>
                    <w:tl2br w:val="nil"/>
                    <w:tr2bl w:val="nil"/>
                  </w:tcBorders>
                  <w:vAlign w:val="center"/>
                </w:tcPr>
                <w:p w14:paraId="77306D48">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b/>
                      <w:bCs/>
                      <w:sz w:val="21"/>
                      <w:szCs w:val="21"/>
                      <w:u w:val="none"/>
                      <w:lang w:val="en-US" w:eastAsia="zh-CN"/>
                    </w:rPr>
                  </w:pPr>
                  <w:r>
                    <w:rPr>
                      <w:rFonts w:hint="eastAsia" w:ascii="Times New Roman" w:hAnsi="Times New Roman" w:cs="Times New Roman"/>
                      <w:b/>
                      <w:bCs/>
                      <w:sz w:val="21"/>
                      <w:szCs w:val="21"/>
                      <w:u w:val="none"/>
                      <w:lang w:val="en-US" w:eastAsia="zh-CN"/>
                    </w:rPr>
                    <w:t>符合性</w:t>
                  </w:r>
                </w:p>
              </w:tc>
            </w:tr>
            <w:tr w14:paraId="20BFA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restart"/>
                  <w:tcBorders>
                    <w:tl2br w:val="nil"/>
                    <w:tr2bl w:val="nil"/>
                  </w:tcBorders>
                  <w:vAlign w:val="center"/>
                </w:tcPr>
                <w:p w14:paraId="6E030DE4">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仿宋_GB2312"/>
                      <w:b w:val="0"/>
                      <w:bCs w:val="0"/>
                      <w:color w:val="auto"/>
                      <w:sz w:val="21"/>
                      <w:szCs w:val="21"/>
                      <w:highlight w:val="none"/>
                      <w:u w:val="none"/>
                      <w:lang w:val="en-US" w:eastAsia="zh-CN"/>
                    </w:rPr>
                  </w:pPr>
                  <w:r>
                    <w:rPr>
                      <w:rFonts w:hint="eastAsia" w:ascii="Times New Roman" w:hAnsi="Times New Roman" w:eastAsia="宋体" w:cs="宋体"/>
                      <w:color w:val="000000"/>
                      <w:sz w:val="21"/>
                      <w:szCs w:val="21"/>
                      <w:u w:val="none"/>
                      <w:lang w:val="en-US" w:eastAsia="zh-CN" w:bidi="zh-CN"/>
                    </w:rPr>
                    <w:t>ZH411</w:t>
                  </w:r>
                  <w:r>
                    <w:rPr>
                      <w:rFonts w:hint="eastAsia" w:ascii="Times New Roman" w:hAnsi="Times New Roman" w:cs="宋体"/>
                      <w:color w:val="000000"/>
                      <w:sz w:val="21"/>
                      <w:szCs w:val="21"/>
                      <w:u w:val="none"/>
                      <w:lang w:val="en-US" w:eastAsia="zh-CN" w:bidi="zh-CN"/>
                    </w:rPr>
                    <w:t>00220001</w:t>
                  </w:r>
                </w:p>
              </w:tc>
              <w:tc>
                <w:tcPr>
                  <w:tcW w:w="1095" w:type="dxa"/>
                  <w:vMerge w:val="restart"/>
                  <w:tcBorders>
                    <w:tl2br w:val="nil"/>
                    <w:tr2bl w:val="nil"/>
                  </w:tcBorders>
                  <w:vAlign w:val="center"/>
                </w:tcPr>
                <w:p w14:paraId="07FC7F8B">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许昌魏都区先进制造业开发区</w:t>
                  </w:r>
                </w:p>
              </w:tc>
              <w:tc>
                <w:tcPr>
                  <w:tcW w:w="1050" w:type="dxa"/>
                  <w:vMerge w:val="restart"/>
                  <w:tcBorders>
                    <w:tl2br w:val="nil"/>
                    <w:tr2bl w:val="nil"/>
                  </w:tcBorders>
                  <w:vAlign w:val="center"/>
                </w:tcPr>
                <w:p w14:paraId="06717134">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河南省许昌市魏都区</w:t>
                  </w:r>
                </w:p>
              </w:tc>
              <w:tc>
                <w:tcPr>
                  <w:tcW w:w="765" w:type="dxa"/>
                  <w:vMerge w:val="restart"/>
                  <w:tcBorders>
                    <w:tl2br w:val="nil"/>
                    <w:tr2bl w:val="nil"/>
                  </w:tcBorders>
                  <w:vAlign w:val="center"/>
                </w:tcPr>
                <w:p w14:paraId="32C317DF">
                  <w:pPr>
                    <w:pStyle w:val="60"/>
                    <w:widowControl w:val="0"/>
                    <w:wordWrap/>
                    <w:autoSpaceDE w:val="0"/>
                    <w:autoSpaceDN w:val="0"/>
                    <w:adjustRightInd/>
                    <w:snapToGrid/>
                    <w:spacing w:beforeAutospacing="0" w:afterAutospacing="0" w:line="360" w:lineRule="exact"/>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重点管控区</w:t>
                  </w:r>
                </w:p>
              </w:tc>
              <w:tc>
                <w:tcPr>
                  <w:tcW w:w="675" w:type="dxa"/>
                  <w:tcBorders>
                    <w:tl2br w:val="nil"/>
                    <w:tr2bl w:val="nil"/>
                  </w:tcBorders>
                  <w:vAlign w:val="center"/>
                </w:tcPr>
                <w:p w14:paraId="182201E9">
                  <w:pPr>
                    <w:pStyle w:val="60"/>
                    <w:widowControl w:val="0"/>
                    <w:wordWrap/>
                    <w:autoSpaceDE w:val="0"/>
                    <w:autoSpaceDN w:val="0"/>
                    <w:adjustRightInd/>
                    <w:snapToGrid/>
                    <w:spacing w:beforeAutospacing="0" w:afterAutospacing="0" w:line="360" w:lineRule="exact"/>
                    <w:ind w:left="0" w:leftChars="0" w:right="0"/>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default" w:ascii="Times New Roman" w:hAnsi="Times New Roman" w:eastAsia="宋体" w:cs="仿宋_GB2312"/>
                      <w:b w:val="0"/>
                      <w:bCs w:val="0"/>
                      <w:color w:val="auto"/>
                      <w:sz w:val="21"/>
                      <w:szCs w:val="21"/>
                      <w:highlight w:val="none"/>
                      <w:u w:val="none"/>
                      <w:lang w:val="en-US" w:eastAsia="zh-CN"/>
                    </w:rPr>
                    <w:t>空间布局约束</w:t>
                  </w:r>
                </w:p>
              </w:tc>
              <w:tc>
                <w:tcPr>
                  <w:tcW w:w="4080" w:type="dxa"/>
                  <w:tcBorders>
                    <w:tl2br w:val="nil"/>
                    <w:tr2bl w:val="nil"/>
                  </w:tcBorders>
                  <w:vAlign w:val="center"/>
                </w:tcPr>
                <w:p w14:paraId="7C02125B">
                  <w:pPr>
                    <w:pStyle w:val="20"/>
                    <w:widowControl/>
                    <w:numPr>
                      <w:ilvl w:val="0"/>
                      <w:numId w:val="25"/>
                    </w:numPr>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高污染燃料禁燃区内，禁止新建、扩建燃用高污染燃料的项目(集中供热、热电联产设施除外)。</w:t>
                  </w:r>
                </w:p>
                <w:p w14:paraId="66585318">
                  <w:pPr>
                    <w:pStyle w:val="20"/>
                    <w:widowControl/>
                    <w:numPr>
                      <w:ilvl w:val="0"/>
                      <w:numId w:val="25"/>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开发区临近颖汝干渠退水河段一侧工业企业入驻应当严格管控，污染较重的工业企业布置于远离颖汝干渠退水河段一侧；生活服务组团禁止工业企业入驻并逐步搬迁现有企业。</w:t>
                  </w:r>
                </w:p>
                <w:p w14:paraId="27A682B6">
                  <w:pPr>
                    <w:pStyle w:val="20"/>
                    <w:widowControl/>
                    <w:numPr>
                      <w:ilvl w:val="0"/>
                      <w:numId w:val="25"/>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严格落实规划环评及批复文件要求，规划调整修编时应同步开展规划环评。4、新建、改建、扩建</w:t>
                  </w:r>
                  <w:r>
                    <w:rPr>
                      <w:rFonts w:hint="eastAsia" w:ascii="Times New Roman" w:hAnsi="Times New Roman" w:cs="仿宋_GB2312"/>
                      <w:b w:val="0"/>
                      <w:bCs w:val="0"/>
                      <w:color w:val="auto"/>
                      <w:kern w:val="0"/>
                      <w:sz w:val="21"/>
                      <w:szCs w:val="21"/>
                      <w:highlight w:val="none"/>
                      <w:u w:val="none"/>
                      <w:shd w:val="clear" w:color="auto" w:fill="FFFFFF"/>
                      <w:lang w:val="zh-CN" w:eastAsia="zh-CN" w:bidi="zh-CN"/>
                    </w:rPr>
                    <w:t>“</w:t>
                  </w: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两高</w:t>
                  </w:r>
                  <w:r>
                    <w:rPr>
                      <w:rFonts w:hint="eastAsia" w:ascii="Times New Roman" w:hAnsi="Times New Roman" w:cs="仿宋_GB2312"/>
                      <w:b w:val="0"/>
                      <w:bCs w:val="0"/>
                      <w:color w:val="auto"/>
                      <w:kern w:val="0"/>
                      <w:sz w:val="21"/>
                      <w:szCs w:val="21"/>
                      <w:highlight w:val="none"/>
                      <w:u w:val="none"/>
                      <w:shd w:val="clear" w:color="auto" w:fill="FFFFFF"/>
                      <w:lang w:val="zh-CN" w:eastAsia="zh-CN" w:bidi="zh-CN"/>
                    </w:rPr>
                    <w:t>”</w:t>
                  </w: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项目应符合生态环境保护法律法规和相关法定规划，满足重点污染物排放总量控制、碳排放达峰目标、“三线一单”、相关规划环评和相应行业建设项目环境准入条件、环评文件审批原则要求。</w:t>
                  </w:r>
                </w:p>
                <w:p w14:paraId="4C8C0E4C">
                  <w:pPr>
                    <w:pStyle w:val="20"/>
                    <w:widowControl/>
                    <w:numPr>
                      <w:ilvl w:val="0"/>
                      <w:numId w:val="0"/>
                    </w:numPr>
                    <w:wordWrap/>
                    <w:autoSpaceDE w:val="0"/>
                    <w:autoSpaceDN w:val="0"/>
                    <w:adjustRightInd/>
                    <w:snapToGrid/>
                    <w:spacing w:before="0" w:beforeAutospacing="0" w:after="0" w:afterAutospacing="0" w:line="360" w:lineRule="exact"/>
                    <w:ind w:leftChars="0" w:right="0" w:rightChars="0"/>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5、鼓励延长开发区主导产业下游产业链，符合开发区功能定位的项目入驻。</w:t>
                  </w:r>
                </w:p>
              </w:tc>
              <w:tc>
                <w:tcPr>
                  <w:tcW w:w="2551" w:type="dxa"/>
                  <w:tcBorders>
                    <w:tl2br w:val="nil"/>
                    <w:tr2bl w:val="nil"/>
                  </w:tcBorders>
                  <w:vAlign w:val="center"/>
                </w:tcPr>
                <w:p w14:paraId="68242528">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1、不涉及。</w:t>
                  </w:r>
                </w:p>
                <w:p w14:paraId="720868DA">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2、</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项目距离颍汝干渠</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8.15</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km。</w:t>
                  </w:r>
                </w:p>
                <w:p w14:paraId="4103FA4C">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3、项目符合</w:t>
                  </w: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《许昌魏都区先进制造业开发区发展规划（2022-2035）环境影响报告书》。</w:t>
                  </w:r>
                </w:p>
                <w:p w14:paraId="4A309196">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4、不涉及。</w:t>
                  </w:r>
                </w:p>
                <w:p w14:paraId="56916768">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5、根据许昌魏都区先进制造业开发区管理委员会出具的情况说明，许昌魏都区先进制造业开发区管理委员会同意本项目入驻</w:t>
                  </w: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w:t>
                  </w:r>
                </w:p>
              </w:tc>
              <w:tc>
                <w:tcPr>
                  <w:tcW w:w="853" w:type="dxa"/>
                  <w:gridSpan w:val="2"/>
                  <w:tcBorders>
                    <w:tl2br w:val="nil"/>
                    <w:tr2bl w:val="nil"/>
                  </w:tcBorders>
                  <w:vAlign w:val="center"/>
                </w:tcPr>
                <w:p w14:paraId="286FF758">
                  <w:pPr>
                    <w:pStyle w:val="2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相符</w:t>
                  </w:r>
                </w:p>
              </w:tc>
            </w:tr>
            <w:tr w14:paraId="59107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continue"/>
                  <w:tcBorders>
                    <w:tl2br w:val="nil"/>
                    <w:tr2bl w:val="nil"/>
                  </w:tcBorders>
                  <w:vAlign w:val="center"/>
                </w:tcPr>
                <w:p w14:paraId="45BDAA62">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auto"/>
                      <w:sz w:val="21"/>
                      <w:szCs w:val="21"/>
                      <w:highlight w:val="none"/>
                      <w:u w:val="none"/>
                      <w:lang w:val="en-US" w:eastAsia="zh-CN"/>
                    </w:rPr>
                  </w:pPr>
                </w:p>
              </w:tc>
              <w:tc>
                <w:tcPr>
                  <w:tcW w:w="1095" w:type="dxa"/>
                  <w:vMerge w:val="continue"/>
                  <w:tcBorders>
                    <w:tl2br w:val="nil"/>
                    <w:tr2bl w:val="nil"/>
                  </w:tcBorders>
                  <w:vAlign w:val="center"/>
                </w:tcPr>
                <w:p w14:paraId="205F3414">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auto"/>
                      <w:sz w:val="21"/>
                      <w:szCs w:val="21"/>
                      <w:highlight w:val="none"/>
                      <w:u w:val="none"/>
                      <w:lang w:val="en-US" w:eastAsia="zh-CN"/>
                    </w:rPr>
                  </w:pPr>
                </w:p>
              </w:tc>
              <w:tc>
                <w:tcPr>
                  <w:tcW w:w="1050" w:type="dxa"/>
                  <w:vMerge w:val="continue"/>
                  <w:tcBorders>
                    <w:tl2br w:val="nil"/>
                    <w:tr2bl w:val="nil"/>
                  </w:tcBorders>
                  <w:vAlign w:val="center"/>
                </w:tcPr>
                <w:p w14:paraId="09671336">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auto"/>
                      <w:sz w:val="21"/>
                      <w:szCs w:val="21"/>
                      <w:highlight w:val="none"/>
                      <w:u w:val="none"/>
                      <w:lang w:val="en-US" w:eastAsia="zh-CN"/>
                    </w:rPr>
                  </w:pPr>
                </w:p>
              </w:tc>
              <w:tc>
                <w:tcPr>
                  <w:tcW w:w="765" w:type="dxa"/>
                  <w:vMerge w:val="continue"/>
                  <w:tcBorders>
                    <w:tl2br w:val="nil"/>
                    <w:tr2bl w:val="nil"/>
                  </w:tcBorders>
                  <w:vAlign w:val="center"/>
                </w:tcPr>
                <w:p w14:paraId="006967DC">
                  <w:pPr>
                    <w:pStyle w:val="60"/>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仿宋_GB2312"/>
                      <w:b w:val="0"/>
                      <w:bCs w:val="0"/>
                      <w:color w:val="auto"/>
                      <w:sz w:val="21"/>
                      <w:szCs w:val="21"/>
                      <w:highlight w:val="none"/>
                      <w:u w:val="none"/>
                      <w:lang w:val="en-US" w:eastAsia="zh-CN"/>
                    </w:rPr>
                  </w:pPr>
                </w:p>
              </w:tc>
              <w:tc>
                <w:tcPr>
                  <w:tcW w:w="675" w:type="dxa"/>
                  <w:tcBorders>
                    <w:tl2br w:val="nil"/>
                    <w:tr2bl w:val="nil"/>
                  </w:tcBorders>
                  <w:vAlign w:val="center"/>
                </w:tcPr>
                <w:p w14:paraId="1C09ED4A">
                  <w:pPr>
                    <w:pStyle w:val="60"/>
                    <w:widowControl w:val="0"/>
                    <w:wordWrap/>
                    <w:autoSpaceDE w:val="0"/>
                    <w:autoSpaceDN w:val="0"/>
                    <w:adjustRightInd/>
                    <w:snapToGrid/>
                    <w:spacing w:beforeAutospacing="0" w:afterAutospacing="0" w:line="360" w:lineRule="exact"/>
                    <w:ind w:left="0" w:leftChars="0" w:right="0"/>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default" w:ascii="Times New Roman" w:hAnsi="Times New Roman" w:eastAsia="宋体" w:cs="仿宋_GB2312"/>
                      <w:b w:val="0"/>
                      <w:bCs w:val="0"/>
                      <w:color w:val="auto"/>
                      <w:sz w:val="21"/>
                      <w:szCs w:val="21"/>
                      <w:highlight w:val="none"/>
                      <w:u w:val="none"/>
                      <w:lang w:val="en-US" w:eastAsia="zh-CN"/>
                    </w:rPr>
                    <w:t>污染物排放管控</w:t>
                  </w:r>
                </w:p>
              </w:tc>
              <w:tc>
                <w:tcPr>
                  <w:tcW w:w="4080" w:type="dxa"/>
                  <w:tcBorders>
                    <w:tl2br w:val="nil"/>
                    <w:tr2bl w:val="nil"/>
                  </w:tcBorders>
                  <w:vAlign w:val="center"/>
                </w:tcPr>
                <w:p w14:paraId="1617CF6C">
                  <w:pPr>
                    <w:pStyle w:val="20"/>
                    <w:widowControl/>
                    <w:numPr>
                      <w:ilvl w:val="0"/>
                      <w:numId w:val="26"/>
                    </w:numPr>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新建涉VOCs排放的工业涂装等重点行业企业实行区域内VOCs排放等量或倍量削减替代。</w:t>
                  </w:r>
                </w:p>
                <w:p w14:paraId="1973A46F">
                  <w:pPr>
                    <w:pStyle w:val="20"/>
                    <w:widowControl/>
                    <w:numPr>
                      <w:ilvl w:val="0"/>
                      <w:numId w:val="26"/>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开发区必须配备完善的污水处理厂、垃圾转运等设施。加快开发区完善集聚内污水管网等基础设施建设，确保开发区废水全收集、全处理。</w:t>
                  </w:r>
                </w:p>
                <w:p w14:paraId="71641D8E">
                  <w:pPr>
                    <w:pStyle w:val="20"/>
                    <w:widowControl/>
                    <w:numPr>
                      <w:ilvl w:val="0"/>
                      <w:numId w:val="26"/>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新建</w:t>
                  </w:r>
                  <w:r>
                    <w:rPr>
                      <w:rFonts w:hint="eastAsia" w:ascii="Times New Roman" w:hAnsi="Times New Roman" w:cs="仿宋_GB2312"/>
                      <w:b w:val="0"/>
                      <w:bCs w:val="0"/>
                      <w:color w:val="auto"/>
                      <w:kern w:val="0"/>
                      <w:sz w:val="21"/>
                      <w:szCs w:val="21"/>
                      <w:highlight w:val="none"/>
                      <w:u w:val="none"/>
                      <w:shd w:val="clear" w:color="auto" w:fill="FFFFFF"/>
                      <w:lang w:val="zh-CN" w:eastAsia="zh-CN" w:bidi="zh-CN"/>
                    </w:rPr>
                    <w:t>“</w:t>
                  </w: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两高</w:t>
                  </w:r>
                  <w:r>
                    <w:rPr>
                      <w:rFonts w:hint="eastAsia" w:ascii="Times New Roman" w:hAnsi="Times New Roman" w:cs="仿宋_GB2312"/>
                      <w:b w:val="0"/>
                      <w:bCs w:val="0"/>
                      <w:color w:val="auto"/>
                      <w:kern w:val="0"/>
                      <w:sz w:val="21"/>
                      <w:szCs w:val="21"/>
                      <w:highlight w:val="none"/>
                      <w:u w:val="none"/>
                      <w:shd w:val="clear" w:color="auto" w:fill="FFFFFF"/>
                      <w:lang w:val="zh-CN" w:eastAsia="zh-CN" w:bidi="zh-CN"/>
                    </w:rPr>
                    <w:t>”</w:t>
                  </w: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项目应按照《关于加强重点行业建设项目区域削减措施监督管理的通知》要求，依据区域环境质量改善目标，制定配套区域污染物削减方案，采取有效的污染物区域削减措施，腾出足够的环境容量。已出台超低排放要求的“两高”行业建设项目还应满足超低排放要求。</w:t>
                  </w:r>
                </w:p>
                <w:p w14:paraId="29D9DD28">
                  <w:pPr>
                    <w:pStyle w:val="20"/>
                    <w:widowControl/>
                    <w:numPr>
                      <w:ilvl w:val="0"/>
                      <w:numId w:val="26"/>
                    </w:numPr>
                    <w:wordWrap/>
                    <w:autoSpaceDE w:val="0"/>
                    <w:autoSpaceDN w:val="0"/>
                    <w:adjustRightInd/>
                    <w:snapToGrid/>
                    <w:spacing w:before="0" w:beforeAutospacing="0" w:after="0" w:afterAutospacing="0" w:line="360" w:lineRule="exact"/>
                    <w:ind w:left="0" w:leftChars="0" w:right="0" w:rightChars="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新建耗煤项目还应严格按规定采取煤炭消费减量替代措施，不得使用高污染燃料作为煤炭减量替代措施。</w:t>
                  </w:r>
                </w:p>
                <w:p w14:paraId="2AD0B0D8">
                  <w:pPr>
                    <w:pStyle w:val="20"/>
                    <w:widowControl/>
                    <w:numPr>
                      <w:ilvl w:val="0"/>
                      <w:numId w:val="0"/>
                    </w:numPr>
                    <w:wordWrap/>
                    <w:autoSpaceDE w:val="0"/>
                    <w:autoSpaceDN w:val="0"/>
                    <w:adjustRightInd/>
                    <w:snapToGrid/>
                    <w:spacing w:before="0" w:beforeAutospacing="0" w:after="0" w:afterAutospacing="0" w:line="360" w:lineRule="exact"/>
                    <w:ind w:leftChars="0" w:right="0" w:rightChars="0"/>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t>5、加快产业开发区内村庄搬迁工作，避免工业、居住混杂，降低污染物对居民点影响。</w:t>
                  </w:r>
                </w:p>
              </w:tc>
              <w:tc>
                <w:tcPr>
                  <w:tcW w:w="2551" w:type="dxa"/>
                  <w:tcBorders>
                    <w:tl2br w:val="nil"/>
                    <w:tr2bl w:val="nil"/>
                  </w:tcBorders>
                  <w:vAlign w:val="center"/>
                </w:tcPr>
                <w:p w14:paraId="03E2270D">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1</w:t>
                  </w: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、不涉及。</w:t>
                  </w:r>
                </w:p>
                <w:p w14:paraId="6D0471DF">
                  <w:pPr>
                    <w:pStyle w:val="2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2、</w:t>
                  </w: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项</w:t>
                  </w: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目生活污水经化粪池处理后排入市政污水管网，进入许昌市鸿瀚环境技术管理有限公司深度处</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理。冷却</w:t>
                  </w:r>
                  <w:r>
                    <w:rPr>
                      <w:rFonts w:hint="eastAsia" w:ascii="Times New Roman" w:hAnsi="Times New Roman"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水废水</w:t>
                  </w:r>
                  <w:r>
                    <w:rPr>
                      <w:rFonts w:hint="eastAsia" w:ascii="Times New Roman" w:hAnsi="Times New Roman" w:eastAsia="宋体" w:cs="仿宋_GB2312"/>
                      <w:b w:val="0"/>
                      <w:bCs w:val="0"/>
                      <w:color w:val="000000" w:themeColor="text1"/>
                      <w:kern w:val="0"/>
                      <w:sz w:val="21"/>
                      <w:szCs w:val="21"/>
                      <w:highlight w:val="none"/>
                      <w:u w:val="none"/>
                      <w:shd w:val="clear" w:color="auto" w:fill="FFFFFF"/>
                      <w:lang w:val="en-US" w:eastAsia="zh-CN" w:bidi="zh-CN"/>
                      <w14:textFill>
                        <w14:solidFill>
                          <w14:schemeClr w14:val="tx1"/>
                        </w14:solidFill>
                      </w14:textFill>
                    </w:rPr>
                    <w:t>进入许昌鸿瀚环境技术管理有限公司处理。</w:t>
                  </w:r>
                </w:p>
                <w:p w14:paraId="4837545E">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3、不涉及。</w:t>
                  </w:r>
                </w:p>
                <w:p w14:paraId="01A8F89C">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4、不涉及。</w:t>
                  </w:r>
                </w:p>
                <w:p w14:paraId="311C362C">
                  <w:pPr>
                    <w:pStyle w:val="20"/>
                    <w:widowControl/>
                    <w:wordWrap/>
                    <w:autoSpaceDE w:val="0"/>
                    <w:autoSpaceDN w:val="0"/>
                    <w:adjustRightInd/>
                    <w:snapToGrid/>
                    <w:spacing w:before="0" w:beforeAutospacing="0" w:after="0" w:afterAutospacing="0" w:line="360" w:lineRule="exact"/>
                    <w:ind w:left="0" w:leftChars="0" w:right="0" w:firstLine="0" w:firstLineChars="0"/>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t>5、不涉及。</w:t>
                  </w:r>
                </w:p>
              </w:tc>
              <w:tc>
                <w:tcPr>
                  <w:tcW w:w="853" w:type="dxa"/>
                  <w:gridSpan w:val="2"/>
                  <w:tcBorders>
                    <w:tl2br w:val="nil"/>
                    <w:tr2bl w:val="nil"/>
                  </w:tcBorders>
                  <w:vAlign w:val="center"/>
                </w:tcPr>
                <w:p w14:paraId="2B3765ED">
                  <w:pPr>
                    <w:pStyle w:val="2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zh-CN" w:eastAsia="zh-CN" w:bidi="zh-CN"/>
                    </w:rPr>
                  </w:pP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相符</w:t>
                  </w:r>
                </w:p>
              </w:tc>
            </w:tr>
            <w:tr w14:paraId="43593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0" w:type="dxa"/>
                  <w:vMerge w:val="continue"/>
                  <w:tcBorders>
                    <w:tl2br w:val="nil"/>
                    <w:tr2bl w:val="nil"/>
                  </w:tcBorders>
                  <w:vAlign w:val="center"/>
                </w:tcPr>
                <w:p w14:paraId="33750E4A">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1095" w:type="dxa"/>
                  <w:vMerge w:val="continue"/>
                  <w:tcBorders>
                    <w:tl2br w:val="nil"/>
                    <w:tr2bl w:val="nil"/>
                  </w:tcBorders>
                  <w:vAlign w:val="center"/>
                </w:tcPr>
                <w:p w14:paraId="54CEA2E3">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1050" w:type="dxa"/>
                  <w:vMerge w:val="continue"/>
                  <w:tcBorders>
                    <w:tl2br w:val="nil"/>
                    <w:tr2bl w:val="nil"/>
                  </w:tcBorders>
                  <w:vAlign w:val="center"/>
                </w:tcPr>
                <w:p w14:paraId="41AD0F74">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765" w:type="dxa"/>
                  <w:vMerge w:val="continue"/>
                  <w:tcBorders>
                    <w:tl2br w:val="nil"/>
                    <w:tr2bl w:val="nil"/>
                  </w:tcBorders>
                  <w:vAlign w:val="center"/>
                </w:tcPr>
                <w:p w14:paraId="567CB2D4">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675" w:type="dxa"/>
                  <w:tcBorders>
                    <w:tl2br w:val="nil"/>
                    <w:tr2bl w:val="nil"/>
                  </w:tcBorders>
                  <w:vAlign w:val="center"/>
                </w:tcPr>
                <w:p w14:paraId="0CBF2C96">
                  <w:pPr>
                    <w:pStyle w:val="60"/>
                    <w:widowControl w:val="0"/>
                    <w:wordWrap/>
                    <w:autoSpaceDE w:val="0"/>
                    <w:autoSpaceDN w:val="0"/>
                    <w:adjustRightInd/>
                    <w:snapToGrid/>
                    <w:spacing w:beforeAutospacing="0" w:afterAutospacing="0" w:line="360" w:lineRule="exact"/>
                    <w:ind w:left="0" w:leftChars="0" w:right="0"/>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环境风险防控</w:t>
                  </w:r>
                </w:p>
              </w:tc>
              <w:tc>
                <w:tcPr>
                  <w:tcW w:w="4080" w:type="dxa"/>
                  <w:tcBorders>
                    <w:tl2br w:val="nil"/>
                    <w:tr2bl w:val="nil"/>
                  </w:tcBorders>
                  <w:vAlign w:val="center"/>
                </w:tcPr>
                <w:p w14:paraId="73AEE4DF">
                  <w:pPr>
                    <w:pStyle w:val="60"/>
                    <w:widowControl w:val="0"/>
                    <w:numPr>
                      <w:ilvl w:val="0"/>
                      <w:numId w:val="27"/>
                    </w:numPr>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开发区应成立环境应急组织机构，制定突发环境事件应急预案，配套建设突发事件应急物资及应急设施，并定期进行演练。</w:t>
                  </w:r>
                </w:p>
                <w:p w14:paraId="58294D6C">
                  <w:pPr>
                    <w:pStyle w:val="60"/>
                    <w:widowControl w:val="0"/>
                    <w:numPr>
                      <w:ilvl w:val="0"/>
                      <w:numId w:val="27"/>
                    </w:numPr>
                    <w:wordWrap/>
                    <w:autoSpaceDE w:val="0"/>
                    <w:autoSpaceDN w:val="0"/>
                    <w:adjustRightInd/>
                    <w:snapToGrid/>
                    <w:spacing w:beforeAutospacing="0" w:afterAutospacing="0" w:line="360" w:lineRule="exact"/>
                    <w:ind w:left="0" w:leftChars="0" w:right="0" w:rightChars="0" w:firstLine="0" w:firstLineChars="0"/>
                    <w:jc w:val="both"/>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园区内企业按照《企业事业单位突发环境事件应急预案备案管理办法(试行)》的要求，相关企业事业应制定完善的环境应急预案，并报环境管理部门备案管理，并落实有关要求。</w:t>
                  </w:r>
                </w:p>
                <w:p w14:paraId="633AF7EC">
                  <w:pPr>
                    <w:pStyle w:val="60"/>
                    <w:widowControl w:val="0"/>
                    <w:numPr>
                      <w:ilvl w:val="0"/>
                      <w:numId w:val="0"/>
                    </w:numPr>
                    <w:wordWrap/>
                    <w:autoSpaceDE w:val="0"/>
                    <w:autoSpaceDN w:val="0"/>
                    <w:adjustRightInd/>
                    <w:snapToGrid/>
                    <w:spacing w:beforeAutospacing="0" w:afterAutospacing="0" w:line="360" w:lineRule="exact"/>
                    <w:ind w:leftChars="0" w:right="0" w:rightChars="0"/>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3、涉重金属及危险化学品生产、储存、使用</w:t>
                  </w:r>
                  <w:r>
                    <w:rPr>
                      <w:rFonts w:hint="eastAsia" w:ascii="Times New Roman" w:hAnsi="Times New Roman" w:eastAsia="宋体" w:cs="仿宋_GB2312"/>
                      <w:b w:val="0"/>
                      <w:bCs w:val="0"/>
                      <w:color w:val="auto"/>
                      <w:sz w:val="21"/>
                      <w:szCs w:val="21"/>
                      <w:highlight w:val="none"/>
                      <w:u w:val="none"/>
                      <w:lang w:val="en-US" w:eastAsia="zh-CN"/>
                    </w:rPr>
                    <w:t>等企业在拆除生产设施设备、污染治理设施时，要事先制定残留污染物清理和安全处置方案。</w:t>
                  </w:r>
                </w:p>
              </w:tc>
              <w:tc>
                <w:tcPr>
                  <w:tcW w:w="2551" w:type="dxa"/>
                  <w:tcBorders>
                    <w:tl2br w:val="nil"/>
                    <w:tr2bl w:val="nil"/>
                  </w:tcBorders>
                  <w:vAlign w:val="center"/>
                </w:tcPr>
                <w:p w14:paraId="56E5FB6D">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1、不涉及。</w:t>
                  </w:r>
                </w:p>
                <w:p w14:paraId="77BE6D34">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2、企业</w:t>
                  </w:r>
                  <w:r>
                    <w:rPr>
                      <w:rFonts w:hint="eastAsia" w:ascii="Times New Roman" w:hAnsi="Times New Roman" w:eastAsia="宋体" w:cs="仿宋_GB2312"/>
                      <w:b w:val="0"/>
                      <w:bCs w:val="0"/>
                      <w:color w:val="auto"/>
                      <w:sz w:val="21"/>
                      <w:szCs w:val="21"/>
                      <w:highlight w:val="none"/>
                      <w:u w:val="none"/>
                      <w:lang w:val="en-US" w:eastAsia="zh-CN"/>
                    </w:rPr>
                    <w:t>按照《企业事业单位突发环境事件应急预案备案管理办法(试行)》的要求，制定完善的环境应急预案，并报环境管理部门备案管理，并落实有关要求。</w:t>
                  </w:r>
                </w:p>
                <w:p w14:paraId="0EAE692F">
                  <w:pPr>
                    <w:pStyle w:val="60"/>
                    <w:widowControl w:val="0"/>
                    <w:wordWrap/>
                    <w:autoSpaceDE w:val="0"/>
                    <w:autoSpaceDN w:val="0"/>
                    <w:adjustRightInd/>
                    <w:snapToGrid/>
                    <w:spacing w:beforeAutospacing="0" w:afterAutospacing="0" w:line="360" w:lineRule="exact"/>
                    <w:ind w:left="0" w:leftChars="0" w:right="0"/>
                    <w:jc w:val="both"/>
                    <w:textAlignment w:val="auto"/>
                    <w:rPr>
                      <w:rFonts w:hint="default"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3、不涉及。</w:t>
                  </w:r>
                </w:p>
              </w:tc>
              <w:tc>
                <w:tcPr>
                  <w:tcW w:w="853" w:type="dxa"/>
                  <w:gridSpan w:val="2"/>
                  <w:tcBorders>
                    <w:tl2br w:val="nil"/>
                    <w:tr2bl w:val="nil"/>
                  </w:tcBorders>
                  <w:vAlign w:val="center"/>
                </w:tcPr>
                <w:p w14:paraId="7736312E">
                  <w:pPr>
                    <w:pStyle w:val="60"/>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相符</w:t>
                  </w:r>
                </w:p>
              </w:tc>
            </w:tr>
            <w:tr w14:paraId="09A8E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jc w:val="center"/>
              </w:trPr>
              <w:tc>
                <w:tcPr>
                  <w:tcW w:w="1250" w:type="dxa"/>
                  <w:vMerge w:val="continue"/>
                  <w:tcBorders>
                    <w:tl2br w:val="nil"/>
                    <w:tr2bl w:val="nil"/>
                  </w:tcBorders>
                  <w:vAlign w:val="center"/>
                </w:tcPr>
                <w:p w14:paraId="35FE113C">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1095" w:type="dxa"/>
                  <w:vMerge w:val="continue"/>
                  <w:tcBorders>
                    <w:tl2br w:val="nil"/>
                    <w:tr2bl w:val="nil"/>
                  </w:tcBorders>
                  <w:vAlign w:val="center"/>
                </w:tcPr>
                <w:p w14:paraId="7598800F">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1050" w:type="dxa"/>
                  <w:vMerge w:val="continue"/>
                  <w:tcBorders>
                    <w:tl2br w:val="nil"/>
                    <w:tr2bl w:val="nil"/>
                  </w:tcBorders>
                  <w:vAlign w:val="center"/>
                </w:tcPr>
                <w:p w14:paraId="0E0857AD">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765" w:type="dxa"/>
                  <w:vMerge w:val="continue"/>
                  <w:tcBorders>
                    <w:tl2br w:val="nil"/>
                    <w:tr2bl w:val="nil"/>
                  </w:tcBorders>
                  <w:vAlign w:val="center"/>
                </w:tcPr>
                <w:p w14:paraId="4C8B7374">
                  <w:pPr>
                    <w:pStyle w:val="60"/>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仿宋_GB2312"/>
                      <w:b w:val="0"/>
                      <w:bCs w:val="0"/>
                      <w:color w:val="auto"/>
                      <w:sz w:val="21"/>
                      <w:szCs w:val="21"/>
                      <w:highlight w:val="none"/>
                      <w:u w:val="none"/>
                      <w:lang w:val="en-US" w:eastAsia="zh-CN"/>
                    </w:rPr>
                  </w:pPr>
                </w:p>
              </w:tc>
              <w:tc>
                <w:tcPr>
                  <w:tcW w:w="675" w:type="dxa"/>
                  <w:tcBorders>
                    <w:tl2br w:val="nil"/>
                    <w:tr2bl w:val="nil"/>
                  </w:tcBorders>
                  <w:vAlign w:val="center"/>
                </w:tcPr>
                <w:p w14:paraId="51A0A505">
                  <w:pPr>
                    <w:pStyle w:val="60"/>
                    <w:widowControl w:val="0"/>
                    <w:wordWrap/>
                    <w:autoSpaceDE w:val="0"/>
                    <w:autoSpaceDN w:val="0"/>
                    <w:adjustRightInd/>
                    <w:snapToGrid/>
                    <w:spacing w:beforeAutospacing="0" w:afterAutospacing="0" w:line="360" w:lineRule="exact"/>
                    <w:ind w:left="0" w:leftChars="0" w:right="0"/>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资源</w:t>
                  </w:r>
                  <w:r>
                    <w:rPr>
                      <w:rFonts w:hint="eastAsia" w:ascii="Times New Roman" w:hAnsi="Times New Roman" w:cs="仿宋_GB2312"/>
                      <w:b w:val="0"/>
                      <w:bCs w:val="0"/>
                      <w:color w:val="auto"/>
                      <w:sz w:val="21"/>
                      <w:szCs w:val="21"/>
                      <w:highlight w:val="none"/>
                      <w:u w:val="none"/>
                      <w:lang w:val="en-US" w:eastAsia="zh-CN"/>
                    </w:rPr>
                    <w:t>开发</w:t>
                  </w:r>
                  <w:r>
                    <w:rPr>
                      <w:rFonts w:hint="eastAsia" w:ascii="Times New Roman" w:hAnsi="Times New Roman" w:eastAsia="宋体" w:cs="仿宋_GB2312"/>
                      <w:b w:val="0"/>
                      <w:bCs w:val="0"/>
                      <w:color w:val="auto"/>
                      <w:sz w:val="21"/>
                      <w:szCs w:val="21"/>
                      <w:highlight w:val="none"/>
                      <w:u w:val="none"/>
                      <w:lang w:val="en-US" w:eastAsia="zh-CN"/>
                    </w:rPr>
                    <w:t>效率要求</w:t>
                  </w:r>
                </w:p>
              </w:tc>
              <w:tc>
                <w:tcPr>
                  <w:tcW w:w="4080" w:type="dxa"/>
                  <w:tcBorders>
                    <w:tl2br w:val="nil"/>
                    <w:tr2bl w:val="nil"/>
                  </w:tcBorders>
                  <w:vAlign w:val="center"/>
                </w:tcPr>
                <w:p w14:paraId="437B2995">
                  <w:pPr>
                    <w:pStyle w:val="60"/>
                    <w:widowControl w:val="0"/>
                    <w:numPr>
                      <w:ilvl w:val="0"/>
                      <w:numId w:val="28"/>
                    </w:numPr>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eastAsia="宋体" w:cs="仿宋_GB2312"/>
                      <w:b w:val="0"/>
                      <w:bCs w:val="0"/>
                      <w:color w:val="auto"/>
                      <w:sz w:val="21"/>
                      <w:szCs w:val="21"/>
                      <w:highlight w:val="none"/>
                      <w:u w:val="none"/>
                      <w:lang w:val="en-US" w:eastAsia="zh-CN"/>
                    </w:rPr>
                    <w:t>建设再生水回用配套设施，提高再生水利用率。</w:t>
                  </w:r>
                </w:p>
                <w:p w14:paraId="17564D95">
                  <w:pPr>
                    <w:pStyle w:val="60"/>
                    <w:widowControl w:val="0"/>
                    <w:numPr>
                      <w:ilvl w:val="0"/>
                      <w:numId w:val="0"/>
                    </w:numPr>
                    <w:wordWrap/>
                    <w:autoSpaceDE w:val="0"/>
                    <w:autoSpaceDN w:val="0"/>
                    <w:adjustRightInd/>
                    <w:snapToGrid/>
                    <w:spacing w:beforeAutospacing="0" w:afterAutospacing="0" w:line="360" w:lineRule="exact"/>
                    <w:ind w:right="0" w:rightChars="0"/>
                    <w:jc w:val="both"/>
                    <w:textAlignment w:val="auto"/>
                    <w:rPr>
                      <w:rFonts w:hint="eastAsia"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eastAsia="宋体" w:cs="仿宋_GB2312"/>
                      <w:b w:val="0"/>
                      <w:bCs w:val="0"/>
                      <w:color w:val="auto"/>
                      <w:sz w:val="21"/>
                      <w:szCs w:val="21"/>
                      <w:highlight w:val="none"/>
                      <w:u w:val="none"/>
                      <w:lang w:val="en-US" w:eastAsia="zh-CN"/>
                    </w:rPr>
                    <w:t>2、加快开发区基础设施建设，实现开发区内生产、生活集中供水，逐步取缔关闭企业自备地下水井。</w:t>
                  </w:r>
                </w:p>
              </w:tc>
              <w:tc>
                <w:tcPr>
                  <w:tcW w:w="2551" w:type="dxa"/>
                  <w:tcBorders>
                    <w:tl2br w:val="nil"/>
                    <w:tr2bl w:val="nil"/>
                  </w:tcBorders>
                  <w:vAlign w:val="center"/>
                </w:tcPr>
                <w:p w14:paraId="06CCCEDD">
                  <w:pPr>
                    <w:pStyle w:val="60"/>
                    <w:widowControl w:val="0"/>
                    <w:wordWrap/>
                    <w:autoSpaceDE w:val="0"/>
                    <w:autoSpaceDN w:val="0"/>
                    <w:adjustRightInd/>
                    <w:snapToGrid/>
                    <w:spacing w:beforeAutospacing="0" w:afterAutospacing="0" w:line="360" w:lineRule="exact"/>
                    <w:ind w:left="0" w:leftChars="0" w:right="0"/>
                    <w:jc w:val="both"/>
                    <w:textAlignment w:val="auto"/>
                    <w:rPr>
                      <w:rFonts w:hint="eastAsia" w:ascii="Times New Roman" w:hAnsi="Times New Roman" w:cs="仿宋_GB2312"/>
                      <w:b w:val="0"/>
                      <w:bCs w:val="0"/>
                      <w:color w:val="auto"/>
                      <w:sz w:val="21"/>
                      <w:szCs w:val="21"/>
                      <w:highlight w:val="none"/>
                      <w:u w:val="none"/>
                      <w:lang w:val="en-US" w:eastAsia="zh-CN"/>
                    </w:rPr>
                  </w:pPr>
                  <w:r>
                    <w:rPr>
                      <w:rFonts w:hint="eastAsia" w:ascii="Times New Roman" w:hAnsi="Times New Roman" w:cs="仿宋_GB2312"/>
                      <w:b w:val="0"/>
                      <w:bCs w:val="0"/>
                      <w:color w:val="auto"/>
                      <w:sz w:val="21"/>
                      <w:szCs w:val="21"/>
                      <w:highlight w:val="none"/>
                      <w:u w:val="none"/>
                      <w:lang w:val="en-US" w:eastAsia="zh-CN"/>
                    </w:rPr>
                    <w:t>1、项目不涉及。</w:t>
                  </w:r>
                </w:p>
                <w:p w14:paraId="16F305AD">
                  <w:pPr>
                    <w:pStyle w:val="60"/>
                    <w:widowControl w:val="0"/>
                    <w:wordWrap/>
                    <w:autoSpaceDE w:val="0"/>
                    <w:autoSpaceDN w:val="0"/>
                    <w:adjustRightInd/>
                    <w:snapToGrid/>
                    <w:spacing w:beforeAutospacing="0" w:afterAutospacing="0" w:line="360" w:lineRule="exact"/>
                    <w:ind w:left="0" w:leftChars="0" w:right="0"/>
                    <w:jc w:val="both"/>
                    <w:textAlignment w:val="auto"/>
                    <w:rPr>
                      <w:rFonts w:hint="default" w:ascii="Times New Roman" w:hAnsi="Times New Roman" w:eastAsia="宋体" w:cs="仿宋_GB2312"/>
                      <w:b w:val="0"/>
                      <w:bCs w:val="0"/>
                      <w:color w:val="auto"/>
                      <w:kern w:val="0"/>
                      <w:sz w:val="21"/>
                      <w:szCs w:val="21"/>
                      <w:highlight w:val="none"/>
                      <w:u w:val="none"/>
                      <w:shd w:val="clear" w:color="auto" w:fill="FFFFFF"/>
                      <w:lang w:val="en-US" w:eastAsia="zh-CN" w:bidi="zh-CN"/>
                    </w:rPr>
                  </w:pPr>
                  <w:r>
                    <w:rPr>
                      <w:rFonts w:hint="eastAsia" w:ascii="Times New Roman" w:hAnsi="Times New Roman" w:cs="仿宋_GB2312"/>
                      <w:b w:val="0"/>
                      <w:bCs w:val="0"/>
                      <w:color w:val="auto"/>
                      <w:sz w:val="21"/>
                      <w:szCs w:val="21"/>
                      <w:highlight w:val="none"/>
                      <w:u w:val="none"/>
                      <w:lang w:val="en-US" w:eastAsia="zh-CN"/>
                    </w:rPr>
                    <w:t>2、企业使用市政供水，不涉及</w:t>
                  </w:r>
                  <w:r>
                    <w:rPr>
                      <w:rFonts w:hint="eastAsia" w:ascii="Times New Roman" w:hAnsi="Times New Roman" w:eastAsia="宋体" w:cs="仿宋_GB2312"/>
                      <w:b w:val="0"/>
                      <w:bCs w:val="0"/>
                      <w:color w:val="auto"/>
                      <w:sz w:val="21"/>
                      <w:szCs w:val="21"/>
                      <w:highlight w:val="none"/>
                      <w:u w:val="none"/>
                      <w:lang w:val="en-US" w:eastAsia="zh-CN"/>
                    </w:rPr>
                    <w:t>地下水井</w:t>
                  </w:r>
                </w:p>
              </w:tc>
              <w:tc>
                <w:tcPr>
                  <w:tcW w:w="846" w:type="dxa"/>
                  <w:tcBorders>
                    <w:tl2br w:val="nil"/>
                    <w:tr2bl w:val="nil"/>
                  </w:tcBorders>
                  <w:vAlign w:val="center"/>
                </w:tcPr>
                <w:p w14:paraId="17D1C662">
                  <w:pPr>
                    <w:pStyle w:val="60"/>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仿宋_GB2312"/>
                      <w:b w:val="0"/>
                      <w:bCs w:val="0"/>
                      <w:color w:val="auto"/>
                      <w:sz w:val="21"/>
                      <w:szCs w:val="21"/>
                      <w:highlight w:val="none"/>
                      <w:u w:val="none"/>
                      <w:lang w:val="en-US" w:eastAsia="zh-CN"/>
                    </w:rPr>
                  </w:pPr>
                  <w:r>
                    <w:rPr>
                      <w:rFonts w:hint="eastAsia" w:ascii="Times New Roman" w:hAnsi="Times New Roman" w:cs="仿宋_GB2312"/>
                      <w:b w:val="0"/>
                      <w:bCs w:val="0"/>
                      <w:color w:val="auto"/>
                      <w:kern w:val="0"/>
                      <w:sz w:val="21"/>
                      <w:szCs w:val="21"/>
                      <w:highlight w:val="none"/>
                      <w:u w:val="none"/>
                      <w:shd w:val="clear" w:color="auto" w:fill="FFFFFF"/>
                      <w:lang w:val="en-US" w:eastAsia="zh-CN" w:bidi="zh-CN"/>
                    </w:rPr>
                    <w:t>相符</w:t>
                  </w:r>
                </w:p>
              </w:tc>
            </w:tr>
          </w:tbl>
          <w:p w14:paraId="48D9EDFB">
            <w:pPr>
              <w:widowControl/>
              <w:spacing w:beforeAutospacing="0" w:afterAutospacing="0" w:line="520" w:lineRule="exact"/>
              <w:ind w:firstLine="480" w:firstLineChars="200"/>
              <w:jc w:val="both"/>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综上所述，本项目不在</w:t>
            </w:r>
            <w:r>
              <w:rPr>
                <w:rFonts w:hint="eastAsia" w:ascii="Times New Roman" w:hAnsi="Times New Roman" w:cs="Times New Roman"/>
                <w:color w:val="000000" w:themeColor="text1"/>
                <w:sz w:val="24"/>
                <w:szCs w:val="24"/>
                <w:lang w:val="en-US" w:eastAsia="zh-CN" w:bidi="ar"/>
                <w14:textFill>
                  <w14:solidFill>
                    <w14:schemeClr w14:val="tx1"/>
                  </w14:solidFill>
                </w14:textFill>
              </w:rPr>
              <w:t>许昌</w:t>
            </w: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市生态保护红线保护范围内，符合生态保护红线要求；项目污染物产生量较小，并配套建设环保治理设施，各污染物均可达标排放，对周边环境影响较小，符合环境质量底线要求；</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在租赁厂房生产，不占用新的土地资源，水电均依托现有，不使用地下水资源，符合资源利用上线要求；项目符合《河南省生态环境分区管控总体要求》（2023年版）和许昌魏都区先进制造业开发区重点单元管控要求，满足“三线一单”要求。</w:t>
            </w:r>
          </w:p>
          <w:p w14:paraId="7266A3DF">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p>
        </w:tc>
      </w:tr>
    </w:tbl>
    <w:p w14:paraId="6094F3DA">
      <w:pPr>
        <w:pStyle w:val="10"/>
        <w:spacing w:before="58"/>
        <w:ind w:left="635" w:right="653"/>
        <w:jc w:val="center"/>
        <w:sectPr>
          <w:pgSz w:w="1685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879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7409"/>
      </w:tblGrid>
      <w:tr w14:paraId="1A9980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06" w:hRule="atLeast"/>
          <w:jc w:val="center"/>
        </w:trPr>
        <w:tc>
          <w:tcPr>
            <w:tcW w:w="1385" w:type="dxa"/>
            <w:vAlign w:val="center"/>
          </w:tcPr>
          <w:p w14:paraId="3F91212D">
            <w:pPr>
              <w:widowControl w:val="0"/>
              <w:wordWrap/>
              <w:autoSpaceDE w:val="0"/>
              <w:autoSpaceDN w:val="0"/>
              <w:adjustRightInd/>
              <w:snapToGrid/>
              <w:spacing w:beforeAutospacing="0" w:afterAutospacing="0" w:line="520" w:lineRule="exact"/>
              <w:jc w:val="center"/>
              <w:textAlignment w:val="auto"/>
              <w:rPr>
                <w:rFonts w:hint="eastAsia" w:ascii="Times New Roman" w:hAnsi="Times New Roman" w:eastAsia="宋体" w:cs="宋体"/>
                <w:color w:val="000000"/>
                <w:sz w:val="24"/>
                <w:szCs w:val="24"/>
                <w:u w:val="none"/>
                <w:lang w:val="en-US" w:eastAsia="zh-CN" w:bidi="zh-CN"/>
              </w:rPr>
            </w:pPr>
            <w:r>
              <w:rPr>
                <w:rFonts w:hint="default" w:ascii="Times New Roman" w:hAnsi="Times New Roman" w:cs="Times New Roman"/>
                <w:sz w:val="24"/>
                <w:szCs w:val="28"/>
                <w:u w:val="none"/>
              </w:rPr>
              <w:t>其他符合性分析</w:t>
            </w:r>
          </w:p>
        </w:tc>
        <w:tc>
          <w:tcPr>
            <w:tcW w:w="7409" w:type="dxa"/>
            <w:vAlign w:val="center"/>
          </w:tcPr>
          <w:p w14:paraId="70DA72E0">
            <w:pPr>
              <w:widowControl/>
              <w:spacing w:beforeAutospacing="0" w:afterAutospacing="0" w:line="520" w:lineRule="exact"/>
              <w:ind w:firstLine="482" w:firstLineChars="200"/>
              <w:jc w:val="both"/>
              <w:rPr>
                <w:rFonts w:hint="default" w:ascii="Times New Roman" w:hAnsi="Times New Roman"/>
                <w:b/>
                <w:bCs/>
                <w:sz w:val="24"/>
                <w:szCs w:val="24"/>
              </w:rPr>
            </w:pPr>
            <w:r>
              <w:rPr>
                <w:rFonts w:hint="eastAsia" w:ascii="Times New Roman" w:hAnsi="Times New Roman" w:cs="Times New Roman"/>
                <w:b/>
                <w:bCs/>
                <w:color w:val="000000"/>
                <w:sz w:val="24"/>
                <w:szCs w:val="24"/>
                <w:lang w:val="en-US" w:eastAsia="zh-CN" w:bidi="ar"/>
              </w:rPr>
              <w:t>3</w:t>
            </w:r>
            <w:r>
              <w:rPr>
                <w:rFonts w:hint="default" w:ascii="Times New Roman" w:hAnsi="Times New Roman" w:cs="黑体"/>
                <w:b/>
                <w:bCs/>
                <w:color w:val="000000"/>
                <w:sz w:val="24"/>
                <w:szCs w:val="24"/>
                <w:lang w:val="en-US" w:bidi="ar"/>
              </w:rPr>
              <w:t>、与《</w:t>
            </w:r>
            <w:r>
              <w:rPr>
                <w:rFonts w:hint="default" w:ascii="Times New Roman" w:hAnsi="Times New Roman" w:cs="Times New Roman"/>
                <w:b/>
                <w:bCs/>
                <w:color w:val="000000"/>
                <w:sz w:val="24"/>
                <w:szCs w:val="24"/>
                <w:lang w:val="en-US" w:bidi="ar"/>
              </w:rPr>
              <w:t>2020</w:t>
            </w:r>
            <w:r>
              <w:rPr>
                <w:rFonts w:hint="eastAsia" w:ascii="Times New Roman" w:hAnsi="Times New Roman" w:cs="黑体"/>
                <w:b/>
                <w:bCs/>
                <w:color w:val="000000"/>
                <w:sz w:val="24"/>
                <w:szCs w:val="24"/>
                <w:lang w:val="en-US" w:bidi="ar"/>
              </w:rPr>
              <w:t>年挥发性有机物治理攻坚方案》（环大气</w:t>
            </w:r>
            <w:r>
              <w:rPr>
                <w:rFonts w:hint="eastAsia"/>
                <w:b/>
                <w:bCs/>
                <w:color w:val="000000"/>
                <w:sz w:val="24"/>
                <w:szCs w:val="24"/>
                <w:lang w:val="en-US" w:bidi="ar"/>
              </w:rPr>
              <w:t>〔</w:t>
            </w:r>
            <w:r>
              <w:rPr>
                <w:rFonts w:hint="default" w:ascii="Times New Roman" w:hAnsi="Times New Roman" w:cs="Times New Roman"/>
                <w:b/>
                <w:bCs/>
                <w:color w:val="000000"/>
                <w:sz w:val="24"/>
                <w:szCs w:val="24"/>
                <w:lang w:val="en-US" w:bidi="ar"/>
              </w:rPr>
              <w:t>2020</w:t>
            </w:r>
            <w:r>
              <w:rPr>
                <w:rFonts w:hint="eastAsia"/>
                <w:b/>
                <w:bCs/>
                <w:color w:val="000000"/>
                <w:sz w:val="24"/>
                <w:szCs w:val="24"/>
                <w:lang w:val="en-US" w:bidi="ar"/>
              </w:rPr>
              <w:t>〕</w:t>
            </w:r>
            <w:r>
              <w:rPr>
                <w:rFonts w:hint="default" w:ascii="Times New Roman" w:hAnsi="Times New Roman" w:cs="Times New Roman"/>
                <w:b/>
                <w:bCs/>
                <w:color w:val="000000"/>
                <w:sz w:val="24"/>
                <w:szCs w:val="24"/>
                <w:lang w:val="en-US" w:bidi="ar"/>
              </w:rPr>
              <w:t>33</w:t>
            </w:r>
            <w:r>
              <w:rPr>
                <w:rFonts w:hint="eastAsia" w:ascii="Times New Roman" w:hAnsi="Times New Roman" w:cs="黑体"/>
                <w:b/>
                <w:bCs/>
                <w:color w:val="000000"/>
                <w:sz w:val="24"/>
                <w:szCs w:val="24"/>
                <w:lang w:val="en-US" w:bidi="ar"/>
              </w:rPr>
              <w:t>号）相符性分析</w:t>
            </w:r>
          </w:p>
          <w:p w14:paraId="6E98D519">
            <w:pPr>
              <w:widowControl/>
              <w:spacing w:beforeAutospacing="0" w:afterAutospacing="0" w:line="520" w:lineRule="exact"/>
              <w:jc w:val="center"/>
              <w:rPr>
                <w:rFonts w:hint="default" w:ascii="Times New Roman" w:hAnsi="Times New Roman" w:eastAsia="黑体" w:cs="黑体"/>
                <w:color w:val="000000"/>
                <w:sz w:val="24"/>
                <w:szCs w:val="24"/>
                <w:lang w:val="en-US" w:bidi="ar"/>
              </w:rPr>
            </w:pPr>
            <w:r>
              <w:rPr>
                <w:rFonts w:hint="eastAsia" w:ascii="Times New Roman" w:hAnsi="Times New Roman" w:eastAsia="黑体" w:cs="黑体"/>
                <w:color w:val="000000"/>
                <w:sz w:val="24"/>
                <w:szCs w:val="24"/>
                <w:lang w:val="en-US" w:bidi="ar"/>
              </w:rPr>
              <w:t>表</w:t>
            </w:r>
            <w:r>
              <w:rPr>
                <w:rFonts w:hint="eastAsia" w:ascii="Times New Roman" w:hAnsi="Times New Roman" w:eastAsia="黑体" w:cs="黑体"/>
                <w:color w:val="000000"/>
                <w:sz w:val="24"/>
                <w:szCs w:val="24"/>
                <w:lang w:val="en-US" w:eastAsia="zh-CN" w:bidi="ar"/>
              </w:rPr>
              <w:t>1-6</w:t>
            </w:r>
            <w:r>
              <w:rPr>
                <w:rFonts w:hint="default" w:ascii="Times New Roman" w:hAnsi="Times New Roman" w:eastAsia="黑体" w:cs="黑体"/>
                <w:color w:val="000000"/>
                <w:sz w:val="24"/>
                <w:szCs w:val="24"/>
                <w:lang w:val="en-US" w:bidi="ar"/>
              </w:rPr>
              <w:t xml:space="preserve"> </w:t>
            </w:r>
            <w:r>
              <w:rPr>
                <w:rFonts w:hint="eastAsia" w:ascii="Times New Roman" w:hAnsi="Times New Roman" w:eastAsia="黑体" w:cs="黑体"/>
                <w:color w:val="000000"/>
                <w:sz w:val="24"/>
                <w:szCs w:val="24"/>
                <w:lang w:val="en-US" w:bidi="ar"/>
              </w:rPr>
              <w:t xml:space="preserve"> 项目与环大气〔2020〕33号相符性分析一览表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5"/>
              <w:gridCol w:w="3522"/>
              <w:gridCol w:w="2403"/>
              <w:gridCol w:w="692"/>
            </w:tblGrid>
            <w:tr w14:paraId="71A6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Align w:val="center"/>
                </w:tcPr>
                <w:p w14:paraId="3FE2706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b/>
                      <w:bCs/>
                      <w:color w:val="000000" w:themeColor="text1"/>
                      <w:sz w:val="21"/>
                      <w:szCs w:val="21"/>
                      <w:lang w:val="en-US"/>
                      <w14:textFill>
                        <w14:solidFill>
                          <w14:schemeClr w14:val="tx1"/>
                        </w14:solidFill>
                      </w14:textFill>
                    </w:rPr>
                  </w:pPr>
                  <w:r>
                    <w:rPr>
                      <w:rFonts w:hint="eastAsia" w:ascii="Times New Roman" w:hAnsi="Times New Roman"/>
                      <w:b/>
                      <w:bCs/>
                      <w:color w:val="000000"/>
                      <w:sz w:val="21"/>
                      <w:szCs w:val="21"/>
                      <w:lang w:val="en-US" w:bidi="ar"/>
                    </w:rPr>
                    <w:t>序号</w:t>
                  </w:r>
                </w:p>
              </w:tc>
              <w:tc>
                <w:tcPr>
                  <w:tcW w:w="4356" w:type="dxa"/>
                  <w:vAlign w:val="center"/>
                </w:tcPr>
                <w:p w14:paraId="2053A91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b/>
                      <w:bCs/>
                      <w:color w:val="000000" w:themeColor="text1"/>
                      <w:sz w:val="21"/>
                      <w:szCs w:val="21"/>
                      <w:lang w:val="en-US"/>
                      <w14:textFill>
                        <w14:solidFill>
                          <w14:schemeClr w14:val="tx1"/>
                        </w14:solidFill>
                      </w14:textFill>
                    </w:rPr>
                  </w:pPr>
                  <w:r>
                    <w:rPr>
                      <w:rFonts w:hint="eastAsia" w:ascii="Times New Roman" w:hAnsi="Times New Roman"/>
                      <w:b/>
                      <w:bCs/>
                      <w:color w:val="000000"/>
                      <w:sz w:val="21"/>
                      <w:szCs w:val="21"/>
                      <w:lang w:val="en-US" w:bidi="ar"/>
                    </w:rPr>
                    <w:t>相关文件要求</w:t>
                  </w:r>
                </w:p>
              </w:tc>
              <w:tc>
                <w:tcPr>
                  <w:tcW w:w="2972" w:type="dxa"/>
                  <w:vAlign w:val="center"/>
                </w:tcPr>
                <w:p w14:paraId="2C93E1E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b/>
                      <w:bCs/>
                      <w:color w:val="000000" w:themeColor="text1"/>
                      <w:sz w:val="21"/>
                      <w:szCs w:val="21"/>
                      <w:lang w:val="en-US"/>
                      <w14:textFill>
                        <w14:solidFill>
                          <w14:schemeClr w14:val="tx1"/>
                        </w14:solidFill>
                      </w14:textFill>
                    </w:rPr>
                  </w:pPr>
                  <w:r>
                    <w:rPr>
                      <w:rFonts w:hint="eastAsia" w:ascii="Times New Roman" w:hAnsi="Times New Roman"/>
                      <w:b/>
                      <w:bCs/>
                      <w:color w:val="000000"/>
                      <w:sz w:val="21"/>
                      <w:szCs w:val="21"/>
                      <w:lang w:val="en-US" w:bidi="ar"/>
                    </w:rPr>
                    <w:t>本项目情况</w:t>
                  </w:r>
                </w:p>
              </w:tc>
              <w:tc>
                <w:tcPr>
                  <w:tcW w:w="856" w:type="dxa"/>
                  <w:vAlign w:val="center"/>
                </w:tcPr>
                <w:p w14:paraId="758EFE5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b/>
                      <w:bCs/>
                      <w:color w:val="000000" w:themeColor="text1"/>
                      <w:sz w:val="21"/>
                      <w:szCs w:val="21"/>
                      <w:lang w:val="en-US"/>
                      <w14:textFill>
                        <w14:solidFill>
                          <w14:schemeClr w14:val="tx1"/>
                        </w14:solidFill>
                      </w14:textFill>
                    </w:rPr>
                  </w:pPr>
                  <w:r>
                    <w:rPr>
                      <w:rFonts w:hint="eastAsia" w:ascii="Times New Roman" w:hAnsi="Times New Roman"/>
                      <w:b/>
                      <w:bCs/>
                      <w:color w:val="000000"/>
                      <w:sz w:val="21"/>
                      <w:szCs w:val="21"/>
                      <w:lang w:val="en-US" w:bidi="ar"/>
                    </w:rPr>
                    <w:t>相符性分析</w:t>
                  </w:r>
                </w:p>
              </w:tc>
            </w:tr>
            <w:tr w14:paraId="004A7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Align w:val="center"/>
                </w:tcPr>
                <w:p w14:paraId="77C7D356">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z w:val="21"/>
                      <w:szCs w:val="21"/>
                      <w:lang w:val="en-US"/>
                      <w14:textFill>
                        <w14:solidFill>
                          <w14:schemeClr w14:val="tx1"/>
                        </w14:solidFill>
                      </w14:textFill>
                    </w:rPr>
                    <w:t>1</w:t>
                  </w:r>
                </w:p>
              </w:tc>
              <w:tc>
                <w:tcPr>
                  <w:tcW w:w="4356" w:type="dxa"/>
                  <w:vAlign w:val="center"/>
                </w:tcPr>
                <w:p w14:paraId="10C2966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z w:val="21"/>
                      <w:szCs w:val="21"/>
                      <w:lang w:val="en-US" w:bidi="ar"/>
                      <w14:textFill>
                        <w14:solidFill>
                          <w14:schemeClr w14:val="tx1"/>
                        </w14:solidFill>
                      </w14:textFill>
                    </w:rPr>
                    <w:t>大力推进低（无）</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含量原辅材料替代。将全面使用符合国家要求的低</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含量原辅材料的企业纳入正面清单和政府绿色采购清单。企业应建立原辅材料台账，记录</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原辅材料名称、成分、</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含量、采购量、使用量、库存量、回收方式、回收量等信息，并保存相关证明材料。采用符合国家有关低</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含量产品规定的涂料、油墨、胶粘剂等，排放浓度稳定达标且排放速率满足相关规定的，相应生产工序可不要求建设末端治理设施。使用的原辅材料</w:t>
                  </w:r>
                  <w:r>
                    <w:rPr>
                      <w:rFonts w:hint="default" w:ascii="Times New Roman" w:hAnsi="Times New Roman" w:cs="Times New Roman"/>
                      <w:color w:val="000000" w:themeColor="text1"/>
                      <w:sz w:val="21"/>
                      <w:szCs w:val="21"/>
                      <w:lang w:val="en-US" w:bidi="ar"/>
                      <w14:textFill>
                        <w14:solidFill>
                          <w14:schemeClr w14:val="tx1"/>
                        </w14:solidFill>
                      </w14:textFill>
                    </w:rPr>
                    <w:t>VOCs</w:t>
                  </w:r>
                  <w:r>
                    <w:rPr>
                      <w:rFonts w:hint="eastAsia" w:ascii="Times New Roman" w:hAnsi="Times New Roman"/>
                      <w:color w:val="000000" w:themeColor="text1"/>
                      <w:sz w:val="21"/>
                      <w:szCs w:val="21"/>
                      <w:lang w:val="en-US" w:bidi="ar"/>
                      <w14:textFill>
                        <w14:solidFill>
                          <w14:schemeClr w14:val="tx1"/>
                        </w14:solidFill>
                      </w14:textFill>
                    </w:rPr>
                    <w:t>含量（质量比）均低于</w:t>
                  </w:r>
                  <w:r>
                    <w:rPr>
                      <w:rFonts w:hint="default" w:ascii="Times New Roman" w:hAnsi="Times New Roman" w:cs="Times New Roman"/>
                      <w:color w:val="000000" w:themeColor="text1"/>
                      <w:sz w:val="21"/>
                      <w:szCs w:val="21"/>
                      <w:lang w:val="en-US" w:bidi="ar"/>
                      <w14:textFill>
                        <w14:solidFill>
                          <w14:schemeClr w14:val="tx1"/>
                        </w14:solidFill>
                      </w14:textFill>
                    </w:rPr>
                    <w:t>10%</w:t>
                  </w:r>
                  <w:r>
                    <w:rPr>
                      <w:rFonts w:hint="eastAsia" w:ascii="Times New Roman" w:hAnsi="Times New Roman"/>
                      <w:color w:val="000000" w:themeColor="text1"/>
                      <w:sz w:val="21"/>
                      <w:szCs w:val="21"/>
                      <w:lang w:val="en-US" w:bidi="ar"/>
                      <w14:textFill>
                        <w14:solidFill>
                          <w14:schemeClr w14:val="tx1"/>
                        </w14:solidFill>
                      </w14:textFill>
                    </w:rPr>
                    <w:t>的工序，可不要求采取无组织排放收集和处理措施。</w:t>
                  </w:r>
                </w:p>
              </w:tc>
              <w:tc>
                <w:tcPr>
                  <w:tcW w:w="2972" w:type="dxa"/>
                  <w:vAlign w:val="center"/>
                </w:tcPr>
                <w:p w14:paraId="6696DD09">
                  <w:pPr>
                    <w:pStyle w:val="60"/>
                    <w:keepNext w:val="0"/>
                    <w:keepLines w:val="0"/>
                    <w:pageBreakBefore w:val="0"/>
                    <w:numPr>
                      <w:ilvl w:val="0"/>
                      <w:numId w:val="29"/>
                    </w:numPr>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olor w:val="000000" w:themeColor="text1"/>
                      <w:sz w:val="21"/>
                      <w:szCs w:val="21"/>
                      <w:u w:val="none"/>
                      <w:lang w:val="en-US" w:bidi="ar"/>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生产使用的原料聚丙烯常温下不挥发，吹塑工序生产加热产生有机废气。</w:t>
                  </w:r>
                </w:p>
                <w:p w14:paraId="028ED3E7">
                  <w:pPr>
                    <w:pStyle w:val="60"/>
                    <w:keepNext w:val="0"/>
                    <w:keepLines w:val="0"/>
                    <w:pageBreakBefore w:val="0"/>
                    <w:numPr>
                      <w:ilvl w:val="0"/>
                      <w:numId w:val="29"/>
                    </w:numPr>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both"/>
                    <w:textAlignment w:val="auto"/>
                    <w:rPr>
                      <w:rFonts w:hint="eastAsia" w:ascii="Times New Roman" w:hAnsi="Times New Roman" w:cs="仿宋_GB2312"/>
                      <w:color w:val="000000" w:themeColor="text1"/>
                      <w:sz w:val="21"/>
                      <w:szCs w:val="21"/>
                      <w:u w:val="none"/>
                      <w:lang w:val="en-US"/>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项目吹塑在二次密闭车间中进行，吹塑废气集气罩收集，危废贮存库废气经负压收集，风机风量5000m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排放；化妆间二次密闭，化妆废气产生量较少，无组织排放。符合要求</w:t>
                  </w:r>
                  <w:r>
                    <w:rPr>
                      <w:rFonts w:hint="eastAsia" w:ascii="Times New Roman" w:hAnsi="Times New Roman" w:cs="仿宋_GB2312"/>
                      <w:color w:val="000000" w:themeColor="text1"/>
                      <w:sz w:val="21"/>
                      <w:szCs w:val="21"/>
                      <w:u w:val="none"/>
                      <w:lang w:val="en-US"/>
                      <w14:textFill>
                        <w14:solidFill>
                          <w14:schemeClr w14:val="tx1"/>
                        </w14:solidFill>
                      </w14:textFill>
                    </w:rPr>
                    <w:t>。</w:t>
                  </w:r>
                </w:p>
                <w:p w14:paraId="6070A51A">
                  <w:pPr>
                    <w:pStyle w:val="60"/>
                    <w:keepNext w:val="0"/>
                    <w:keepLines w:val="0"/>
                    <w:pageBreakBefore w:val="0"/>
                    <w:numPr>
                      <w:ilvl w:val="0"/>
                      <w:numId w:val="0"/>
                    </w:numPr>
                    <w:kinsoku/>
                    <w:wordWrap/>
                    <w:overflowPunct/>
                    <w:topLinePunct w:val="0"/>
                    <w:autoSpaceDE w:val="0"/>
                    <w:autoSpaceDN w:val="0"/>
                    <w:bidi w:val="0"/>
                    <w:adjustRightInd/>
                    <w:snapToGrid/>
                    <w:spacing w:beforeAutospacing="0" w:afterAutospacing="0" w:line="360" w:lineRule="exact"/>
                    <w:ind w:leftChars="0" w:right="0" w:rightChars="0"/>
                    <w:jc w:val="both"/>
                    <w:textAlignment w:val="auto"/>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3、企业运营投产后建立健全完善的</w:t>
                  </w:r>
                  <w:r>
                    <w:rPr>
                      <w:rFonts w:hint="eastAsia" w:ascii="Times New Roman" w:hAnsi="Times New Roman"/>
                      <w:color w:val="000000" w:themeColor="text1"/>
                      <w:sz w:val="21"/>
                      <w:szCs w:val="21"/>
                      <w:lang w:val="en-US" w:bidi="ar"/>
                      <w14:textFill>
                        <w14:solidFill>
                          <w14:schemeClr w14:val="tx1"/>
                        </w14:solidFill>
                      </w14:textFill>
                    </w:rPr>
                    <w:t>原辅材料</w:t>
                  </w:r>
                  <w:r>
                    <w:rPr>
                      <w:rFonts w:hint="eastAsia" w:ascii="Times New Roman" w:hAnsi="Times New Roman"/>
                      <w:color w:val="000000" w:themeColor="text1"/>
                      <w:sz w:val="21"/>
                      <w:szCs w:val="21"/>
                      <w:lang w:val="en-US" w:eastAsia="zh-CN" w:bidi="ar"/>
                      <w14:textFill>
                        <w14:solidFill>
                          <w14:schemeClr w14:val="tx1"/>
                        </w14:solidFill>
                      </w14:textFill>
                    </w:rPr>
                    <w:t>、生产</w:t>
                  </w:r>
                  <w:r>
                    <w:rPr>
                      <w:rFonts w:hint="eastAsia" w:ascii="Times New Roman" w:hAnsi="Times New Roman"/>
                      <w:color w:val="000000" w:themeColor="text1"/>
                      <w:sz w:val="21"/>
                      <w:szCs w:val="21"/>
                      <w:lang w:val="en-US" w:bidi="ar"/>
                      <w14:textFill>
                        <w14:solidFill>
                          <w14:schemeClr w14:val="tx1"/>
                        </w14:solidFill>
                      </w14:textFill>
                    </w:rPr>
                    <w:t>台账</w:t>
                  </w:r>
                  <w:r>
                    <w:rPr>
                      <w:rFonts w:hint="eastAsia" w:ascii="Times New Roman" w:hAnsi="Times New Roman"/>
                      <w:color w:val="000000" w:themeColor="text1"/>
                      <w:sz w:val="21"/>
                      <w:szCs w:val="21"/>
                      <w:lang w:val="en-US" w:eastAsia="zh-CN" w:bidi="ar"/>
                      <w14:textFill>
                        <w14:solidFill>
                          <w14:schemeClr w14:val="tx1"/>
                        </w14:solidFill>
                      </w14:textFill>
                    </w:rPr>
                    <w:t>。</w:t>
                  </w:r>
                </w:p>
              </w:tc>
              <w:tc>
                <w:tcPr>
                  <w:tcW w:w="856" w:type="dxa"/>
                  <w:vAlign w:val="center"/>
                </w:tcPr>
                <w:p w14:paraId="3CD0AA7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sz w:val="21"/>
                      <w:szCs w:val="21"/>
                      <w:lang w:val="en-US" w:bidi="ar"/>
                    </w:rPr>
                    <w:t>相符</w:t>
                  </w:r>
                </w:p>
              </w:tc>
            </w:tr>
            <w:tr w14:paraId="57CB0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Align w:val="center"/>
                </w:tcPr>
                <w:p w14:paraId="35523DFB">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z w:val="21"/>
                      <w:szCs w:val="21"/>
                      <w:lang w:val="en-US"/>
                      <w14:textFill>
                        <w14:solidFill>
                          <w14:schemeClr w14:val="tx1"/>
                        </w14:solidFill>
                      </w14:textFill>
                    </w:rPr>
                    <w:t>2</w:t>
                  </w:r>
                </w:p>
              </w:tc>
              <w:tc>
                <w:tcPr>
                  <w:tcW w:w="4356" w:type="dxa"/>
                  <w:vAlign w:val="center"/>
                </w:tcPr>
                <w:p w14:paraId="0DB3040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sz w:val="21"/>
                      <w:szCs w:val="21"/>
                      <w:lang w:val="en-US" w:bidi="ar"/>
                    </w:rPr>
                    <w:t>企业对照标准要求开展含</w:t>
                  </w:r>
                  <w:r>
                    <w:rPr>
                      <w:rFonts w:hint="default" w:ascii="Times New Roman" w:hAnsi="Times New Roman" w:cs="Times New Roman"/>
                      <w:color w:val="000000"/>
                      <w:sz w:val="21"/>
                      <w:szCs w:val="21"/>
                      <w:lang w:val="en-US" w:bidi="ar"/>
                    </w:rPr>
                    <w:t>VOCs</w:t>
                  </w:r>
                  <w:r>
                    <w:rPr>
                      <w:rFonts w:hint="eastAsia" w:ascii="Times New Roman" w:hAnsi="Times New Roman"/>
                      <w:color w:val="000000"/>
                      <w:sz w:val="21"/>
                      <w:szCs w:val="21"/>
                      <w:lang w:val="en-US" w:bidi="ar"/>
                    </w:rPr>
                    <w:t>物料（包括含</w:t>
                  </w:r>
                  <w:r>
                    <w:rPr>
                      <w:rFonts w:hint="default" w:ascii="Times New Roman" w:hAnsi="Times New Roman" w:cs="Times New Roman"/>
                      <w:color w:val="000000"/>
                      <w:sz w:val="21"/>
                      <w:szCs w:val="21"/>
                      <w:lang w:val="en-US" w:bidi="ar"/>
                    </w:rPr>
                    <w:t>VOCs</w:t>
                  </w:r>
                  <w:r>
                    <w:rPr>
                      <w:rFonts w:hint="eastAsia" w:ascii="Times New Roman" w:hAnsi="Times New Roman"/>
                      <w:color w:val="000000"/>
                      <w:sz w:val="21"/>
                      <w:szCs w:val="21"/>
                      <w:lang w:val="en-US" w:bidi="ar"/>
                    </w:rPr>
                    <w:t>原辅材料、含</w:t>
                  </w:r>
                  <w:r>
                    <w:rPr>
                      <w:rFonts w:hint="default" w:ascii="Times New Roman" w:hAnsi="Times New Roman" w:cs="Times New Roman"/>
                      <w:color w:val="000000"/>
                      <w:sz w:val="21"/>
                      <w:szCs w:val="21"/>
                      <w:lang w:val="en-US" w:bidi="ar"/>
                    </w:rPr>
                    <w:t>VOCs</w:t>
                  </w:r>
                  <w:r>
                    <w:rPr>
                      <w:rFonts w:hint="eastAsia" w:ascii="Times New Roman" w:hAnsi="Times New Roman"/>
                      <w:color w:val="000000"/>
                      <w:sz w:val="21"/>
                      <w:szCs w:val="21"/>
                      <w:lang w:val="en-US" w:bidi="ar"/>
                    </w:rPr>
                    <w:t>产品、含</w:t>
                  </w:r>
                  <w:r>
                    <w:rPr>
                      <w:rFonts w:hint="default" w:ascii="Times New Roman" w:hAnsi="Times New Roman" w:cs="Times New Roman"/>
                      <w:color w:val="000000"/>
                      <w:sz w:val="21"/>
                      <w:szCs w:val="21"/>
                      <w:lang w:val="en-US" w:bidi="ar"/>
                    </w:rPr>
                    <w:t>VOCs</w:t>
                  </w:r>
                  <w:r>
                    <w:rPr>
                      <w:rFonts w:hint="eastAsia" w:ascii="Times New Roman" w:hAnsi="Times New Roman"/>
                      <w:color w:val="000000"/>
                      <w:sz w:val="21"/>
                      <w:szCs w:val="21"/>
                      <w:lang w:val="en-US" w:bidi="ar"/>
                    </w:rPr>
                    <w:t>废料以及有机聚合物材料等）储存、转移和输送、设备与管线组件泄漏、敞开液面逸散以及工艺过程等无组织排放环节排查整治，对达不到要求的加快整改。</w:t>
                  </w:r>
                </w:p>
              </w:tc>
              <w:tc>
                <w:tcPr>
                  <w:tcW w:w="2972" w:type="dxa"/>
                  <w:vAlign w:val="center"/>
                </w:tcPr>
                <w:p w14:paraId="7744CD8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olor w:val="C00000"/>
                      <w:sz w:val="21"/>
                      <w:szCs w:val="21"/>
                      <w:lang w:val="en-US"/>
                    </w:rPr>
                  </w:pPr>
                  <w:r>
                    <w:rPr>
                      <w:rFonts w:hint="eastAsia" w:ascii="Times New Roman" w:hAnsi="Times New Roman" w:cs="仿宋_GB2312"/>
                      <w:sz w:val="21"/>
                      <w:szCs w:val="21"/>
                      <w:u w:val="none"/>
                      <w:lang w:val="en-US" w:eastAsia="zh-CN"/>
                    </w:rPr>
                    <w:t>生产使用的原料聚丙烯常温下不挥发。</w:t>
                  </w:r>
                </w:p>
              </w:tc>
              <w:tc>
                <w:tcPr>
                  <w:tcW w:w="856" w:type="dxa"/>
                  <w:vAlign w:val="center"/>
                </w:tcPr>
                <w:p w14:paraId="734A7F0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sz w:val="21"/>
                      <w:szCs w:val="21"/>
                      <w:lang w:val="en-US" w:bidi="ar"/>
                    </w:rPr>
                    <w:t>相符</w:t>
                  </w:r>
                </w:p>
              </w:tc>
            </w:tr>
          </w:tbl>
          <w:p w14:paraId="5733F994">
            <w:pPr>
              <w:widowControl/>
              <w:spacing w:beforeAutospacing="0" w:afterAutospacing="0" w:line="520" w:lineRule="exact"/>
              <w:ind w:firstLine="480" w:firstLineChars="200"/>
              <w:jc w:val="both"/>
              <w:rPr>
                <w:rFonts w:hint="eastAsia" w:ascii="Times New Roman" w:hAnsi="Times New Roman"/>
                <w:color w:val="000000"/>
                <w:sz w:val="24"/>
                <w:szCs w:val="24"/>
                <w:lang w:val="en-US" w:bidi="ar"/>
              </w:rPr>
            </w:pPr>
            <w:r>
              <w:rPr>
                <w:rFonts w:hint="eastAsia" w:ascii="Times New Roman" w:hAnsi="Times New Roman"/>
                <w:color w:val="000000"/>
                <w:sz w:val="24"/>
                <w:szCs w:val="24"/>
                <w:lang w:val="en-US" w:bidi="ar"/>
              </w:rPr>
              <w:t>由上表可知，项目符合《</w:t>
            </w:r>
            <w:r>
              <w:rPr>
                <w:rFonts w:hint="default" w:ascii="Times New Roman" w:hAnsi="Times New Roman"/>
                <w:color w:val="000000"/>
                <w:sz w:val="24"/>
                <w:szCs w:val="24"/>
                <w:lang w:val="en-US" w:bidi="ar"/>
              </w:rPr>
              <w:t>2020</w:t>
            </w:r>
            <w:r>
              <w:rPr>
                <w:rFonts w:hint="eastAsia" w:ascii="Times New Roman" w:hAnsi="Times New Roman"/>
                <w:color w:val="000000"/>
                <w:sz w:val="24"/>
                <w:szCs w:val="24"/>
                <w:lang w:val="en-US" w:bidi="ar"/>
              </w:rPr>
              <w:t>年挥发性有机物治理攻坚方案》（环大气</w:t>
            </w:r>
            <w:r>
              <w:rPr>
                <w:rFonts w:hint="eastAsia"/>
                <w:color w:val="000000"/>
                <w:sz w:val="24"/>
                <w:szCs w:val="24"/>
                <w:lang w:val="en-US" w:bidi="ar"/>
              </w:rPr>
              <w:t>〔</w:t>
            </w:r>
            <w:r>
              <w:rPr>
                <w:rFonts w:hint="default" w:ascii="Times New Roman" w:hAnsi="Times New Roman"/>
                <w:color w:val="000000"/>
                <w:sz w:val="24"/>
                <w:szCs w:val="24"/>
                <w:lang w:val="en-US" w:bidi="ar"/>
              </w:rPr>
              <w:t>2020</w:t>
            </w:r>
            <w:r>
              <w:rPr>
                <w:rFonts w:hint="eastAsia"/>
                <w:color w:val="000000"/>
                <w:sz w:val="24"/>
                <w:szCs w:val="24"/>
                <w:lang w:val="en-US" w:bidi="ar"/>
              </w:rPr>
              <w:t>〕</w:t>
            </w:r>
            <w:r>
              <w:rPr>
                <w:rFonts w:hint="default" w:ascii="Times New Roman" w:hAnsi="Times New Roman"/>
                <w:color w:val="000000"/>
                <w:sz w:val="24"/>
                <w:szCs w:val="24"/>
                <w:lang w:val="en-US" w:bidi="ar"/>
              </w:rPr>
              <w:t>33</w:t>
            </w:r>
            <w:r>
              <w:rPr>
                <w:rFonts w:hint="eastAsia" w:ascii="Times New Roman" w:hAnsi="Times New Roman"/>
                <w:color w:val="000000"/>
                <w:sz w:val="24"/>
                <w:szCs w:val="24"/>
                <w:lang w:val="en-US" w:bidi="ar"/>
              </w:rPr>
              <w:t>号）要求。</w:t>
            </w:r>
          </w:p>
          <w:p w14:paraId="436885D3">
            <w:pPr>
              <w:widowControl/>
              <w:spacing w:beforeAutospacing="0" w:afterAutospacing="0" w:line="520" w:lineRule="exact"/>
              <w:ind w:firstLine="482" w:firstLineChars="200"/>
              <w:jc w:val="both"/>
              <w:rPr>
                <w:rFonts w:hint="default" w:ascii="Times New Roman" w:hAnsi="Times New Roman"/>
                <w:b/>
                <w:bCs/>
                <w:color w:val="000000"/>
                <w:sz w:val="24"/>
                <w:szCs w:val="24"/>
                <w:lang w:val="en-US" w:bidi="ar"/>
              </w:rPr>
            </w:pPr>
            <w:r>
              <w:rPr>
                <w:rFonts w:hint="eastAsia" w:ascii="Times New Roman" w:hAnsi="Times New Roman"/>
                <w:b/>
                <w:bCs/>
                <w:color w:val="000000"/>
                <w:sz w:val="24"/>
                <w:szCs w:val="24"/>
                <w:lang w:val="en-US" w:eastAsia="zh-CN" w:bidi="ar"/>
              </w:rPr>
              <w:t>4</w:t>
            </w:r>
            <w:r>
              <w:rPr>
                <w:rFonts w:hint="eastAsia" w:ascii="Times New Roman" w:hAnsi="Times New Roman"/>
                <w:b/>
                <w:bCs/>
                <w:color w:val="000000"/>
                <w:sz w:val="24"/>
                <w:szCs w:val="24"/>
                <w:lang w:val="en-US" w:bidi="ar"/>
              </w:rPr>
              <w:t>、与《</w:t>
            </w:r>
            <w:r>
              <w:rPr>
                <w:rFonts w:hint="eastAsia" w:ascii="Times New Roman" w:hAnsi="Times New Roman"/>
                <w:b/>
                <w:bCs/>
                <w:color w:val="000000"/>
                <w:sz w:val="24"/>
                <w:szCs w:val="24"/>
                <w:lang w:val="en-US" w:eastAsia="zh-CN" w:bidi="ar"/>
              </w:rPr>
              <w:t>河南省生态环境厅办公室关于做好2025年夏季挥发性有机物综合治理工作的通知</w:t>
            </w:r>
            <w:r>
              <w:rPr>
                <w:rFonts w:hint="eastAsia" w:ascii="Times New Roman" w:hAnsi="Times New Roman"/>
                <w:b/>
                <w:bCs/>
                <w:color w:val="000000"/>
                <w:sz w:val="24"/>
                <w:szCs w:val="24"/>
                <w:lang w:val="en-US" w:bidi="ar"/>
              </w:rPr>
              <w:t>》</w:t>
            </w:r>
            <w:r>
              <w:rPr>
                <w:rFonts w:hint="eastAsia" w:ascii="Times New Roman" w:hAnsi="Times New Roman"/>
                <w:b/>
                <w:bCs/>
                <w:color w:val="000000"/>
                <w:sz w:val="24"/>
                <w:szCs w:val="24"/>
                <w:lang w:val="en-US" w:eastAsia="zh-CN" w:bidi="ar"/>
              </w:rPr>
              <w:t>（豫环办〔2025〕25号）</w:t>
            </w:r>
            <w:r>
              <w:rPr>
                <w:rFonts w:hint="eastAsia" w:ascii="Times New Roman" w:hAnsi="Times New Roman"/>
                <w:b/>
                <w:bCs/>
                <w:color w:val="000000"/>
                <w:sz w:val="24"/>
                <w:szCs w:val="24"/>
                <w:lang w:val="en-US" w:bidi="ar"/>
              </w:rPr>
              <w:t>相符性分析</w:t>
            </w:r>
          </w:p>
          <w:p w14:paraId="52111FEC">
            <w:pPr>
              <w:widowControl/>
              <w:spacing w:beforeAutospacing="0" w:afterAutospacing="0" w:line="520" w:lineRule="exact"/>
              <w:ind w:firstLine="480" w:firstLineChars="200"/>
              <w:jc w:val="both"/>
              <w:rPr>
                <w:rFonts w:hint="default" w:ascii="Times New Roman" w:hAnsi="Times New Roman"/>
                <w:color w:val="000000"/>
                <w:sz w:val="24"/>
                <w:szCs w:val="24"/>
                <w:lang w:val="en-US" w:bidi="ar"/>
              </w:rPr>
            </w:pPr>
            <w:r>
              <w:rPr>
                <w:rFonts w:hint="eastAsia" w:ascii="Times New Roman" w:hAnsi="Times New Roman"/>
                <w:color w:val="000000"/>
                <w:sz w:val="24"/>
                <w:szCs w:val="24"/>
                <w:lang w:val="en-US" w:bidi="ar"/>
              </w:rPr>
              <w:t>项目与《</w:t>
            </w:r>
            <w:r>
              <w:rPr>
                <w:rFonts w:hint="eastAsia" w:ascii="Times New Roman" w:hAnsi="Times New Roman"/>
                <w:color w:val="000000"/>
                <w:sz w:val="24"/>
                <w:szCs w:val="24"/>
                <w:lang w:val="en-US" w:eastAsia="zh-CN" w:bidi="ar"/>
              </w:rPr>
              <w:t>河南省生态环境厅办公室关于做好2025年夏季挥发性有机物综合治理工作的通知</w:t>
            </w:r>
            <w:r>
              <w:rPr>
                <w:rFonts w:hint="eastAsia" w:ascii="Times New Roman" w:hAnsi="Times New Roman"/>
                <w:color w:val="000000"/>
                <w:sz w:val="24"/>
                <w:szCs w:val="24"/>
                <w:lang w:val="en-US" w:bidi="ar"/>
              </w:rPr>
              <w:t>》</w:t>
            </w:r>
            <w:r>
              <w:rPr>
                <w:rFonts w:hint="eastAsia" w:ascii="Times New Roman" w:hAnsi="Times New Roman"/>
                <w:color w:val="000000"/>
                <w:sz w:val="24"/>
                <w:szCs w:val="24"/>
                <w:lang w:val="en-US" w:eastAsia="zh-CN" w:bidi="ar"/>
              </w:rPr>
              <w:t>（豫环办〔2025〕25号）</w:t>
            </w:r>
            <w:r>
              <w:rPr>
                <w:rFonts w:hint="eastAsia" w:ascii="Times New Roman" w:hAnsi="Times New Roman"/>
                <w:color w:val="000000"/>
                <w:sz w:val="24"/>
                <w:szCs w:val="24"/>
                <w:lang w:val="en-US" w:bidi="ar"/>
              </w:rPr>
              <w:t>相符性分析（仅分析与本项目相关）见表</w:t>
            </w:r>
            <w:r>
              <w:rPr>
                <w:rFonts w:hint="eastAsia" w:ascii="Times New Roman" w:hAnsi="Times New Roman"/>
                <w:color w:val="000000"/>
                <w:sz w:val="24"/>
                <w:szCs w:val="24"/>
                <w:lang w:val="en-US" w:eastAsia="zh-CN" w:bidi="ar"/>
              </w:rPr>
              <w:t>1-8</w:t>
            </w:r>
            <w:r>
              <w:rPr>
                <w:rFonts w:hint="eastAsia" w:ascii="Times New Roman" w:hAnsi="Times New Roman"/>
                <w:color w:val="000000"/>
                <w:sz w:val="24"/>
                <w:szCs w:val="24"/>
                <w:lang w:val="en-US" w:bidi="ar"/>
              </w:rPr>
              <w:t>。</w:t>
            </w:r>
          </w:p>
          <w:p w14:paraId="5CA4979F">
            <w:pPr>
              <w:widowControl/>
              <w:spacing w:beforeAutospacing="0" w:afterAutospacing="0" w:line="520" w:lineRule="exact"/>
              <w:jc w:val="center"/>
              <w:rPr>
                <w:rFonts w:hint="eastAsia" w:ascii="Times New Roman" w:hAnsi="Times New Roman" w:eastAsia="黑体" w:cs="黑体"/>
                <w:color w:val="000000"/>
                <w:sz w:val="24"/>
                <w:szCs w:val="24"/>
                <w:lang w:val="en-US" w:bidi="ar"/>
              </w:rPr>
            </w:pPr>
            <w:r>
              <w:rPr>
                <w:rFonts w:hint="default" w:ascii="Times New Roman" w:hAnsi="Times New Roman" w:eastAsia="黑体" w:cs="黑体"/>
                <w:color w:val="000000"/>
                <w:sz w:val="24"/>
                <w:szCs w:val="24"/>
                <w:lang w:val="en-US" w:bidi="ar"/>
              </w:rPr>
              <w:t>表</w:t>
            </w:r>
            <w:r>
              <w:rPr>
                <w:rFonts w:hint="eastAsia" w:ascii="Times New Roman" w:hAnsi="Times New Roman" w:eastAsia="黑体" w:cs="黑体"/>
                <w:color w:val="000000"/>
                <w:sz w:val="24"/>
                <w:szCs w:val="24"/>
                <w:lang w:val="en-US" w:eastAsia="zh-CN" w:bidi="ar"/>
              </w:rPr>
              <w:t>1-7</w:t>
            </w:r>
            <w:r>
              <w:rPr>
                <w:rFonts w:hint="default" w:ascii="Times New Roman" w:hAnsi="Times New Roman" w:eastAsia="黑体" w:cs="黑体"/>
                <w:color w:val="000000"/>
                <w:sz w:val="24"/>
                <w:szCs w:val="24"/>
                <w:lang w:val="en-US" w:bidi="ar"/>
              </w:rPr>
              <w:t xml:space="preserve"> </w:t>
            </w:r>
            <w:r>
              <w:rPr>
                <w:rFonts w:hint="eastAsia" w:ascii="Times New Roman" w:hAnsi="Times New Roman" w:eastAsia="黑体" w:cs="黑体"/>
                <w:color w:val="000000"/>
                <w:sz w:val="24"/>
                <w:szCs w:val="24"/>
                <w:lang w:val="en-US" w:bidi="ar"/>
              </w:rPr>
              <w:t xml:space="preserve"> 与</w:t>
            </w:r>
            <w:r>
              <w:rPr>
                <w:rFonts w:hint="eastAsia" w:ascii="Times New Roman" w:hAnsi="Times New Roman" w:eastAsia="黑体" w:cs="黑体"/>
                <w:color w:val="000000"/>
                <w:sz w:val="24"/>
                <w:szCs w:val="24"/>
                <w:lang w:val="en-US" w:eastAsia="zh-CN" w:bidi="ar"/>
              </w:rPr>
              <w:t>豫环办〔2025〕25号</w:t>
            </w:r>
            <w:r>
              <w:rPr>
                <w:rFonts w:hint="eastAsia" w:ascii="Times New Roman" w:hAnsi="Times New Roman" w:eastAsia="黑体" w:cs="黑体"/>
                <w:color w:val="000000"/>
                <w:sz w:val="24"/>
                <w:szCs w:val="24"/>
                <w:lang w:val="en-US" w:bidi="ar"/>
              </w:rPr>
              <w:t>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3936"/>
              <w:gridCol w:w="1480"/>
              <w:gridCol w:w="915"/>
            </w:tblGrid>
            <w:tr w14:paraId="6B29B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38" w:type="dxa"/>
                  <w:vAlign w:val="center"/>
                </w:tcPr>
                <w:p w14:paraId="5973353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b/>
                      <w:bCs/>
                      <w:color w:val="000000"/>
                      <w:sz w:val="21"/>
                      <w:szCs w:val="21"/>
                      <w:lang w:val="en-US" w:bidi="ar"/>
                    </w:rPr>
                    <w:t>项目</w:t>
                  </w:r>
                </w:p>
              </w:tc>
              <w:tc>
                <w:tcPr>
                  <w:tcW w:w="3870" w:type="dxa"/>
                  <w:vAlign w:val="center"/>
                </w:tcPr>
                <w:p w14:paraId="6449A8D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b/>
                      <w:bCs/>
                      <w:color w:val="000000"/>
                      <w:sz w:val="21"/>
                      <w:szCs w:val="21"/>
                      <w:lang w:val="en-US" w:bidi="ar"/>
                    </w:rPr>
                    <w:t>措施要求</w:t>
                  </w:r>
                </w:p>
              </w:tc>
              <w:tc>
                <w:tcPr>
                  <w:tcW w:w="1455" w:type="dxa"/>
                  <w:vAlign w:val="center"/>
                </w:tcPr>
                <w:p w14:paraId="75B7111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b/>
                      <w:bCs/>
                      <w:color w:val="000000"/>
                      <w:sz w:val="21"/>
                      <w:szCs w:val="21"/>
                      <w:lang w:val="en-US" w:bidi="ar"/>
                    </w:rPr>
                    <w:t>本项目情况</w:t>
                  </w:r>
                </w:p>
              </w:tc>
              <w:tc>
                <w:tcPr>
                  <w:tcW w:w="900" w:type="dxa"/>
                  <w:vAlign w:val="center"/>
                </w:tcPr>
                <w:p w14:paraId="42A3D98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b/>
                      <w:bCs/>
                      <w:color w:val="000000"/>
                      <w:sz w:val="21"/>
                      <w:szCs w:val="21"/>
                      <w:lang w:val="en-US" w:bidi="ar"/>
                    </w:rPr>
                    <w:t>相符性</w:t>
                  </w:r>
                </w:p>
              </w:tc>
            </w:tr>
            <w:tr w14:paraId="10CF2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Align w:val="center"/>
                </w:tcPr>
                <w:p w14:paraId="72CD73A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color w:val="000000"/>
                      <w:sz w:val="21"/>
                      <w:szCs w:val="21"/>
                      <w:lang w:val="en-US" w:eastAsia="zh-CN" w:bidi="ar"/>
                    </w:rPr>
                    <w:t>二、加强低</w:t>
                  </w:r>
                  <w:r>
                    <w:rPr>
                      <w:rFonts w:hint="default" w:ascii="Times New Roman" w:hAnsi="Times New Roman" w:eastAsia="宋体" w:cs="宋体"/>
                      <w:color w:val="000000"/>
                      <w:sz w:val="21"/>
                      <w:szCs w:val="21"/>
                      <w:lang w:val="en-US" w:eastAsia="zh-CN" w:bidi="ar"/>
                    </w:rPr>
                    <w:t>VOCs含量原辅材料替代</w:t>
                  </w:r>
                </w:p>
              </w:tc>
              <w:tc>
                <w:tcPr>
                  <w:tcW w:w="3870" w:type="dxa"/>
                  <w:vAlign w:val="center"/>
                </w:tcPr>
                <w:p w14:paraId="4517251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color w:val="000000"/>
                      <w:sz w:val="21"/>
                      <w:szCs w:val="21"/>
                      <w:lang w:val="en-US" w:eastAsia="zh-CN" w:bidi="ar"/>
                    </w:rPr>
                    <w:t>组织工业涂装、包装印刷、家具制造、电子制造等重点行业，</w:t>
                  </w:r>
                  <w:r>
                    <w:rPr>
                      <w:rFonts w:hint="default" w:ascii="Times New Roman" w:hAnsi="Times New Roman" w:eastAsia="宋体" w:cs="宋体"/>
                      <w:color w:val="000000"/>
                      <w:sz w:val="21"/>
                      <w:szCs w:val="21"/>
                      <w:lang w:val="en-US" w:eastAsia="zh-CN" w:bidi="ar"/>
                    </w:rPr>
                    <w:t>加大低（无）VOCs含量原辅材料替代力度，采用符合《低挥发性有机化合物含量涂料产品技术要求》（GB/T38597-2020）、《油墨中可挥发性有机化合物含量的限值》（GB 38507-2020）、《胶粘剂挥发性有机化合物限量》（GB 33372-2020）、《清洗剂挥发性有机化合物含量限值》（GB38508-2020）等VOCs含量限值标准的料、油墨、胶粘剂、清洗剂。按照</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可替尽替、应代尽代</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的原则，结合行业特点和企业实际，2025年4月底前完成低（无）VOCs原辅材料替代，纳入2025年大气攻坚重点治理任务。已完成源头替代的企业要严格低（无）VOCs含量原辅材料使用管理，未完成的企业要确保达标排放。</w:t>
                  </w:r>
                </w:p>
              </w:tc>
              <w:tc>
                <w:tcPr>
                  <w:tcW w:w="1455" w:type="dxa"/>
                  <w:vAlign w:val="center"/>
                </w:tcPr>
                <w:p w14:paraId="40FF137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项</w:t>
                  </w:r>
                  <w:r>
                    <w:rPr>
                      <w:rFonts w:hint="eastAsia" w:ascii="Times New Roman" w:hAnsi="Times New Roman" w:eastAsia="宋体" w:cs="宋体"/>
                      <w:color w:val="000000"/>
                      <w:sz w:val="21"/>
                      <w:szCs w:val="21"/>
                      <w:lang w:val="en-US" w:eastAsia="zh-CN" w:bidi="ar"/>
                    </w:rPr>
                    <w:t>目为</w:t>
                  </w:r>
                  <w:r>
                    <w:rPr>
                      <w:rFonts w:hint="default" w:ascii="Times New Roman" w:hAnsi="Times New Roman" w:eastAsia="宋体" w:cs="宋体"/>
                      <w:color w:val="000000"/>
                      <w:sz w:val="21"/>
                      <w:szCs w:val="21"/>
                      <w:lang w:val="en-US" w:eastAsia="zh-CN" w:bidi="ar"/>
                    </w:rPr>
                    <w:t>教学用模型及教具制造</w:t>
                  </w:r>
                  <w:r>
                    <w:rPr>
                      <w:rFonts w:hint="eastAsia" w:ascii="Times New Roman" w:hAnsi="Times New Roman" w:eastAsia="宋体" w:cs="宋体"/>
                      <w:color w:val="000000"/>
                      <w:sz w:val="21"/>
                      <w:szCs w:val="21"/>
                      <w:lang w:val="en-US" w:eastAsia="zh-CN" w:bidi="ar"/>
                    </w:rPr>
                    <w:t>，不属于工业涂装、包装印刷、家具制造、电子制造等重点行业，</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原料固态聚丙烯、色母常温下不挥发，生产时加热挥发少量有机废气，</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化妆颜料使用量很少，加盖密闭储存，</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符合</w:t>
                  </w:r>
                  <w:r>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低VOCs含量原辅材料源头替代</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的要求。</w:t>
                  </w:r>
                </w:p>
              </w:tc>
              <w:tc>
                <w:tcPr>
                  <w:tcW w:w="900" w:type="dxa"/>
                  <w:vAlign w:val="center"/>
                </w:tcPr>
                <w:p w14:paraId="0DA0285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olor w:val="000000"/>
                      <w:sz w:val="21"/>
                      <w:szCs w:val="21"/>
                      <w:lang w:val="en-US" w:bidi="ar"/>
                    </w:rPr>
                    <w:t>相符</w:t>
                  </w:r>
                </w:p>
              </w:tc>
            </w:tr>
            <w:tr w14:paraId="499A3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Merge w:val="restart"/>
                  <w:vAlign w:val="center"/>
                </w:tcPr>
                <w:p w14:paraId="31A6B83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color w:val="000000"/>
                      <w:sz w:val="21"/>
                      <w:szCs w:val="21"/>
                      <w:lang w:val="en-US" w:eastAsia="zh-CN" w:bidi="ar"/>
                    </w:rPr>
                    <w:t>三、提升有组织治理能力</w:t>
                  </w:r>
                </w:p>
              </w:tc>
              <w:tc>
                <w:tcPr>
                  <w:tcW w:w="3870" w:type="dxa"/>
                  <w:vAlign w:val="center"/>
                </w:tcPr>
                <w:p w14:paraId="40DA526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themeColor="text1"/>
                      <w:sz w:val="21"/>
                      <w:szCs w:val="21"/>
                      <w:vertAlign w:val="baseline"/>
                      <w:lang w:val="en-US" w:bidi="ar"/>
                      <w14:textFill>
                        <w14:solidFill>
                          <w14:schemeClr w14:val="tx1"/>
                        </w14:solidFill>
                      </w14:textFill>
                    </w:rPr>
                  </w:pPr>
                  <w:r>
                    <w:rPr>
                      <w:rFonts w:hint="eastAsia" w:ascii="Times New Roman" w:hAnsi="Times New Roman" w:eastAsia="宋体" w:cs="宋体"/>
                      <w:b/>
                      <w:bCs/>
                      <w:color w:val="000000" w:themeColor="text1"/>
                      <w:sz w:val="21"/>
                      <w:szCs w:val="21"/>
                      <w:lang w:val="en-US" w:eastAsia="zh-CN" w:bidi="ar"/>
                      <w14:textFill>
                        <w14:solidFill>
                          <w14:schemeClr w14:val="tx1"/>
                        </w14:solidFill>
                      </w14:textFill>
                    </w:rPr>
                    <w:t>开展低效失效污染治理设施排查整治。</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持续推进涉</w:t>
                  </w:r>
                  <w:r>
                    <w:rPr>
                      <w:rFonts w:hint="default" w:ascii="Times New Roman" w:hAnsi="Times New Roman" w:eastAsia="宋体" w:cs="宋体"/>
                      <w:color w:val="000000" w:themeColor="text1"/>
                      <w:sz w:val="21"/>
                      <w:szCs w:val="21"/>
                      <w:lang w:val="en-US" w:eastAsia="zh-CN" w:bidi="ar"/>
                      <w14:textFill>
                        <w14:solidFill>
                          <w14:schemeClr w14:val="tx1"/>
                        </w14:solidFill>
                      </w14:textFill>
                    </w:rPr>
                    <w:t>VOCs企业低效失效污染治理设施排查整治，淘汰不成熟、不适用、无</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法稳定达标排放的治理工艺，整治关键组件缺失、质量低劣、自</w:t>
                  </w:r>
                  <w:r>
                    <w:rPr>
                      <w:rFonts w:hint="default" w:ascii="Times New Roman" w:hAnsi="Times New Roman" w:eastAsia="宋体" w:cs="宋体"/>
                      <w:color w:val="000000" w:themeColor="text1"/>
                      <w:sz w:val="21"/>
                      <w:szCs w:val="21"/>
                      <w:lang w:val="en-US" w:eastAsia="zh-CN" w:bidi="ar"/>
                      <w14:textFill>
                        <w14:solidFill>
                          <w14:schemeClr w14:val="tx1"/>
                        </w14:solidFill>
                      </w14:textFill>
                    </w:rPr>
                    <w:t>动化水平低的治理设施。对于能立行立改的问题，督促企业立即整改到位。对于《国家污染防治技术指导目录（2024年，限制类和淘汰类）》（公示稿）列出的低温等离子、光催化、光氧化等淘汰类VOCs治理工艺（恶臭异味治理除外），以及不成熟、不适用、无法稳定达标排放的治理工艺，应依据排放废气特征、VOCs组分及浓度、生产工况等，通过更换适宜高效治理工艺、原辅材料源头替代等方式实施分类整治。对于采用活性炭吸附工艺的企业，应根据废气排放特征，按照相关工程技术规范设计，使废气在吸附装置中有足够的停留时间。对于治理难度大、单一治理工艺难以稳定达标的企业，宜采用多种技术的组合工艺。加大蓄热式氧化燃烧（RTO）、蓄热式催化燃烧（RCO）、催化燃烧（CO）、沸石转轮吸附浓缩等高效治理技术推广力度。2025年4月底前完成排查工作，2025年10月底前完成整治提升，将整治提升任务纳入2025年大气攻坚重点治理任务，未按时完成的纳入秋冬季生产调控范围。</w:t>
                  </w:r>
                </w:p>
              </w:tc>
              <w:tc>
                <w:tcPr>
                  <w:tcW w:w="1455" w:type="dxa"/>
                  <w:vAlign w:val="center"/>
                </w:tcPr>
                <w:p w14:paraId="5BF23C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黑体"/>
                      <w:color w:val="000000" w:themeColor="text1"/>
                      <w:sz w:val="21"/>
                      <w:szCs w:val="21"/>
                      <w:vertAlign w:val="baseline"/>
                      <w:lang w:val="en-US" w:bidi="ar"/>
                      <w14:textFill>
                        <w14:solidFill>
                          <w14:schemeClr w14:val="tx1"/>
                        </w14:solidFill>
                      </w14:textFill>
                    </w:rPr>
                  </w:pP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项目吹塑间二次密闭，废气集气罩收集，危废贮存库废气经负压收集，风机风量5000m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p>
              </w:tc>
              <w:tc>
                <w:tcPr>
                  <w:tcW w:w="900" w:type="dxa"/>
                  <w:vAlign w:val="center"/>
                </w:tcPr>
                <w:p w14:paraId="6321FF7D">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olor w:val="000000"/>
                      <w:sz w:val="21"/>
                      <w:szCs w:val="21"/>
                      <w:lang w:val="en-US" w:bidi="ar"/>
                    </w:rPr>
                    <w:t>相符</w:t>
                  </w:r>
                </w:p>
              </w:tc>
            </w:tr>
            <w:tr w14:paraId="678EF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Merge w:val="continue"/>
                  <w:vAlign w:val="center"/>
                </w:tcPr>
                <w:p w14:paraId="77A33469">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p>
              </w:tc>
              <w:tc>
                <w:tcPr>
                  <w:tcW w:w="3870" w:type="dxa"/>
                  <w:vAlign w:val="center"/>
                </w:tcPr>
                <w:p w14:paraId="7ADFCB8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b/>
                      <w:bCs/>
                      <w:color w:val="000000"/>
                      <w:sz w:val="21"/>
                      <w:szCs w:val="21"/>
                      <w:lang w:val="en-US" w:eastAsia="zh-CN" w:bidi="ar"/>
                    </w:rPr>
                    <w:t>做好污染治理设施耗材更新更换。</w:t>
                  </w:r>
                  <w:r>
                    <w:rPr>
                      <w:rFonts w:hint="eastAsia" w:ascii="Times New Roman" w:hAnsi="Times New Roman" w:eastAsia="宋体" w:cs="宋体"/>
                      <w:color w:val="000000"/>
                      <w:sz w:val="21"/>
                      <w:szCs w:val="21"/>
                      <w:lang w:val="en-US" w:eastAsia="zh-CN" w:bidi="ar"/>
                    </w:rPr>
                    <w:t>组织涉</w:t>
                  </w:r>
                  <w:r>
                    <w:rPr>
                      <w:rFonts w:hint="default" w:ascii="Times New Roman" w:hAnsi="Times New Roman" w:eastAsia="宋体" w:cs="宋体"/>
                      <w:color w:val="000000"/>
                      <w:sz w:val="21"/>
                      <w:szCs w:val="21"/>
                      <w:lang w:val="en-US" w:eastAsia="zh-CN" w:bidi="ar"/>
                    </w:rPr>
                    <w:t>VOCs企业及时更换吸附剂、吸收剂、催化剂、蓄热体、过滤棉、电器元件等治理设施耗材，确保治理设施稳定高效运行；及时清运VOCs治理设施产生的废过滤棉、废催化剂、废吸附剂、废吸收剂、废有机溶剂等，规范处理处置危险废物。做好生产设备和治理设施启停机时间、检维修情况、治理设施耗材维护更换、处置情况等台账记录。2025年4月底前组织企业开展一轮次活性炭更换。</w:t>
                  </w:r>
                </w:p>
              </w:tc>
              <w:tc>
                <w:tcPr>
                  <w:tcW w:w="1455" w:type="dxa"/>
                  <w:vAlign w:val="center"/>
                </w:tcPr>
                <w:p w14:paraId="78BCEA71">
                  <w:pPr>
                    <w:pStyle w:val="60"/>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both"/>
                    <w:textAlignment w:val="auto"/>
                    <w:rPr>
                      <w:rFonts w:hint="default" w:ascii="Times New Roman" w:hAnsi="Times New Roman" w:eastAsia="宋体" w:cs="黑体"/>
                      <w:color w:val="000000"/>
                      <w:sz w:val="21"/>
                      <w:szCs w:val="21"/>
                      <w:vertAlign w:val="baseline"/>
                      <w:lang w:val="en-US" w:bidi="ar"/>
                    </w:rPr>
                  </w:pP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本项目有机废气处理</w:t>
                  </w:r>
                  <w:r>
                    <w:rPr>
                      <w:rFonts w:hint="eastAsia" w:ascii="Times New Roman" w:hAnsi="Times New Roman" w:eastAsia="宋体"/>
                      <w:color w:val="000000"/>
                      <w:sz w:val="21"/>
                      <w:szCs w:val="21"/>
                      <w:lang w:val="en-US" w:eastAsia="zh-CN" w:bidi="ar"/>
                    </w:rPr>
                    <w:t>使用活性炭为</w:t>
                  </w:r>
                  <w:r>
                    <w:rPr>
                      <w:rFonts w:hint="eastAsia" w:ascii="Times New Roman" w:hAnsi="Times New Roman" w:eastAsia="宋体"/>
                      <w:color w:val="000000"/>
                      <w:sz w:val="21"/>
                      <w:szCs w:val="21"/>
                      <w:lang w:val="en-US" w:bidi="ar"/>
                    </w:rPr>
                    <w:t>颗粒状、柱状活性炭</w:t>
                  </w:r>
                  <w:r>
                    <w:rPr>
                      <w:rFonts w:hint="eastAsia" w:ascii="Times New Roman" w:hAnsi="Times New Roman" w:eastAsia="宋体"/>
                      <w:color w:val="000000"/>
                      <w:sz w:val="21"/>
                      <w:szCs w:val="21"/>
                      <w:lang w:val="en-US" w:eastAsia="zh-CN" w:bidi="ar"/>
                    </w:rPr>
                    <w:t>（</w:t>
                  </w:r>
                  <w:r>
                    <w:rPr>
                      <w:rFonts w:hint="eastAsia" w:ascii="Times New Roman" w:hAnsi="Times New Roman" w:eastAsia="宋体"/>
                      <w:color w:val="000000"/>
                      <w:sz w:val="21"/>
                      <w:szCs w:val="21"/>
                      <w:lang w:val="en-US" w:bidi="ar"/>
                    </w:rPr>
                    <w:t>碘值不低于</w:t>
                  </w:r>
                  <w:r>
                    <w:rPr>
                      <w:rFonts w:hint="default" w:ascii="Times New Roman" w:hAnsi="Times New Roman" w:eastAsia="宋体"/>
                      <w:color w:val="000000"/>
                      <w:sz w:val="21"/>
                      <w:szCs w:val="21"/>
                      <w:lang w:val="en-US" w:bidi="ar"/>
                    </w:rPr>
                    <w:t>800</w:t>
                  </w:r>
                  <w:r>
                    <w:rPr>
                      <w:rFonts w:hint="eastAsia" w:ascii="Times New Roman" w:hAnsi="Times New Roman" w:eastAsia="宋体"/>
                      <w:color w:val="000000"/>
                      <w:sz w:val="21"/>
                      <w:szCs w:val="21"/>
                      <w:lang w:val="en-US" w:bidi="ar"/>
                    </w:rPr>
                    <w:t>毫克</w:t>
                  </w:r>
                  <w:r>
                    <w:rPr>
                      <w:rFonts w:hint="default" w:ascii="Times New Roman" w:hAnsi="Times New Roman" w:eastAsia="宋体"/>
                      <w:color w:val="000000"/>
                      <w:sz w:val="21"/>
                      <w:szCs w:val="21"/>
                      <w:lang w:val="en-US" w:bidi="ar"/>
                    </w:rPr>
                    <w:t>/</w:t>
                  </w:r>
                  <w:r>
                    <w:rPr>
                      <w:rFonts w:hint="eastAsia" w:ascii="Times New Roman" w:hAnsi="Times New Roman" w:eastAsia="宋体"/>
                      <w:color w:val="000000"/>
                      <w:sz w:val="21"/>
                      <w:szCs w:val="21"/>
                      <w:lang w:val="en-US" w:bidi="ar"/>
                    </w:rPr>
                    <w:t>克</w:t>
                  </w:r>
                  <w:r>
                    <w:rPr>
                      <w:rFonts w:hint="eastAsia" w:ascii="Times New Roman" w:hAnsi="Times New Roman" w:eastAsia="宋体"/>
                      <w:color w:val="000000"/>
                      <w:sz w:val="21"/>
                      <w:szCs w:val="21"/>
                      <w:lang w:val="en-US" w:eastAsia="zh-CN" w:bidi="ar"/>
                    </w:rPr>
                    <w:t>），</w:t>
                  </w:r>
                  <w:r>
                    <w:rPr>
                      <w:rFonts w:hint="eastAsia" w:ascii="Times New Roman" w:hAnsi="Times New Roman" w:eastAsia="宋体"/>
                      <w:color w:val="000000"/>
                      <w:sz w:val="21"/>
                      <w:szCs w:val="21"/>
                      <w:lang w:val="en-US" w:bidi="ar"/>
                    </w:rPr>
                    <w:t>活性炭填充量、更换频次满足环评要求，并按要求记录保存活性炭购买发票、更换记录、碘值报告等支撑材料</w:t>
                  </w:r>
                  <w:r>
                    <w:rPr>
                      <w:rFonts w:hint="eastAsia" w:ascii="Times New Roman" w:hAnsi="Times New Roman" w:eastAsia="宋体"/>
                      <w:color w:val="000000"/>
                      <w:sz w:val="21"/>
                      <w:szCs w:val="21"/>
                      <w:lang w:val="en-US" w:eastAsia="zh-CN" w:bidi="ar"/>
                    </w:rPr>
                    <w:t>。废活性炭危废暂存间暂存后定期交有资质单位处理。</w:t>
                  </w:r>
                </w:p>
              </w:tc>
              <w:tc>
                <w:tcPr>
                  <w:tcW w:w="900" w:type="dxa"/>
                  <w:vAlign w:val="center"/>
                </w:tcPr>
                <w:p w14:paraId="0DB38871">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olor w:val="000000"/>
                      <w:sz w:val="21"/>
                      <w:szCs w:val="21"/>
                      <w:lang w:val="en-US" w:bidi="ar"/>
                    </w:rPr>
                    <w:t>相符</w:t>
                  </w:r>
                </w:p>
              </w:tc>
            </w:tr>
            <w:tr w14:paraId="0E948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Merge w:val="continue"/>
                  <w:vAlign w:val="center"/>
                </w:tcPr>
                <w:p w14:paraId="05C97C5F">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p>
              </w:tc>
              <w:tc>
                <w:tcPr>
                  <w:tcW w:w="3870" w:type="dxa"/>
                  <w:vAlign w:val="center"/>
                </w:tcPr>
                <w:p w14:paraId="4EBF20A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b/>
                      <w:bCs/>
                      <w:color w:val="000000"/>
                      <w:sz w:val="21"/>
                      <w:szCs w:val="21"/>
                      <w:lang w:val="en-US" w:eastAsia="zh-CN" w:bidi="ar"/>
                    </w:rPr>
                    <w:t>加强污染治理设施运行维护。</w:t>
                  </w:r>
                  <w:r>
                    <w:rPr>
                      <w:rFonts w:hint="eastAsia" w:ascii="Times New Roman" w:hAnsi="Times New Roman" w:eastAsia="宋体" w:cs="宋体"/>
                      <w:color w:val="000000"/>
                      <w:sz w:val="21"/>
                      <w:szCs w:val="21"/>
                      <w:lang w:val="en-US" w:eastAsia="zh-CN" w:bidi="ar"/>
                    </w:rPr>
                    <w:t>指导督促企业加强污染治理设</w:t>
                  </w:r>
                  <w:r>
                    <w:rPr>
                      <w:rFonts w:hint="default" w:ascii="Times New Roman" w:hAnsi="Times New Roman" w:eastAsia="宋体" w:cs="宋体"/>
                      <w:color w:val="000000"/>
                      <w:sz w:val="21"/>
                      <w:szCs w:val="21"/>
                      <w:lang w:val="en-US" w:eastAsia="zh-CN" w:bidi="ar"/>
                    </w:rPr>
                    <w:t>施运行维护管理，做到治理设施较生产设备</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先启后停</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直燃式废气燃烧炉（TO）、RTO、采用高温炉（窑）处理有机废气的，废气在燃烧装置的停留时间不少于0.75s，正常运行时燃烧温度不低于760℃；CO和RCO等燃烧温度一般不低于300℃。采用催化燃烧工艺的企业催化剂床层的设计空速宜低于40000h</w:t>
                  </w:r>
                  <w:r>
                    <w:rPr>
                      <w:rFonts w:hint="default" w:ascii="Times New Roman" w:hAnsi="Times New Roman" w:eastAsia="宋体" w:cs="宋体"/>
                      <w:color w:val="000000"/>
                      <w:sz w:val="21"/>
                      <w:szCs w:val="21"/>
                      <w:vertAlign w:val="superscript"/>
                      <w:lang w:val="en-US" w:eastAsia="zh-CN" w:bidi="ar"/>
                    </w:rPr>
                    <w:t>-1</w:t>
                  </w:r>
                  <w:r>
                    <w:rPr>
                      <w:rFonts w:hint="default" w:ascii="Times New Roman" w:hAnsi="Times New Roman" w:eastAsia="宋体" w:cs="宋体"/>
                      <w:color w:val="000000"/>
                      <w:sz w:val="21"/>
                      <w:szCs w:val="21"/>
                      <w:lang w:val="en-US" w:eastAsia="zh-CN" w:bidi="ar"/>
                    </w:rPr>
                    <w:t>。对于采用一次性吸附工艺的，宜采用颗粒活性炭作为吸附剂，并按设计要求定期更换，更换的吸附剂应封闭保存；对采用吸附—脱附再生工艺的，应定期脱附，并进行回收或销毁处理。采用活性炭吸附工艺的企业，颗粒活性炭碘值不宜低于800mg/g，蜂窝活性炭碘值不宜低于650mg/g；采用活性炭纤维作为吸附剂时，其比表面积不低于1100m</w:t>
                  </w:r>
                  <w:r>
                    <w:rPr>
                      <w:rFonts w:hint="default" w:ascii="Times New Roman" w:hAnsi="Times New Roman" w:eastAsia="宋体" w:cs="宋体"/>
                      <w:color w:val="000000"/>
                      <w:sz w:val="21"/>
                      <w:szCs w:val="21"/>
                      <w:vertAlign w:val="superscript"/>
                      <w:lang w:val="en-US" w:eastAsia="zh-CN" w:bidi="ar"/>
                    </w:rPr>
                    <w:t>2</w:t>
                  </w:r>
                  <w:r>
                    <w:rPr>
                      <w:rFonts w:hint="default" w:ascii="Times New Roman" w:hAnsi="Times New Roman" w:eastAsia="宋体" w:cs="宋体"/>
                      <w:color w:val="000000"/>
                      <w:sz w:val="21"/>
                      <w:szCs w:val="21"/>
                      <w:lang w:val="en-US" w:eastAsia="zh-CN" w:bidi="ar"/>
                    </w:rPr>
                    <w:t>/g（BET法）。采用冷凝工艺的，运行温度不应低于设计温度；油气回收的冷凝温度一般控制在-75℃以下。采用吸收工艺的，吸收剂宜选择低（无）挥发性且对废气中有机组分具有高吸收能力的介质。</w:t>
                  </w:r>
                </w:p>
              </w:tc>
              <w:tc>
                <w:tcPr>
                  <w:tcW w:w="1455" w:type="dxa"/>
                  <w:vAlign w:val="center"/>
                </w:tcPr>
                <w:p w14:paraId="590667E2">
                  <w:pPr>
                    <w:pStyle w:val="60"/>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both"/>
                    <w:textAlignment w:val="auto"/>
                    <w:rPr>
                      <w:rFonts w:hint="default" w:ascii="Times New Roman" w:hAnsi="Times New Roman" w:eastAsia="宋体" w:cs="黑体"/>
                      <w:color w:val="000000"/>
                      <w:sz w:val="21"/>
                      <w:szCs w:val="21"/>
                      <w:vertAlign w:val="baseline"/>
                      <w:lang w:val="en-US" w:eastAsia="zh-CN" w:bidi="ar"/>
                    </w:rPr>
                  </w:pPr>
                  <w:r>
                    <w:rPr>
                      <w:rFonts w:hint="eastAsia" w:ascii="Times New Roman" w:hAnsi="Times New Roman" w:eastAsia="宋体" w:cs="黑体"/>
                      <w:color w:val="000000"/>
                      <w:sz w:val="21"/>
                      <w:szCs w:val="21"/>
                      <w:vertAlign w:val="baseline"/>
                      <w:lang w:val="en-US" w:eastAsia="zh-CN" w:bidi="ar"/>
                    </w:rPr>
                    <w:t>项目生产过程中有机废气治理设施二级活性炭</w:t>
                  </w:r>
                  <w:r>
                    <w:rPr>
                      <w:rFonts w:hint="default" w:ascii="Times New Roman" w:hAnsi="Times New Roman" w:eastAsia="宋体" w:cs="宋体"/>
                      <w:color w:val="000000"/>
                      <w:sz w:val="21"/>
                      <w:szCs w:val="21"/>
                      <w:lang w:val="en-US" w:eastAsia="zh-CN" w:bidi="ar"/>
                    </w:rPr>
                    <w:t>较生产设备</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先启后停</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w:t>
                  </w:r>
                  <w:r>
                    <w:rPr>
                      <w:rFonts w:hint="eastAsia" w:ascii="Times New Roman" w:hAnsi="Times New Roman" w:eastAsia="宋体"/>
                      <w:color w:val="000000"/>
                      <w:sz w:val="21"/>
                      <w:szCs w:val="21"/>
                      <w:lang w:val="en-US" w:eastAsia="zh-CN" w:bidi="ar"/>
                    </w:rPr>
                    <w:t>使用活性炭为</w:t>
                  </w:r>
                  <w:r>
                    <w:rPr>
                      <w:rFonts w:hint="eastAsia" w:ascii="Times New Roman" w:hAnsi="Times New Roman" w:eastAsia="宋体"/>
                      <w:color w:val="000000"/>
                      <w:sz w:val="21"/>
                      <w:szCs w:val="21"/>
                      <w:lang w:val="en-US" w:bidi="ar"/>
                    </w:rPr>
                    <w:t>颗粒状、柱状活性炭</w:t>
                  </w:r>
                  <w:r>
                    <w:rPr>
                      <w:rFonts w:hint="eastAsia" w:ascii="Times New Roman" w:hAnsi="Times New Roman" w:eastAsia="宋体"/>
                      <w:color w:val="000000"/>
                      <w:sz w:val="21"/>
                      <w:szCs w:val="21"/>
                      <w:lang w:val="en-US" w:eastAsia="zh-CN" w:bidi="ar"/>
                    </w:rPr>
                    <w:t>（</w:t>
                  </w:r>
                  <w:r>
                    <w:rPr>
                      <w:rFonts w:hint="eastAsia" w:ascii="Times New Roman" w:hAnsi="Times New Roman" w:eastAsia="宋体"/>
                      <w:color w:val="000000"/>
                      <w:sz w:val="21"/>
                      <w:szCs w:val="21"/>
                      <w:lang w:val="en-US" w:bidi="ar"/>
                    </w:rPr>
                    <w:t>碘值不低于</w:t>
                  </w:r>
                  <w:r>
                    <w:rPr>
                      <w:rFonts w:hint="default" w:ascii="Times New Roman" w:hAnsi="Times New Roman" w:eastAsia="宋体"/>
                      <w:color w:val="000000"/>
                      <w:sz w:val="21"/>
                      <w:szCs w:val="21"/>
                      <w:lang w:val="en-US" w:bidi="ar"/>
                    </w:rPr>
                    <w:t>800</w:t>
                  </w:r>
                  <w:r>
                    <w:rPr>
                      <w:rFonts w:hint="eastAsia" w:ascii="Times New Roman" w:hAnsi="Times New Roman" w:eastAsia="宋体"/>
                      <w:color w:val="000000"/>
                      <w:sz w:val="21"/>
                      <w:szCs w:val="21"/>
                      <w:lang w:val="en-US" w:bidi="ar"/>
                    </w:rPr>
                    <w:t>毫克</w:t>
                  </w:r>
                  <w:r>
                    <w:rPr>
                      <w:rFonts w:hint="default" w:ascii="Times New Roman" w:hAnsi="Times New Roman" w:eastAsia="宋体"/>
                      <w:color w:val="000000"/>
                      <w:sz w:val="21"/>
                      <w:szCs w:val="21"/>
                      <w:lang w:val="en-US" w:bidi="ar"/>
                    </w:rPr>
                    <w:t>/</w:t>
                  </w:r>
                  <w:r>
                    <w:rPr>
                      <w:rFonts w:hint="eastAsia" w:ascii="Times New Roman" w:hAnsi="Times New Roman" w:eastAsia="宋体"/>
                      <w:color w:val="000000"/>
                      <w:sz w:val="21"/>
                      <w:szCs w:val="21"/>
                      <w:lang w:val="en-US" w:bidi="ar"/>
                    </w:rPr>
                    <w:t>克</w:t>
                  </w:r>
                  <w:r>
                    <w:rPr>
                      <w:rFonts w:hint="eastAsia" w:ascii="Times New Roman" w:hAnsi="Times New Roman" w:eastAsia="宋体"/>
                      <w:color w:val="000000"/>
                      <w:sz w:val="21"/>
                      <w:szCs w:val="21"/>
                      <w:lang w:val="en-US" w:eastAsia="zh-CN" w:bidi="ar"/>
                    </w:rPr>
                    <w:t>），</w:t>
                  </w:r>
                  <w:r>
                    <w:rPr>
                      <w:rFonts w:hint="eastAsia" w:ascii="Times New Roman" w:hAnsi="Times New Roman" w:eastAsia="宋体"/>
                      <w:color w:val="000000"/>
                      <w:sz w:val="21"/>
                      <w:szCs w:val="21"/>
                      <w:lang w:val="en-US" w:bidi="ar"/>
                    </w:rPr>
                    <w:t>活性炭填充量、更换频次满足环评要求，并按要求记录保存活性炭购买发票、更换记录、碘值报告等支撑材料</w:t>
                  </w:r>
                  <w:r>
                    <w:rPr>
                      <w:rFonts w:hint="eastAsia" w:ascii="Times New Roman" w:hAnsi="Times New Roman" w:eastAsia="宋体"/>
                      <w:color w:val="000000"/>
                      <w:sz w:val="21"/>
                      <w:szCs w:val="21"/>
                      <w:lang w:val="en-US" w:eastAsia="zh-CN" w:bidi="ar"/>
                    </w:rPr>
                    <w:t>。废活性炭</w:t>
                  </w:r>
                  <w:r>
                    <w:rPr>
                      <w:rFonts w:hint="default" w:ascii="Times New Roman" w:hAnsi="Times New Roman" w:eastAsia="宋体" w:cs="宋体"/>
                      <w:color w:val="000000"/>
                      <w:sz w:val="21"/>
                      <w:szCs w:val="21"/>
                      <w:lang w:val="en-US" w:eastAsia="zh-CN" w:bidi="ar"/>
                    </w:rPr>
                    <w:t>封闭保存</w:t>
                  </w:r>
                  <w:r>
                    <w:rPr>
                      <w:rFonts w:hint="eastAsia" w:ascii="Times New Roman" w:hAnsi="Times New Roman" w:eastAsia="宋体" w:cs="宋体"/>
                      <w:color w:val="000000"/>
                      <w:sz w:val="21"/>
                      <w:szCs w:val="21"/>
                      <w:lang w:val="en-US" w:eastAsia="zh-CN" w:bidi="ar"/>
                    </w:rPr>
                    <w:t>于</w:t>
                  </w:r>
                  <w:r>
                    <w:rPr>
                      <w:rFonts w:hint="eastAsia" w:ascii="Times New Roman" w:hAnsi="Times New Roman" w:eastAsia="宋体"/>
                      <w:color w:val="000000"/>
                      <w:sz w:val="21"/>
                      <w:szCs w:val="21"/>
                      <w:lang w:val="en-US" w:eastAsia="zh-CN" w:bidi="ar"/>
                    </w:rPr>
                    <w:t>危废暂存间。</w:t>
                  </w:r>
                </w:p>
              </w:tc>
              <w:tc>
                <w:tcPr>
                  <w:tcW w:w="900" w:type="dxa"/>
                  <w:vAlign w:val="center"/>
                </w:tcPr>
                <w:p w14:paraId="2E1663E2">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黑体"/>
                      <w:color w:val="000000"/>
                      <w:sz w:val="21"/>
                      <w:szCs w:val="21"/>
                      <w:vertAlign w:val="baseline"/>
                      <w:lang w:val="en-US" w:eastAsia="zh-CN" w:bidi="ar"/>
                    </w:rPr>
                    <w:t>相符</w:t>
                  </w:r>
                </w:p>
              </w:tc>
            </w:tr>
            <w:tr w14:paraId="46647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Merge w:val="restart"/>
                  <w:vAlign w:val="center"/>
                </w:tcPr>
                <w:p w14:paraId="3F9360FB">
                  <w:pPr>
                    <w:keepNext w:val="0"/>
                    <w:keepLines w:val="0"/>
                    <w:widowControl/>
                    <w:suppressLineNumbers w:val="0"/>
                    <w:spacing w:beforeAutospacing="0" w:afterAutospacing="0"/>
                    <w:jc w:val="both"/>
                    <w:rPr>
                      <w:rFonts w:hint="eastAsia" w:ascii="Times New Roman" w:hAnsi="Times New Roman" w:eastAsia="宋体" w:cs="黑体"/>
                      <w:color w:val="000000"/>
                      <w:sz w:val="21"/>
                      <w:szCs w:val="21"/>
                      <w:vertAlign w:val="baseline"/>
                      <w:lang w:val="en-US" w:bidi="ar"/>
                    </w:rPr>
                  </w:pPr>
                  <w:r>
                    <w:rPr>
                      <w:rFonts w:hint="default" w:ascii="Times New Roman" w:hAnsi="Times New Roman" w:eastAsia="宋体" w:cs="FZHei-B01"/>
                      <w:color w:val="000000"/>
                      <w:kern w:val="0"/>
                      <w:sz w:val="21"/>
                      <w:szCs w:val="21"/>
                      <w:lang w:val="en-US" w:eastAsia="zh-CN" w:bidi="ar"/>
                    </w:rPr>
                    <w:t>四、强化无组织排放管控</w:t>
                  </w:r>
                </w:p>
              </w:tc>
              <w:tc>
                <w:tcPr>
                  <w:tcW w:w="3870" w:type="dxa"/>
                  <w:vAlign w:val="center"/>
                </w:tcPr>
                <w:p w14:paraId="76C24CC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b/>
                      <w:bCs/>
                      <w:color w:val="000000"/>
                      <w:sz w:val="21"/>
                      <w:szCs w:val="21"/>
                      <w:lang w:val="en-US" w:eastAsia="zh-CN" w:bidi="ar"/>
                    </w:rPr>
                    <w:t>提升</w:t>
                  </w:r>
                  <w:r>
                    <w:rPr>
                      <w:rFonts w:hint="default" w:ascii="Times New Roman" w:hAnsi="Times New Roman" w:eastAsia="宋体" w:cs="宋体"/>
                      <w:b/>
                      <w:bCs/>
                      <w:color w:val="000000"/>
                      <w:sz w:val="21"/>
                      <w:szCs w:val="21"/>
                      <w:lang w:val="en-US" w:eastAsia="zh-CN" w:bidi="ar"/>
                    </w:rPr>
                    <w:t>VOCs废气收集能力。</w:t>
                  </w:r>
                  <w:r>
                    <w:rPr>
                      <w:rFonts w:hint="eastAsia" w:ascii="Times New Roman" w:hAnsi="Times New Roman" w:eastAsia="宋体" w:cs="宋体"/>
                      <w:color w:val="000000"/>
                      <w:sz w:val="21"/>
                      <w:szCs w:val="21"/>
                      <w:lang w:val="en-US" w:eastAsia="zh-CN" w:bidi="ar"/>
                    </w:rPr>
                    <w:t>指导督促企业按照“</w:t>
                  </w:r>
                  <w:r>
                    <w:rPr>
                      <w:rFonts w:hint="default" w:ascii="Times New Roman" w:hAnsi="Times New Roman" w:eastAsia="宋体" w:cs="宋体"/>
                      <w:color w:val="000000"/>
                      <w:sz w:val="21"/>
                      <w:szCs w:val="21"/>
                      <w:lang w:val="en-US" w:eastAsia="zh-CN" w:bidi="ar"/>
                    </w:rPr>
                    <w:t>应收尽收、分质收集</w:t>
                  </w:r>
                  <w:r>
                    <w:rPr>
                      <w:rFonts w:hint="eastAsia" w:ascii="Times New Roman" w:hAnsi="Times New Roman" w:eastAsia="宋体" w:cs="宋体"/>
                      <w:color w:val="000000"/>
                      <w:sz w:val="21"/>
                      <w:szCs w:val="21"/>
                      <w:lang w:val="en-US" w:eastAsia="zh-CN" w:bidi="ar"/>
                    </w:rPr>
                    <w:t>”</w:t>
                  </w:r>
                  <w:r>
                    <w:rPr>
                      <w:rFonts w:hint="default" w:ascii="Times New Roman" w:hAnsi="Times New Roman" w:eastAsia="宋体" w:cs="宋体"/>
                      <w:color w:val="000000"/>
                      <w:sz w:val="21"/>
                      <w:szCs w:val="21"/>
                      <w:lang w:val="en-US" w:eastAsia="zh-CN" w:bidi="ar"/>
                    </w:rPr>
                    <w:t>的原则，科学设计废气收集系统，提升废气收集效率。产生VOCs的生产环节优先采用密闭设备、在密闭空间中操作或采用全密闭集气罩收集方式，并保持负压运行；采用集气罩、侧吸风等方式收集无组织废气的，距集气罩开口面最远处的控制风速不低于0.3米/秒或按相关行业要求规定执行；推广以生产线或设备为单位设置隔间，收集风量应确保隔间保持微负压；含VOCs物料输送应采用重力流或泵送方式，严禁敞开式转运含VOCs物料，有机液体进料鼓励采用底部、浸入管给料方式；废气收集系统的输送管道应密闭、无破损。2025年5月底前，各地对VOCs废气密闭收集能力进行全面排查，对采用集气罩、侧吸风等措施收集VOCs废气的企业开展一轮风速实测，对于敞开式生产未配备收集设施、废气收集系统控制风速达不到标准要求、废气收集系统输送管道破损泄漏严重等问题限期进行整治提升，并将整治提升任务纳入2025年大气攻坚重点治理任务。</w:t>
                  </w:r>
                </w:p>
              </w:tc>
              <w:tc>
                <w:tcPr>
                  <w:tcW w:w="1455" w:type="dxa"/>
                  <w:vAlign w:val="center"/>
                </w:tcPr>
                <w:p w14:paraId="07B52DD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exact"/>
                    <w:ind w:firstLine="0" w:firstLineChars="0"/>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cs="仿宋_GB2312"/>
                      <w:sz w:val="21"/>
                      <w:szCs w:val="21"/>
                      <w:u w:val="none"/>
                      <w:lang w:val="en-US" w:eastAsia="zh-CN"/>
                    </w:rPr>
                    <w:t>项目吹塑车间二次密闭，废气集气罩收集，危废贮存库废气经负压收集，风机风量5000m</w:t>
                  </w:r>
                  <w:r>
                    <w:rPr>
                      <w:rFonts w:hint="eastAsia" w:ascii="Times New Roman" w:hAnsi="Times New Roman" w:cs="仿宋_GB2312"/>
                      <w:sz w:val="21"/>
                      <w:szCs w:val="21"/>
                      <w:u w:val="none"/>
                      <w:vertAlign w:val="superscript"/>
                      <w:lang w:val="en-US" w:eastAsia="zh-CN"/>
                    </w:rPr>
                    <w:t>3</w:t>
                  </w:r>
                  <w:r>
                    <w:rPr>
                      <w:rFonts w:hint="eastAsia" w:ascii="Times New Roman" w:hAnsi="Times New Roman" w:cs="仿宋_GB2312"/>
                      <w:sz w:val="21"/>
                      <w:szCs w:val="21"/>
                      <w:u w:val="none"/>
                      <w:lang w:val="en-US" w:eastAsia="zh-CN"/>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sz w:val="21"/>
                      <w:szCs w:val="21"/>
                      <w:u w:val="none"/>
                      <w:lang w:val="en-US" w:eastAsia="zh-CN"/>
                    </w:rPr>
                    <w:t>排放。</w:t>
                  </w:r>
                  <w:r>
                    <w:rPr>
                      <w:rFonts w:hint="default" w:ascii="Times New Roman" w:hAnsi="Times New Roman" w:eastAsia="宋体" w:cs="宋体"/>
                      <w:color w:val="000000"/>
                      <w:sz w:val="21"/>
                      <w:szCs w:val="21"/>
                      <w:lang w:val="en-US" w:eastAsia="zh-CN" w:bidi="ar"/>
                    </w:rPr>
                    <w:t>距集气罩开口面最远处的控制风速</w:t>
                  </w:r>
                  <w:r>
                    <w:rPr>
                      <w:rFonts w:hint="eastAsia" w:ascii="Times New Roman" w:hAnsi="Times New Roman" w:eastAsia="宋体" w:cs="宋体"/>
                      <w:color w:val="000000"/>
                      <w:sz w:val="21"/>
                      <w:szCs w:val="21"/>
                      <w:lang w:val="en-US" w:eastAsia="zh-CN" w:bidi="ar"/>
                    </w:rPr>
                    <w:t>为</w:t>
                  </w:r>
                  <w:r>
                    <w:rPr>
                      <w:rFonts w:hint="default" w:ascii="Times New Roman" w:hAnsi="Times New Roman" w:eastAsia="宋体" w:cs="宋体"/>
                      <w:color w:val="000000"/>
                      <w:sz w:val="21"/>
                      <w:szCs w:val="21"/>
                      <w:lang w:val="en-US" w:eastAsia="zh-CN" w:bidi="ar"/>
                    </w:rPr>
                    <w:t>0.3米/秒</w:t>
                  </w:r>
                  <w:r>
                    <w:rPr>
                      <w:rFonts w:hint="eastAsia" w:ascii="Times New Roman" w:hAnsi="Times New Roman"/>
                      <w:color w:val="000000"/>
                      <w:sz w:val="21"/>
                      <w:szCs w:val="21"/>
                      <w:lang w:val="en-US" w:eastAsia="zh-CN" w:bidi="ar"/>
                    </w:rPr>
                    <w:t>。</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项目含VOCs物料为固态聚丙烯</w:t>
                  </w:r>
                  <w:r>
                    <w:rPr>
                      <w:rFonts w:hint="eastAsia" w:ascii="Times New Roman" w:hAnsi="Times New Roman" w:cs="宋体"/>
                      <w:color w:val="000000" w:themeColor="text1"/>
                      <w:sz w:val="21"/>
                      <w:szCs w:val="21"/>
                      <w:lang w:val="en-US" w:eastAsia="zh-CN" w:bidi="ar"/>
                      <w14:textFill>
                        <w14:solidFill>
                          <w14:schemeClr w14:val="tx1"/>
                        </w14:solidFill>
                      </w14:textFill>
                    </w:rPr>
                    <w:t>、色母</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，不属于液态有机原料，</w:t>
                  </w:r>
                  <w:r>
                    <w:rPr>
                      <w:rFonts w:hint="eastAsia" w:ascii="Times New Roman" w:hAnsi="Times New Roman" w:cs="宋体"/>
                      <w:color w:val="000000" w:themeColor="text1"/>
                      <w:sz w:val="21"/>
                      <w:szCs w:val="21"/>
                      <w:lang w:val="en-US" w:eastAsia="zh-CN" w:bidi="ar"/>
                      <w14:textFill>
                        <w14:solidFill>
                          <w14:schemeClr w14:val="tx1"/>
                        </w14:solidFill>
                      </w14:textFill>
                    </w:rPr>
                    <w:t>直接排放</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宋体"/>
                      <w:color w:val="000000" w:themeColor="text1"/>
                      <w:sz w:val="21"/>
                      <w:szCs w:val="21"/>
                      <w:lang w:val="en-US" w:eastAsia="zh-CN" w:bidi="ar"/>
                      <w14:textFill>
                        <w14:solidFill>
                          <w14:schemeClr w14:val="tx1"/>
                        </w14:solidFill>
                      </w14:textFill>
                    </w:rPr>
                    <w:t>化妆颜料使用量很少，密闭储存。</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有机</w:t>
                  </w:r>
                  <w:r>
                    <w:rPr>
                      <w:rFonts w:hint="default" w:ascii="Times New Roman" w:hAnsi="Times New Roman" w:eastAsia="宋体" w:cs="宋体"/>
                      <w:color w:val="000000" w:themeColor="text1"/>
                      <w:sz w:val="21"/>
                      <w:szCs w:val="21"/>
                      <w:lang w:val="en-US" w:eastAsia="zh-CN" w:bidi="ar"/>
                      <w14:textFill>
                        <w14:solidFill>
                          <w14:schemeClr w14:val="tx1"/>
                        </w14:solidFill>
                      </w14:textFill>
                    </w:rPr>
                    <w:t>废气收集输送管道</w:t>
                  </w:r>
                  <w:r>
                    <w:rPr>
                      <w:rFonts w:hint="eastAsia" w:ascii="Times New Roman" w:hAnsi="Times New Roman" w:eastAsia="宋体" w:cs="宋体"/>
                      <w:color w:val="000000" w:themeColor="text1"/>
                      <w:sz w:val="21"/>
                      <w:szCs w:val="21"/>
                      <w:lang w:val="en-US" w:eastAsia="zh-CN" w:bidi="ar"/>
                      <w14:textFill>
                        <w14:solidFill>
                          <w14:schemeClr w14:val="tx1"/>
                        </w14:solidFill>
                      </w14:textFill>
                    </w:rPr>
                    <w:t>定期检查，保障</w:t>
                  </w:r>
                  <w:r>
                    <w:rPr>
                      <w:rFonts w:hint="default" w:ascii="Times New Roman" w:hAnsi="Times New Roman" w:eastAsia="宋体" w:cs="宋体"/>
                      <w:color w:val="000000"/>
                      <w:sz w:val="21"/>
                      <w:szCs w:val="21"/>
                      <w:lang w:val="en-US" w:eastAsia="zh-CN" w:bidi="ar"/>
                    </w:rPr>
                    <w:t>密闭、无破损</w:t>
                  </w:r>
                  <w:r>
                    <w:rPr>
                      <w:rFonts w:hint="eastAsia" w:ascii="Times New Roman" w:hAnsi="Times New Roman" w:eastAsia="宋体" w:cs="宋体"/>
                      <w:color w:val="000000"/>
                      <w:sz w:val="21"/>
                      <w:szCs w:val="21"/>
                      <w:lang w:val="en-US" w:eastAsia="zh-CN" w:bidi="ar"/>
                    </w:rPr>
                    <w:t>。</w:t>
                  </w:r>
                </w:p>
              </w:tc>
              <w:tc>
                <w:tcPr>
                  <w:tcW w:w="900" w:type="dxa"/>
                  <w:vAlign w:val="center"/>
                </w:tcPr>
                <w:p w14:paraId="3C9462B5">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olor w:val="000000"/>
                      <w:sz w:val="21"/>
                      <w:szCs w:val="21"/>
                      <w:lang w:val="en-US" w:bidi="ar"/>
                    </w:rPr>
                    <w:t>相符</w:t>
                  </w:r>
                </w:p>
              </w:tc>
            </w:tr>
            <w:tr w14:paraId="350EB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vMerge w:val="continue"/>
                  <w:vAlign w:val="center"/>
                </w:tcPr>
                <w:p w14:paraId="3EB06E0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黑体"/>
                      <w:color w:val="000000"/>
                      <w:sz w:val="21"/>
                      <w:szCs w:val="21"/>
                      <w:vertAlign w:val="baseline"/>
                      <w:lang w:val="en-US" w:bidi="ar"/>
                    </w:rPr>
                  </w:pPr>
                </w:p>
              </w:tc>
              <w:tc>
                <w:tcPr>
                  <w:tcW w:w="3870" w:type="dxa"/>
                  <w:vAlign w:val="center"/>
                </w:tcPr>
                <w:p w14:paraId="3D39A07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黑体"/>
                      <w:color w:val="000000"/>
                      <w:sz w:val="21"/>
                      <w:szCs w:val="21"/>
                      <w:vertAlign w:val="baseline"/>
                      <w:lang w:val="en-US" w:bidi="ar"/>
                    </w:rPr>
                  </w:pPr>
                  <w:r>
                    <w:rPr>
                      <w:rFonts w:hint="eastAsia" w:ascii="Times New Roman" w:hAnsi="Times New Roman" w:eastAsia="宋体" w:cs="宋体"/>
                      <w:b/>
                      <w:bCs/>
                      <w:color w:val="000000"/>
                      <w:sz w:val="21"/>
                      <w:szCs w:val="21"/>
                      <w:lang w:val="en-US" w:eastAsia="zh-CN" w:bidi="ar"/>
                    </w:rPr>
                    <w:t>加强非正常工况污染排放管控。</w:t>
                  </w:r>
                  <w:r>
                    <w:rPr>
                      <w:rFonts w:hint="eastAsia" w:ascii="Times New Roman" w:hAnsi="Times New Roman" w:eastAsia="宋体" w:cs="宋体"/>
                      <w:color w:val="000000"/>
                      <w:sz w:val="21"/>
                      <w:szCs w:val="21"/>
                      <w:lang w:val="en-US" w:eastAsia="zh-CN" w:bidi="ar"/>
                    </w:rPr>
                    <w:t>引导石化、化工、煤化工、</w:t>
                  </w:r>
                  <w:r>
                    <w:rPr>
                      <w:rFonts w:hint="default" w:ascii="Times New Roman" w:hAnsi="Times New Roman" w:eastAsia="宋体" w:cs="宋体"/>
                      <w:color w:val="000000"/>
                      <w:sz w:val="21"/>
                      <w:szCs w:val="21"/>
                      <w:lang w:val="en-US" w:eastAsia="zh-CN" w:bidi="ar"/>
                    </w:rPr>
                    <w:t>制药、农药等行业企业合理安排停检修计划，在确保安全的前提下，尽可能不在夏季高温期间安排全厂开停车、装置整体停工检修和储罐清洗、防腐防锈喷涂作业等，减少非正常工况VOCs排放；确实不能调整的，要加强启停机期间以及清洗、退料、吹扫、放空、晾干等环节VOCs排放管控，确保满足标准要求。石化、化工企业应加强可燃性气体的回收，火炬燃烧装置一般只用于应急处置，不得作为日常大气污染处理设施；企业应按标准要求在火炬系统安装温度监控、废气流量计、助燃气体流量计等。</w:t>
                  </w:r>
                </w:p>
              </w:tc>
              <w:tc>
                <w:tcPr>
                  <w:tcW w:w="1455" w:type="dxa"/>
                  <w:vAlign w:val="center"/>
                </w:tcPr>
                <w:p w14:paraId="675EFFE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黑体"/>
                      <w:color w:val="000000"/>
                      <w:sz w:val="21"/>
                      <w:szCs w:val="21"/>
                      <w:vertAlign w:val="baseline"/>
                      <w:lang w:val="en-US" w:bidi="ar"/>
                    </w:rPr>
                  </w:pP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项</w:t>
                  </w:r>
                  <w:r>
                    <w:rPr>
                      <w:rFonts w:hint="eastAsia" w:ascii="Times New Roman" w:hAnsi="Times New Roman" w:eastAsia="宋体" w:cs="宋体"/>
                      <w:color w:val="000000"/>
                      <w:sz w:val="21"/>
                      <w:szCs w:val="21"/>
                      <w:lang w:val="en-US" w:eastAsia="zh-CN" w:bidi="ar"/>
                    </w:rPr>
                    <w:t>目为</w:t>
                  </w:r>
                  <w:r>
                    <w:rPr>
                      <w:rFonts w:hint="default" w:ascii="Times New Roman" w:hAnsi="Times New Roman" w:eastAsia="宋体" w:cs="宋体"/>
                      <w:color w:val="000000"/>
                      <w:sz w:val="21"/>
                      <w:szCs w:val="21"/>
                      <w:lang w:val="en-US" w:eastAsia="zh-CN" w:bidi="ar"/>
                    </w:rPr>
                    <w:t>教学用模型及教具制造</w:t>
                  </w:r>
                  <w:r>
                    <w:rPr>
                      <w:rFonts w:hint="eastAsia" w:ascii="Times New Roman" w:hAnsi="Times New Roman" w:eastAsia="宋体" w:cs="宋体"/>
                      <w:color w:val="000000"/>
                      <w:sz w:val="21"/>
                      <w:szCs w:val="21"/>
                      <w:lang w:val="en-US" w:eastAsia="zh-CN" w:bidi="ar"/>
                    </w:rPr>
                    <w:t>，不属于石化、化工、煤化工、</w:t>
                  </w:r>
                  <w:r>
                    <w:rPr>
                      <w:rFonts w:hint="default" w:ascii="Times New Roman" w:hAnsi="Times New Roman" w:eastAsia="宋体" w:cs="宋体"/>
                      <w:color w:val="000000"/>
                      <w:sz w:val="21"/>
                      <w:szCs w:val="21"/>
                      <w:lang w:val="en-US" w:eastAsia="zh-CN" w:bidi="ar"/>
                    </w:rPr>
                    <w:t>制药、农药等行业</w:t>
                  </w:r>
                  <w:r>
                    <w:rPr>
                      <w:rFonts w:hint="eastAsia" w:ascii="Times New Roman" w:hAnsi="Times New Roman" w:eastAsia="宋体" w:cs="宋体"/>
                      <w:color w:val="000000"/>
                      <w:sz w:val="21"/>
                      <w:szCs w:val="21"/>
                      <w:lang w:val="en-US" w:eastAsia="zh-CN" w:bidi="ar"/>
                    </w:rPr>
                    <w:t>。企业</w:t>
                  </w:r>
                  <w:r>
                    <w:rPr>
                      <w:rFonts w:hint="default" w:ascii="Times New Roman" w:hAnsi="Times New Roman" w:eastAsia="宋体" w:cs="宋体"/>
                      <w:color w:val="000000"/>
                      <w:sz w:val="21"/>
                      <w:szCs w:val="21"/>
                      <w:lang w:val="en-US" w:eastAsia="zh-CN" w:bidi="ar"/>
                    </w:rPr>
                    <w:t>尽可能不在夏季高温期间安排全厂开停车、装置整体停工检修作业</w:t>
                  </w:r>
                  <w:r>
                    <w:rPr>
                      <w:rFonts w:hint="eastAsia" w:ascii="Times New Roman" w:hAnsi="Times New Roman" w:eastAsia="宋体" w:cs="宋体"/>
                      <w:color w:val="000000"/>
                      <w:sz w:val="21"/>
                      <w:szCs w:val="21"/>
                      <w:lang w:val="en-US" w:eastAsia="zh-CN" w:bidi="ar"/>
                    </w:rPr>
                    <w:t>。</w:t>
                  </w:r>
                </w:p>
              </w:tc>
              <w:tc>
                <w:tcPr>
                  <w:tcW w:w="900" w:type="dxa"/>
                  <w:vAlign w:val="center"/>
                </w:tcPr>
                <w:p w14:paraId="65EC3EF7">
                  <w:pPr>
                    <w:pStyle w:val="6"/>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黑体"/>
                      <w:color w:val="000000"/>
                      <w:sz w:val="21"/>
                      <w:szCs w:val="21"/>
                      <w:vertAlign w:val="baseline"/>
                      <w:lang w:val="en-US" w:eastAsia="zh-CN" w:bidi="ar"/>
                    </w:rPr>
                  </w:pPr>
                  <w:r>
                    <w:rPr>
                      <w:rFonts w:hint="eastAsia" w:ascii="Times New Roman" w:hAnsi="Times New Roman" w:eastAsia="宋体" w:cs="黑体"/>
                      <w:color w:val="000000"/>
                      <w:sz w:val="21"/>
                      <w:szCs w:val="21"/>
                      <w:vertAlign w:val="baseline"/>
                      <w:lang w:val="en-US" w:eastAsia="zh-CN" w:bidi="ar"/>
                    </w:rPr>
                    <w:t>相符</w:t>
                  </w:r>
                </w:p>
              </w:tc>
            </w:tr>
          </w:tbl>
          <w:p w14:paraId="7AE265B7">
            <w:pPr>
              <w:widowControl/>
              <w:spacing w:beforeAutospacing="0" w:afterAutospacing="0" w:line="520" w:lineRule="exact"/>
              <w:ind w:firstLine="480" w:firstLineChars="200"/>
              <w:jc w:val="both"/>
              <w:rPr>
                <w:rFonts w:hint="eastAsia" w:ascii="Times New Roman" w:hAnsi="Times New Roman"/>
                <w:color w:val="000000"/>
                <w:sz w:val="24"/>
                <w:szCs w:val="24"/>
                <w:lang w:val="en-US" w:bidi="ar"/>
              </w:rPr>
            </w:pPr>
            <w:r>
              <w:rPr>
                <w:rFonts w:hint="eastAsia" w:ascii="Times New Roman" w:hAnsi="Times New Roman"/>
                <w:color w:val="000000"/>
                <w:sz w:val="24"/>
                <w:szCs w:val="24"/>
                <w:lang w:val="en-US" w:bidi="ar"/>
              </w:rPr>
              <w:t>综上所述，本项目符合《</w:t>
            </w:r>
            <w:r>
              <w:rPr>
                <w:rFonts w:hint="eastAsia" w:ascii="Times New Roman" w:hAnsi="Times New Roman"/>
                <w:color w:val="000000"/>
                <w:sz w:val="24"/>
                <w:szCs w:val="24"/>
                <w:lang w:val="en-US" w:eastAsia="zh-CN" w:bidi="ar"/>
              </w:rPr>
              <w:t>河南省生态环境厅办公室关于做好2025年夏季挥发性有机物综合治理工作的通知</w:t>
            </w:r>
            <w:r>
              <w:rPr>
                <w:rFonts w:hint="eastAsia" w:ascii="Times New Roman" w:hAnsi="Times New Roman"/>
                <w:color w:val="000000"/>
                <w:sz w:val="24"/>
                <w:szCs w:val="24"/>
                <w:lang w:val="en-US" w:bidi="ar"/>
              </w:rPr>
              <w:t>》中相关要求。</w:t>
            </w:r>
          </w:p>
          <w:p w14:paraId="5BD5B8D6">
            <w:pPr>
              <w:pStyle w:val="20"/>
              <w:keepNext w:val="0"/>
              <w:keepLines w:val="0"/>
              <w:pageBreakBefore w:val="0"/>
              <w:widowControl w:val="0"/>
              <w:suppressLineNumbers w:val="0"/>
              <w:tabs>
                <w:tab w:val="left" w:pos="4140"/>
              </w:tabs>
              <w:kinsoku/>
              <w:wordWrap/>
              <w:overflowPunct/>
              <w:topLinePunct w:val="0"/>
              <w:autoSpaceDE w:val="0"/>
              <w:autoSpaceDN w:val="0"/>
              <w:bidi w:val="0"/>
              <w:adjustRightInd w:val="0"/>
              <w:snapToGrid w:val="0"/>
              <w:spacing w:before="0" w:beforeAutospacing="0" w:after="0" w:afterAutospacing="0" w:line="520" w:lineRule="exact"/>
              <w:ind w:firstLine="482" w:firstLineChars="200"/>
              <w:jc w:val="both"/>
              <w:textAlignment w:val="auto"/>
              <w:rPr>
                <w:rFonts w:hint="eastAsia" w:ascii="Times New Roman" w:hAnsi="Times New Roman" w:cs="Times New Roman"/>
                <w:b/>
                <w:bCs/>
                <w:sz w:val="24"/>
                <w:szCs w:val="24"/>
                <w:u w:val="none"/>
                <w:lang w:val="en-US" w:eastAsia="zh-CN"/>
              </w:rPr>
            </w:pPr>
            <w:r>
              <w:rPr>
                <w:rFonts w:hint="eastAsia" w:ascii="Times New Roman" w:hAnsi="Times New Roman"/>
                <w:b/>
                <w:bCs/>
                <w:color w:val="000000" w:themeColor="text1"/>
                <w:sz w:val="24"/>
                <w:szCs w:val="24"/>
                <w:lang w:val="en-US" w:eastAsia="zh-CN"/>
                <w14:textFill>
                  <w14:solidFill>
                    <w14:schemeClr w14:val="tx1"/>
                  </w14:solidFill>
                </w14:textFill>
              </w:rPr>
              <w:t>5、与</w:t>
            </w:r>
            <w:r>
              <w:rPr>
                <w:rFonts w:hint="eastAsia" w:ascii="Times New Roman" w:hAnsi="Times New Roman" w:cs="Times New Roman"/>
                <w:b/>
                <w:bCs/>
                <w:sz w:val="24"/>
                <w:szCs w:val="24"/>
                <w:u w:val="none"/>
                <w:lang w:val="en-US" w:eastAsia="zh-CN"/>
              </w:rPr>
              <w:t>项目与</w:t>
            </w:r>
            <w:r>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《河南省</w:t>
            </w:r>
            <w:r>
              <w:rPr>
                <w:rFonts w:hint="default"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2025年蓝天保卫战实施方案》《河南省 2025 年碧水保卫战实施方案》《河南省2025年净土保卫战实施方案》《河南省2025年柴油货车污染治理攻坚战实施方案》</w:t>
            </w:r>
            <w:r>
              <w:rPr>
                <w:rFonts w:hint="eastAsia" w:ascii="Times New Roman" w:hAnsi="Times New Roman" w:cs="Times New Roman"/>
                <w:b/>
                <w:bCs w:val="0"/>
                <w:color w:val="000000" w:themeColor="text1"/>
                <w:kern w:val="2"/>
                <w:sz w:val="24"/>
                <w:szCs w:val="24"/>
                <w:u w:val="none" w:color="auto"/>
                <w:lang w:val="en-US" w:eastAsia="zh-CN"/>
                <w14:textFill>
                  <w14:solidFill>
                    <w14:schemeClr w14:val="tx1"/>
                  </w14:solidFill>
                </w14:textFill>
              </w:rPr>
              <w:t>（</w:t>
            </w:r>
            <w:r>
              <w:rPr>
                <w:rFonts w:hint="eastAsia"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豫环委办〔</w:t>
            </w:r>
            <w:r>
              <w:rPr>
                <w:rFonts w:hint="default" w:ascii="Times New Roman" w:hAnsi="Times New Roman" w:eastAsia="宋体" w:cs="Times New Roman"/>
                <w:b/>
                <w:bCs w:val="0"/>
                <w:color w:val="000000" w:themeColor="text1"/>
                <w:kern w:val="2"/>
                <w:sz w:val="24"/>
                <w:szCs w:val="24"/>
                <w:u w:val="none" w:color="auto"/>
                <w:lang w:val="en-US" w:eastAsia="zh-CN"/>
                <w14:textFill>
                  <w14:solidFill>
                    <w14:schemeClr w14:val="tx1"/>
                  </w14:solidFill>
                </w14:textFill>
              </w:rPr>
              <w:t>2025〕6号</w:t>
            </w:r>
            <w:r>
              <w:rPr>
                <w:rFonts w:hint="eastAsia" w:ascii="Times New Roman" w:hAnsi="Times New Roman" w:cs="Times New Roman"/>
                <w:b/>
                <w:bCs w:val="0"/>
                <w:color w:val="000000" w:themeColor="text1"/>
                <w:kern w:val="2"/>
                <w:sz w:val="24"/>
                <w:szCs w:val="24"/>
                <w:u w:val="none" w:color="auto"/>
                <w:lang w:val="en-US" w:eastAsia="zh-CN"/>
                <w14:textFill>
                  <w14:solidFill>
                    <w14:schemeClr w14:val="tx1"/>
                  </w14:solidFill>
                </w14:textFill>
              </w:rPr>
              <w:t>）</w:t>
            </w:r>
            <w:r>
              <w:rPr>
                <w:rFonts w:hint="eastAsia" w:ascii="Times New Roman" w:hAnsi="Times New Roman" w:cs="Times New Roman"/>
                <w:b/>
                <w:bCs/>
                <w:sz w:val="24"/>
                <w:szCs w:val="24"/>
                <w:u w:val="none"/>
                <w:lang w:val="en-US" w:eastAsia="zh-CN"/>
              </w:rPr>
              <w:t>相符性分析</w:t>
            </w:r>
          </w:p>
          <w:p w14:paraId="03A1B394">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表1-8  与豫环委办〔2025〕6号相符性分析一览表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3356"/>
              <w:gridCol w:w="2206"/>
              <w:gridCol w:w="890"/>
            </w:tblGrid>
            <w:tr w14:paraId="7C74E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83" w:type="dxa"/>
                  <w:gridSpan w:val="2"/>
                  <w:vAlign w:val="center"/>
                </w:tcPr>
                <w:p w14:paraId="793404C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主要指标内容</w:t>
                  </w:r>
                </w:p>
              </w:tc>
              <w:tc>
                <w:tcPr>
                  <w:tcW w:w="2206" w:type="dxa"/>
                  <w:vAlign w:val="center"/>
                </w:tcPr>
                <w:p w14:paraId="66BE627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本项目情况</w:t>
                  </w:r>
                </w:p>
              </w:tc>
              <w:tc>
                <w:tcPr>
                  <w:tcW w:w="890" w:type="dxa"/>
                  <w:vAlign w:val="center"/>
                </w:tcPr>
                <w:p w14:paraId="5F969DC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符合性</w:t>
                  </w:r>
                </w:p>
              </w:tc>
            </w:tr>
            <w:tr w14:paraId="41729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7" w:type="dxa"/>
                  <w:vMerge w:val="restart"/>
                  <w:vAlign w:val="center"/>
                </w:tcPr>
                <w:p w14:paraId="4A25038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《河南省</w:t>
                  </w:r>
                  <w:r>
                    <w:rPr>
                      <w:rFonts w:hint="default" w:ascii="Times New Roman" w:hAnsi="Times New Roman" w:cs="Times New Roman"/>
                      <w:b/>
                      <w:bCs w:val="0"/>
                      <w:color w:val="000000" w:themeColor="text1"/>
                      <w:sz w:val="21"/>
                      <w:szCs w:val="21"/>
                      <w:u w:val="none" w:color="auto"/>
                      <w:lang w:val="en-US" w:eastAsia="zh-CN"/>
                      <w14:textFill>
                        <w14:solidFill>
                          <w14:schemeClr w14:val="tx1"/>
                        </w14:solidFill>
                      </w14:textFill>
                    </w:rPr>
                    <w:t>2025年蓝天保卫战实施方案》</w:t>
                  </w:r>
                </w:p>
              </w:tc>
              <w:tc>
                <w:tcPr>
                  <w:tcW w:w="3356" w:type="dxa"/>
                  <w:vAlign w:val="center"/>
                </w:tcPr>
                <w:p w14:paraId="583AB0A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（一）结构优化升级专项攻坚</w:t>
                  </w:r>
                </w:p>
                <w:p w14:paraId="00CBA61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1.依法依规淘汰落后低效产能。</w:t>
                  </w:r>
                  <w:r>
                    <w:rPr>
                      <w:rFonts w:hint="default" w:ascii="Times New Roman" w:hAnsi="Times New Roman" w:eastAsia="宋体" w:cs="Times New Roman"/>
                      <w:b w:val="0"/>
                      <w:bCs w:val="0"/>
                      <w:color w:val="000000"/>
                      <w:kern w:val="0"/>
                      <w:sz w:val="21"/>
                      <w:szCs w:val="21"/>
                      <w:lang w:val="en-US" w:eastAsia="zh-CN" w:bidi="ar"/>
                    </w:rPr>
                    <w:t>严格落实《产业结构调整指导目录（2024年本）》《河南省淘汰落后产能综合标准体系（2023年本）》《国家污染防治技术指导目录（2024年，限制类和淘汰类）》要求，加快落后生产工艺装备和过剩产能淘汰退出，列入2025年去产能计划的生产设施9月底前停止排污。全省严禁新改扩建烧结砖瓦项目，加快退出6000万标砖/年以下、城市规划区内的烧结砖及烧结空心砌块生产线，各省辖市、济源示范区、航空港区在2025年4月组织开展烧结砖瓦行业专项整治</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回头看</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原则上对达不到B级及以上绩效水平的烧结砖瓦企业实施停产整治；持续推动生物质小锅炉关停整合。2025年4月底前，各省辖市、济源示范区、航空港区制定年度落后产能淘汰退出工作方案，排查建立淘汰退出任务台账；2025年9月底前，淘汰退出烧结砖瓦生产线200条以上，整合淘汰现有的175台2蒸吨及以下和未采用专用炉具的生物质锅炉。</w:t>
                  </w:r>
                </w:p>
              </w:tc>
              <w:tc>
                <w:tcPr>
                  <w:tcW w:w="2206" w:type="dxa"/>
                  <w:vAlign w:val="center"/>
                </w:tcPr>
                <w:p w14:paraId="32A0657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本项</w:t>
                  </w:r>
                  <w:r>
                    <w:rPr>
                      <w:rFonts w:hint="eastAsia" w:ascii="Times New Roman" w:hAnsi="Times New Roman" w:eastAsia="宋体" w:cs="Times New Roman"/>
                      <w:b w:val="0"/>
                      <w:bCs w:val="0"/>
                      <w:color w:val="000000"/>
                      <w:kern w:val="0"/>
                      <w:sz w:val="21"/>
                      <w:szCs w:val="21"/>
                      <w:lang w:val="en-US" w:eastAsia="zh-CN" w:bidi="ar"/>
                    </w:rPr>
                    <w:t>目属于</w:t>
                  </w:r>
                  <w:r>
                    <w:rPr>
                      <w:rFonts w:hint="default" w:ascii="Times New Roman" w:hAnsi="Times New Roman" w:eastAsia="宋体" w:cs="Times New Roman"/>
                      <w:b w:val="0"/>
                      <w:bCs w:val="0"/>
                      <w:color w:val="000000"/>
                      <w:kern w:val="0"/>
                      <w:sz w:val="21"/>
                      <w:szCs w:val="21"/>
                      <w:lang w:val="en-US" w:eastAsia="zh-CN" w:bidi="ar"/>
                    </w:rPr>
                    <w:t>教学用模型及教具制造</w:t>
                  </w:r>
                  <w:r>
                    <w:rPr>
                      <w:rFonts w:hint="eastAsia" w:ascii="Times New Roman" w:hAnsi="Times New Roman" w:eastAsia="宋体" w:cs="Times New Roman"/>
                      <w:b w:val="0"/>
                      <w:bCs w:val="0"/>
                      <w:color w:val="000000"/>
                      <w:kern w:val="0"/>
                      <w:sz w:val="21"/>
                      <w:szCs w:val="21"/>
                      <w:lang w:val="en-US" w:eastAsia="zh-CN" w:bidi="ar"/>
                    </w:rPr>
                    <w:t>，不属于</w:t>
                  </w:r>
                  <w:r>
                    <w:rPr>
                      <w:rFonts w:hint="default" w:ascii="Times New Roman" w:hAnsi="Times New Roman" w:eastAsia="宋体" w:cs="Times New Roman"/>
                      <w:b w:val="0"/>
                      <w:bCs w:val="0"/>
                      <w:color w:val="000000"/>
                      <w:kern w:val="0"/>
                      <w:sz w:val="21"/>
                      <w:szCs w:val="21"/>
                      <w:lang w:val="en-US" w:eastAsia="zh-CN" w:bidi="ar"/>
                    </w:rPr>
                    <w:t>《河南省淘汰落后产能综合标准体系（2023年本）》《国家污染防治技术指导目录（2024年，限制类和淘汰类）》</w:t>
                  </w:r>
                  <w:r>
                    <w:rPr>
                      <w:rFonts w:hint="eastAsia" w:ascii="Times New Roman" w:hAnsi="Times New Roman" w:cs="Times New Roman"/>
                      <w:b w:val="0"/>
                      <w:bCs w:val="0"/>
                      <w:color w:val="000000"/>
                      <w:kern w:val="0"/>
                      <w:sz w:val="21"/>
                      <w:szCs w:val="21"/>
                      <w:lang w:val="en-US" w:eastAsia="zh-CN" w:bidi="ar"/>
                    </w:rPr>
                    <w:t>，</w:t>
                  </w:r>
                  <w:r>
                    <w:rPr>
                      <w:rFonts w:hint="eastAsia" w:ascii="Times New Roman" w:hAnsi="Times New Roman" w:eastAsia="宋体" w:cs="仿宋"/>
                      <w:color w:val="000000"/>
                      <w:kern w:val="0"/>
                      <w:sz w:val="21"/>
                      <w:szCs w:val="21"/>
                      <w:lang w:val="en-US" w:eastAsia="zh-CN" w:bidi="ar"/>
                    </w:rPr>
                    <w:t>根据《产业结构调整指导目录（2024年本）》，本项目不属于限制类和淘汰类；本项目的生产设备不属于《产业结构调整指导目录（2024年本）》中落后工艺设备，符合国家产业政策。</w:t>
                  </w:r>
                </w:p>
              </w:tc>
              <w:tc>
                <w:tcPr>
                  <w:tcW w:w="890" w:type="dxa"/>
                  <w:vAlign w:val="center"/>
                </w:tcPr>
                <w:p w14:paraId="183CC0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符合</w:t>
                  </w:r>
                </w:p>
              </w:tc>
            </w:tr>
            <w:tr w14:paraId="430A7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7" w:type="dxa"/>
                  <w:vMerge w:val="continue"/>
                  <w:vAlign w:val="center"/>
                </w:tcPr>
                <w:p w14:paraId="1F907CC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p>
              </w:tc>
              <w:tc>
                <w:tcPr>
                  <w:tcW w:w="3356" w:type="dxa"/>
                  <w:vAlign w:val="center"/>
                </w:tcPr>
                <w:p w14:paraId="0CDB22E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（二）工业企业提标治理专项攻坚</w:t>
                  </w:r>
                </w:p>
                <w:p w14:paraId="100BA3E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8. 实施挥发性有机物综合治理。</w:t>
                  </w:r>
                  <w:r>
                    <w:rPr>
                      <w:rFonts w:hint="default" w:ascii="Times New Roman" w:hAnsi="Times New Roman" w:eastAsia="宋体" w:cs="Times New Roman"/>
                      <w:b w:val="0"/>
                      <w:bCs w:val="0"/>
                      <w:color w:val="000000"/>
                      <w:kern w:val="0"/>
                      <w:sz w:val="21"/>
                      <w:szCs w:val="21"/>
                      <w:lang w:val="en-US" w:eastAsia="zh-CN" w:bidi="ar"/>
                    </w:rPr>
                    <w:t>组织涉VOCs企业针对挥发性有机液体储罐、装卸、敞开液面、泄漏检测与修复（LDAR）、废气收集、废气旁路、治理设施、加油站、非正常工况、产品VOCs含量等10个关键环节开展VOCs治理突出问题排查整治，在汽车、机械制造、家具、汽修、塑料软包装、印铁制罐、包装印刷等领域推广使用低（无）VOCs含量涂料和油墨，对完成源头替代的企业纳入</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白名单</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管理，在重污染天气预警期间实施自主减排。2025年4月底前，开展一轮次活性炭更换和泄漏检测与修复，完成低VOCs原辅材料源头替代、泄漏检测与修复、VOCs综合治理等任务400家以上。</w:t>
                  </w:r>
                </w:p>
              </w:tc>
              <w:tc>
                <w:tcPr>
                  <w:tcW w:w="2206" w:type="dxa"/>
                  <w:vAlign w:val="center"/>
                </w:tcPr>
                <w:p w14:paraId="308C7E1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项目</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为</w:t>
                  </w:r>
                  <w:r>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教学用模型及教具制造</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生产原料聚丙烯、色母、</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有机物含量较低，符合要求，符合</w:t>
                  </w:r>
                  <w:r>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低VOCs含量原辅材料源头替代</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的要求。</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厂区</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生产涉及VOCs物料为</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聚丙烯、色母，袋装</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密闭储存于原料库，在非取用状态时封口，保持密闭。</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color w:val="000000" w:themeColor="text1"/>
                      <w:sz w:val="21"/>
                      <w:szCs w:val="21"/>
                      <w:u w:val="none"/>
                      <w:lang w:val="en-US" w:eastAsia="zh-CN"/>
                      <w14:textFill>
                        <w14:solidFill>
                          <w14:schemeClr w14:val="tx1"/>
                        </w14:solidFill>
                      </w14:textFill>
                    </w:rPr>
                    <w:t>化妆颜料不使用时加盖密闭储存。</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项目</w:t>
                  </w:r>
                  <w:r>
                    <w:rPr>
                      <w:rFonts w:hint="eastAsia" w:ascii="Times New Roman" w:hAnsi="Times New Roman" w:cs="仿宋_GB2312"/>
                      <w:color w:val="000000" w:themeColor="text1"/>
                      <w:sz w:val="21"/>
                      <w:szCs w:val="21"/>
                      <w:u w:val="none"/>
                      <w:lang w:val="en-US" w:eastAsia="zh-CN"/>
                      <w14:textFill>
                        <w14:solidFill>
                          <w14:schemeClr w14:val="tx1"/>
                        </w14:solidFill>
                      </w14:textFill>
                    </w:rPr>
                    <w:t>吹塑车间二次密闭，废气集气罩收集，危废贮存库废气经负压收集，风机风量5000m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r>
                    <w:rPr>
                      <w:rFonts w:hint="eastAsia" w:ascii="Times New Roman" w:hAnsi="Times New Roman" w:eastAsia="宋体" w:cs="仿宋_GB2312"/>
                      <w:b w:val="0"/>
                      <w:bCs w:val="0"/>
                      <w:color w:val="000000" w:themeColor="text1"/>
                      <w:sz w:val="21"/>
                      <w:szCs w:val="21"/>
                      <w:u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企业活性炭装填量、更换周期实施编码登记，</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做到</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全过程可回溯管理</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。项目不涉及</w:t>
                  </w:r>
                  <w:r>
                    <w:rPr>
                      <w:rFonts w:hint="default" w:ascii="Times New Roman" w:hAnsi="Times New Roman" w:eastAsia="宋体" w:cs="Times New Roman"/>
                      <w:b w:val="0"/>
                      <w:bCs w:val="0"/>
                      <w:color w:val="000000"/>
                      <w:kern w:val="0"/>
                      <w:sz w:val="21"/>
                      <w:szCs w:val="21"/>
                      <w:lang w:val="en-US" w:eastAsia="zh-CN" w:bidi="ar"/>
                    </w:rPr>
                    <w:t>设备与管线组件密封点</w:t>
                  </w:r>
                  <w:r>
                    <w:rPr>
                      <w:rFonts w:hint="eastAsia" w:ascii="Times New Roman" w:hAnsi="Times New Roman" w:cs="Times New Roman"/>
                      <w:b w:val="0"/>
                      <w:bCs w:val="0"/>
                      <w:color w:val="000000"/>
                      <w:kern w:val="0"/>
                      <w:sz w:val="21"/>
                      <w:szCs w:val="21"/>
                      <w:lang w:val="en-US" w:eastAsia="zh-CN" w:bidi="ar"/>
                    </w:rPr>
                    <w:t>挥发产生有机废气。</w:t>
                  </w:r>
                </w:p>
              </w:tc>
              <w:tc>
                <w:tcPr>
                  <w:tcW w:w="890" w:type="dxa"/>
                  <w:vAlign w:val="center"/>
                </w:tcPr>
                <w:p w14:paraId="2309FE7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10675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7" w:type="dxa"/>
                  <w:vMerge w:val="continue"/>
                  <w:vAlign w:val="center"/>
                </w:tcPr>
                <w:p w14:paraId="7B91F51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rPr>
                  </w:pPr>
                </w:p>
              </w:tc>
              <w:tc>
                <w:tcPr>
                  <w:tcW w:w="3356" w:type="dxa"/>
                  <w:vAlign w:val="center"/>
                </w:tcPr>
                <w:p w14:paraId="4CA6913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（五）重污染天气应对专项攻坚</w:t>
                  </w:r>
                </w:p>
                <w:p w14:paraId="60D3BFD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20.开展环境绩效等级提升行动。</w:t>
                  </w:r>
                  <w:r>
                    <w:rPr>
                      <w:rFonts w:hint="default" w:ascii="Times New Roman" w:hAnsi="Times New Roman" w:eastAsia="宋体" w:cs="Times New Roman"/>
                      <w:b w:val="0"/>
                      <w:bCs w:val="0"/>
                      <w:color w:val="000000"/>
                      <w:kern w:val="0"/>
                      <w:sz w:val="21"/>
                      <w:szCs w:val="21"/>
                      <w:lang w:val="en-US" w:eastAsia="zh-CN" w:bidi="ar"/>
                    </w:rPr>
                    <w:t>加强企业绩效监管，对已评定A级、B级和绩效引领性企业开展</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回头看</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，对实际绩效水平达不到评定等级要求，或存在严重环境违法违规行为的企业，严格实施降级处理。开展重点行业环保绩效创A行动，充分发挥绩效A级企业引领作用，以</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先进</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带动</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后进</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，鼓励指导企业通过设备更新、技术改造、治理升级等措施，不断提升环境绩效等级，2025年全省新增A级、B级企业及绩效引领性企业600家以上。</w:t>
                  </w:r>
                </w:p>
              </w:tc>
              <w:tc>
                <w:tcPr>
                  <w:tcW w:w="2206" w:type="dxa"/>
                  <w:vAlign w:val="center"/>
                </w:tcPr>
                <w:p w14:paraId="4C3ABB9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bCs/>
                      <w:color w:val="000000"/>
                      <w:kern w:val="0"/>
                      <w:sz w:val="21"/>
                      <w:szCs w:val="21"/>
                      <w:lang w:val="en-US" w:eastAsia="zh-CN" w:bidi="ar"/>
                    </w:rPr>
                  </w:pPr>
                  <w:r>
                    <w:rPr>
                      <w:rFonts w:hint="eastAsia" w:ascii="Times New Roman" w:hAnsi="Times New Roman"/>
                      <w:color w:val="000000"/>
                      <w:sz w:val="21"/>
                      <w:szCs w:val="21"/>
                      <w:lang w:val="en-US" w:eastAsia="zh-CN" w:bidi="ar"/>
                    </w:rPr>
                    <w:t>厂区</w:t>
                  </w:r>
                  <w:r>
                    <w:rPr>
                      <w:rFonts w:hint="eastAsia" w:ascii="Times New Roman" w:hAnsi="Times New Roman"/>
                      <w:color w:val="000000" w:themeColor="text1"/>
                      <w:sz w:val="21"/>
                      <w:szCs w:val="21"/>
                      <w:lang w:val="en-US" w:eastAsia="zh-CN" w:bidi="ar"/>
                      <w14:textFill>
                        <w14:solidFill>
                          <w14:schemeClr w14:val="tx1"/>
                        </w14:solidFill>
                      </w14:textFill>
                    </w:rPr>
                    <w:t>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w:t>
                  </w:r>
                  <w:r>
                    <w:rPr>
                      <w:rFonts w:hint="eastAsia" w:ascii="Times New Roman" w:hAnsi="Times New Roman" w:cs="仿宋_GB2312"/>
                      <w:color w:val="000000" w:themeColor="text1"/>
                      <w:sz w:val="21"/>
                      <w:szCs w:val="21"/>
                      <w:u w:val="none"/>
                      <w:lang w:val="en-US" w:eastAsia="zh-CN"/>
                      <w14:textFill>
                        <w14:solidFill>
                          <w14:schemeClr w14:val="tx1"/>
                        </w14:solidFill>
                      </w14:textFill>
                    </w:rPr>
                    <w:t>项目建设从能源使用、污染防治措施等各方面符合</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olor w:val="000000" w:themeColor="text1"/>
                      <w:sz w:val="21"/>
                      <w:szCs w:val="21"/>
                      <w:lang w:val="en-US" w:bidi="ar"/>
                      <w14:textFill>
                        <w14:solidFill>
                          <w14:schemeClr w14:val="tx1"/>
                        </w14:solidFill>
                      </w14:textFill>
                    </w:rPr>
                    <w:t>，符合</w:t>
                  </w:r>
                  <w:r>
                    <w:rPr>
                      <w:rFonts w:hint="eastAsia" w:ascii="Times New Roman" w:hAnsi="Times New Roman" w:cs="仿宋_GB2312"/>
                      <w:color w:val="000000" w:themeColor="text1"/>
                      <w:sz w:val="21"/>
                      <w:szCs w:val="21"/>
                      <w:u w:val="none"/>
                      <w:lang w:val="en-US" w:eastAsia="zh-CN"/>
                      <w14:textFill>
                        <w14:solidFill>
                          <w14:schemeClr w14:val="tx1"/>
                        </w14:solidFill>
                      </w14:textFill>
                    </w:rPr>
                    <w:t>塑料制品</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行业A级企业绩效要求</w:t>
                  </w:r>
                  <w:r>
                    <w:rPr>
                      <w:rFonts w:hint="eastAsia" w:ascii="Times New Roman" w:hAnsi="Times New Roman" w:cs="仿宋_GB2312"/>
                      <w:color w:val="000000" w:themeColor="text1"/>
                      <w:sz w:val="21"/>
                      <w:szCs w:val="21"/>
                      <w:u w:val="none"/>
                      <w:lang w:val="en-US" w:eastAsia="zh-CN"/>
                      <w14:textFill>
                        <w14:solidFill>
                          <w14:schemeClr w14:val="tx1"/>
                        </w14:solidFill>
                      </w14:textFill>
                    </w:rPr>
                    <w:t>。</w:t>
                  </w:r>
                </w:p>
              </w:tc>
              <w:tc>
                <w:tcPr>
                  <w:tcW w:w="890" w:type="dxa"/>
                  <w:vAlign w:val="center"/>
                </w:tcPr>
                <w:p w14:paraId="07B043E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69C9A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7" w:type="dxa"/>
                  <w:vAlign w:val="center"/>
                </w:tcPr>
                <w:p w14:paraId="0295976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val="0"/>
                      <w:color w:val="000000"/>
                      <w:kern w:val="0"/>
                      <w:sz w:val="21"/>
                      <w:szCs w:val="21"/>
                      <w:lang w:val="en-US" w:eastAsia="zh-CN" w:bidi="ar"/>
                    </w:rPr>
                  </w:pPr>
                  <w:r>
                    <w:rPr>
                      <w:rFonts w:hint="eastAsia" w:ascii="Times New Roman" w:hAnsi="Times New Roman" w:eastAsia="宋体" w:cs="Times New Roman"/>
                      <w:b/>
                      <w:bCs/>
                      <w:color w:val="000000"/>
                      <w:kern w:val="0"/>
                      <w:sz w:val="21"/>
                      <w:szCs w:val="21"/>
                      <w:lang w:val="en-US" w:eastAsia="zh-CN" w:bidi="ar"/>
                    </w:rPr>
                    <w:t>《</w:t>
                  </w:r>
                  <w:r>
                    <w:rPr>
                      <w:rFonts w:hint="default" w:ascii="Times New Roman" w:hAnsi="Times New Roman" w:eastAsia="宋体" w:cs="Times New Roman"/>
                      <w:b/>
                      <w:bCs/>
                      <w:color w:val="000000"/>
                      <w:kern w:val="0"/>
                      <w:sz w:val="21"/>
                      <w:szCs w:val="21"/>
                      <w:lang w:val="en-US" w:eastAsia="zh-CN" w:bidi="ar"/>
                    </w:rPr>
                    <w:t>河南省2025年柴油货车污染治理攻坚战实施方案</w:t>
                  </w:r>
                  <w:r>
                    <w:rPr>
                      <w:rFonts w:hint="eastAsia" w:ascii="Times New Roman" w:hAnsi="Times New Roman" w:eastAsia="宋体" w:cs="Times New Roman"/>
                      <w:b/>
                      <w:bCs/>
                      <w:color w:val="000000"/>
                      <w:kern w:val="0"/>
                      <w:sz w:val="21"/>
                      <w:szCs w:val="21"/>
                      <w:lang w:val="en-US" w:eastAsia="zh-CN" w:bidi="ar"/>
                    </w:rPr>
                    <w:t>》</w:t>
                  </w:r>
                </w:p>
              </w:tc>
              <w:tc>
                <w:tcPr>
                  <w:tcW w:w="3356" w:type="dxa"/>
                  <w:vAlign w:val="center"/>
                </w:tcPr>
                <w:p w14:paraId="2F8E16E6">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（一）优化调整交通运输结构</w:t>
                  </w:r>
                </w:p>
                <w:p w14:paraId="3551B762">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val="0"/>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2.提升重点行业清洁运输比例。</w:t>
                  </w:r>
                  <w:r>
                    <w:rPr>
                      <w:rFonts w:hint="default" w:ascii="Times New Roman" w:hAnsi="Times New Roman" w:eastAsia="宋体" w:cs="Times New Roman"/>
                      <w:b w:val="0"/>
                      <w:bCs w:val="0"/>
                      <w:color w:val="000000"/>
                      <w:kern w:val="0"/>
                      <w:sz w:val="21"/>
                      <w:szCs w:val="21"/>
                      <w:lang w:val="en-US" w:eastAsia="zh-CN" w:bidi="ar"/>
                    </w:rPr>
                    <w:t>大宗货物中长距离运输优先采用铁路、水路，短距离运输优先采用封闭式皮带廊道或新能源车船。鼓励工矿企业等用车单位通过与运输企业（个人）签订合作协议等方式实现清洁运输。探索将清洁运输作为煤矿、钢铁、火电、有色、焦化、煤化工等行业新改扩建项目审核和监管重点。2025年9月底前，钢铁、水泥、焦化企业完成超低排放清洁运输改造。2025年底前，火电、钢铁、煤炭、焦化、有色、石化、化工、水泥等行业大宗货物清洁运输比例达到80%以上；砂石骨料、耐材、环保绩效A、B级和绩效引领性企业清洁运输比例力争达到80%。</w:t>
                  </w:r>
                </w:p>
              </w:tc>
              <w:tc>
                <w:tcPr>
                  <w:tcW w:w="2206" w:type="dxa"/>
                  <w:vAlign w:val="center"/>
                </w:tcPr>
                <w:p w14:paraId="1936C5D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bCs/>
                      <w:color w:val="000000"/>
                      <w:kern w:val="0"/>
                      <w:sz w:val="21"/>
                      <w:szCs w:val="21"/>
                      <w:lang w:val="en-US" w:eastAsia="zh-CN" w:bidi="ar"/>
                    </w:rPr>
                  </w:pPr>
                  <w:r>
                    <w:rPr>
                      <w:rFonts w:hint="eastAsia" w:ascii="Times New Roman" w:hAnsi="Times New Roman" w:eastAsia="宋体" w:cs="Times New Roman"/>
                      <w:b w:val="0"/>
                      <w:bCs w:val="0"/>
                      <w:color w:val="000000"/>
                      <w:kern w:val="0"/>
                      <w:sz w:val="21"/>
                      <w:szCs w:val="21"/>
                      <w:lang w:val="en-US" w:eastAsia="zh-CN" w:bidi="ar"/>
                    </w:rPr>
                    <w:t>项</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目使用</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国五以上</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车辆运输，不属于</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工矿企业</w:t>
                  </w:r>
                  <w:r>
                    <w:rPr>
                      <w:rFonts w:hint="eastAsia"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火电、钢铁、煤炭、焦化、有色、石化、化工</w:t>
                  </w:r>
                  <w:r>
                    <w:rPr>
                      <w:rFonts w:hint="default" w:ascii="Times New Roman" w:hAnsi="Times New Roman" w:eastAsia="宋体" w:cs="Times New Roman"/>
                      <w:b w:val="0"/>
                      <w:bCs w:val="0"/>
                      <w:color w:val="000000"/>
                      <w:kern w:val="0"/>
                      <w:sz w:val="21"/>
                      <w:szCs w:val="21"/>
                      <w:lang w:val="en-US" w:eastAsia="zh-CN" w:bidi="ar"/>
                    </w:rPr>
                    <w:t>、水泥等行业</w:t>
                  </w:r>
                  <w:r>
                    <w:rPr>
                      <w:rFonts w:hint="eastAsia" w:ascii="Times New Roman" w:hAnsi="Times New Roman" w:eastAsia="宋体" w:cs="Times New Roman"/>
                      <w:b w:val="0"/>
                      <w:bCs w:val="0"/>
                      <w:color w:val="000000"/>
                      <w:kern w:val="0"/>
                      <w:sz w:val="21"/>
                      <w:szCs w:val="21"/>
                      <w:lang w:val="en-US" w:eastAsia="zh-CN" w:bidi="ar"/>
                    </w:rPr>
                    <w:t>。</w:t>
                  </w:r>
                </w:p>
              </w:tc>
              <w:tc>
                <w:tcPr>
                  <w:tcW w:w="890" w:type="dxa"/>
                  <w:vAlign w:val="center"/>
                </w:tcPr>
                <w:p w14:paraId="5F1742F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符合</w:t>
                  </w:r>
                </w:p>
              </w:tc>
            </w:tr>
          </w:tbl>
          <w:p w14:paraId="290C879B">
            <w:pPr>
              <w:widowControl/>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color w:val="000000" w:themeColor="text1"/>
                <w:kern w:val="2"/>
                <w:sz w:val="24"/>
                <w:szCs w:val="24"/>
                <w:u w:val="none" w:color="auto"/>
                <w:lang w:val="en-US" w:eastAsia="zh-CN"/>
                <w14:textFill>
                  <w14:solidFill>
                    <w14:schemeClr w14:val="tx1"/>
                  </w14:solidFill>
                </w14:textFill>
              </w:rPr>
            </w:pPr>
            <w:r>
              <w:rPr>
                <w:rFonts w:hint="eastAsia" w:ascii="Times New Roman" w:hAnsi="Times New Roman"/>
                <w:b/>
                <w:bCs/>
                <w:color w:val="000000" w:themeColor="text1"/>
                <w:sz w:val="24"/>
                <w:szCs w:val="24"/>
                <w:lang w:val="en-US" w:eastAsia="zh-CN"/>
                <w14:textFill>
                  <w14:solidFill>
                    <w14:schemeClr w14:val="tx1"/>
                  </w14:solidFill>
                </w14:textFill>
              </w:rPr>
              <w:t>6</w:t>
            </w:r>
            <w:r>
              <w:rPr>
                <w:rFonts w:hint="eastAsia" w:ascii="Times New Roman" w:hAnsi="Times New Roman"/>
                <w:b/>
                <w:bCs/>
                <w:color w:val="000000" w:themeColor="text1"/>
                <w:sz w:val="24"/>
                <w:szCs w:val="24"/>
                <w:lang w:val="en-US"/>
                <w14:textFill>
                  <w14:solidFill>
                    <w14:schemeClr w14:val="tx1"/>
                  </w14:solidFill>
                </w14:textFill>
              </w:rPr>
              <w:t>、</w:t>
            </w:r>
            <w:r>
              <w:rPr>
                <w:rFonts w:hint="eastAsia" w:ascii="Times New Roman" w:hAnsi="Times New Roman"/>
                <w:b/>
                <w:bCs/>
                <w:color w:val="000000" w:themeColor="text1"/>
                <w:sz w:val="24"/>
                <w:szCs w:val="24"/>
                <w:lang w:val="en-US" w:eastAsia="zh-CN"/>
                <w14:textFill>
                  <w14:solidFill>
                    <w14:schemeClr w14:val="tx1"/>
                  </w14:solidFill>
                </w14:textFill>
              </w:rPr>
              <w:t>项目与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《许昌市2025年大气污染防治标本兼治实施方案》（许环专办﹝2025﹞9号）</w:t>
            </w:r>
            <w:r>
              <w:rPr>
                <w:rFonts w:hint="default" w:ascii="Times New Roman" w:hAnsi="Times New Roman" w:cs="Times New Roman"/>
                <w:b/>
                <w:color w:val="000000" w:themeColor="text1"/>
                <w:kern w:val="2"/>
                <w:sz w:val="24"/>
                <w:szCs w:val="24"/>
                <w:u w:val="none" w:color="auto"/>
                <w:lang w:val="en-US" w:eastAsia="zh-CN"/>
                <w14:textFill>
                  <w14:solidFill>
                    <w14:schemeClr w14:val="tx1"/>
                  </w14:solidFill>
                </w14:textFill>
              </w:rPr>
              <w:t>符合性分析</w:t>
            </w:r>
          </w:p>
          <w:p w14:paraId="3AA6A289">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表1-9  与许环专办﹝2025﹞9号相符性分析一览表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3677"/>
              <w:gridCol w:w="2040"/>
              <w:gridCol w:w="678"/>
            </w:tblGrid>
            <w:tr w14:paraId="19D5E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65" w:type="dxa"/>
                  <w:gridSpan w:val="2"/>
                  <w:vAlign w:val="center"/>
                </w:tcPr>
                <w:p w14:paraId="0428E00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主要任务</w:t>
                  </w:r>
                </w:p>
              </w:tc>
              <w:tc>
                <w:tcPr>
                  <w:tcW w:w="2040" w:type="dxa"/>
                  <w:vAlign w:val="center"/>
                </w:tcPr>
                <w:p w14:paraId="51DFAE4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本项目情况</w:t>
                  </w:r>
                </w:p>
              </w:tc>
              <w:tc>
                <w:tcPr>
                  <w:tcW w:w="678" w:type="dxa"/>
                  <w:vAlign w:val="center"/>
                </w:tcPr>
                <w:p w14:paraId="66BBD74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符合性</w:t>
                  </w:r>
                </w:p>
              </w:tc>
            </w:tr>
            <w:tr w14:paraId="1B626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7E3FF89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（一）开展结构优化升级专项攻坚行动</w:t>
                  </w:r>
                </w:p>
              </w:tc>
              <w:tc>
                <w:tcPr>
                  <w:tcW w:w="3677" w:type="dxa"/>
                  <w:vAlign w:val="center"/>
                </w:tcPr>
                <w:p w14:paraId="332B907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kern w:val="0"/>
                      <w:sz w:val="21"/>
                      <w:szCs w:val="21"/>
                      <w:lang w:val="en-US" w:eastAsia="zh-CN" w:bidi="ar"/>
                    </w:rPr>
                    <w:t>1.依法依规淘汰落后低效产能。</w:t>
                  </w:r>
                  <w:r>
                    <w:rPr>
                      <w:rFonts w:hint="default" w:ascii="Times New Roman" w:hAnsi="Times New Roman" w:eastAsia="宋体" w:cs="Times New Roman"/>
                      <w:b w:val="0"/>
                      <w:bCs w:val="0"/>
                      <w:color w:val="000000"/>
                      <w:kern w:val="0"/>
                      <w:sz w:val="21"/>
                      <w:szCs w:val="21"/>
                      <w:lang w:val="en-US" w:eastAsia="zh-CN" w:bidi="ar"/>
                    </w:rPr>
                    <w:t>2025年3月底前，市工业和信息化局牵头制定全市年度落后产能淘汰退出工作方案并组织实施。严格落实《产业结构调整指导目录(2024年本)》《河南省淘汰落后产能综合标准体系(2023年本)》要求，各县(市、区)于2025年4月底前全面完成淘汰类工艺技术装备排查，建立淘汰退出任务台账，2025年9月底前全部依法淘汰到位，逾期未淘汰到位的依法依规实施停产整治。全市严禁审批、核准限制类建设项目，严禁新改扩建烧结砖瓦项目，引导限制类产能按照符合行业发展规划和产业政策要求，进行升级改造或整合退出。2025年3月份组织开展全市烧结砖瓦行业专项整治</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回头看</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对年产能为6000万标砖的14家D级烧结砖瓦企业(绩效等级以2024年级别为准)</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在2025年9月底前完成淘汰退出；列入淘汰范围的烧结砖瓦企业签订淘汰退出承诺书，由属地根据企业现有原料堆存量制定复产计划，报市生态环境保护工作专班备案后，在2025年4—7月给予最长不超过四个月的复产时间，复产期间相关县(市、区)要加强企业日常监督管理，对存在环境违法行为的实施停产；对未纳入淘汰范围且达不到B级及以上绩效水平的烧结砖瓦企业实施停产整治。</w:t>
                  </w:r>
                </w:p>
              </w:tc>
              <w:tc>
                <w:tcPr>
                  <w:tcW w:w="2040" w:type="dxa"/>
                  <w:vAlign w:val="center"/>
                </w:tcPr>
                <w:p w14:paraId="0F5BF37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仿宋"/>
                      <w:color w:val="000000"/>
                      <w:kern w:val="0"/>
                      <w:sz w:val="21"/>
                      <w:szCs w:val="21"/>
                      <w:lang w:val="en-US" w:eastAsia="zh-CN" w:bidi="ar"/>
                    </w:rPr>
                    <w:t>本项目属于教学用模型及教具制造，根据《产业结构调整指导目录（2024年本）》，本项目不属于限制类和淘汰类；本项目的生产设备不属于《产业结构调整指导目录（2024年本）》中落后工艺设备，符合国家产业政策。</w:t>
                  </w:r>
                </w:p>
              </w:tc>
              <w:tc>
                <w:tcPr>
                  <w:tcW w:w="678" w:type="dxa"/>
                  <w:vAlign w:val="center"/>
                </w:tcPr>
                <w:p w14:paraId="0EBC6F5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r w14:paraId="51685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40AFC55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（二）开展工业企业提标治理专项攻坚行动</w:t>
                  </w:r>
                </w:p>
              </w:tc>
              <w:tc>
                <w:tcPr>
                  <w:tcW w:w="3677" w:type="dxa"/>
                  <w:vAlign w:val="center"/>
                </w:tcPr>
                <w:p w14:paraId="0763F03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9.实施挥发性有机物综合治理。</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2025年4月10日前，各县(市、区)对涉VOCs企业废气密闭收集能力进行全面排查和实测，对达不到标准要求的纳入年度重点治理任务并于4月底前完成整改提升；对已实施低VOCs源头替代的企业开展全面核查，对未采用低VOCs原辅料替代的企业于4月底前完成源头替代；对采用活性炭吸附工艺的企业开展现场检查，对不满足要求的企业建立台账，于4月底前整改到位。2025年4月底前，相关县(市、区)组织对重点行业设备与管线组件密封点大于等于1000个的12家企业完成LDAR工作，组织涉VOCs企业开展一次挥发性有机物废气排放检测，对超标排放的限期整治到位。对逾期未完成整治的企业依法依规予以查处。</w:t>
                  </w:r>
                </w:p>
              </w:tc>
              <w:tc>
                <w:tcPr>
                  <w:tcW w:w="2040" w:type="dxa"/>
                  <w:vAlign w:val="center"/>
                </w:tcPr>
                <w:p w14:paraId="46A298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生产原料聚丙烯、色母、</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有机物含量较低，符合要求，符合</w:t>
                  </w:r>
                  <w:r>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低VOCs含量原辅材料源头替代</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的要求。</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厂区</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生产涉及VOCs物料为</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聚丙烯、色母和</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化妆颜料，聚丙烯、色母袋装</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密闭储存于原料库，在非取用状态时封口，保持密闭。</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化妆颜料不使用时加盖密闭储存。</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项目</w:t>
                  </w:r>
                  <w:r>
                    <w:rPr>
                      <w:rFonts w:hint="eastAsia" w:ascii="Times New Roman" w:hAnsi="Times New Roman" w:cs="仿宋_GB2312"/>
                      <w:color w:val="000000" w:themeColor="text1"/>
                      <w:sz w:val="21"/>
                      <w:szCs w:val="21"/>
                      <w:u w:val="none"/>
                      <w:lang w:val="en-US" w:eastAsia="zh-CN"/>
                      <w14:textFill>
                        <w14:solidFill>
                          <w14:schemeClr w14:val="tx1"/>
                        </w14:solidFill>
                      </w14:textFill>
                    </w:rPr>
                    <w:t>吹塑车间二次密闭，废气集气罩收集，危废贮存库废气经负压收集，风机风量5000m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企业活性炭装填量、更换周期实施编码登记，</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做到</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全过程可回溯管理</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。项目不涉及</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设备与管线组件密封点</w:t>
                  </w:r>
                  <w:r>
                    <w:rPr>
                      <w:rFonts w:hint="eastAsia" w:ascii="Times New Roman" w:hAnsi="Times New Roman" w:cs="Times New Roman"/>
                      <w:b w:val="0"/>
                      <w:bCs w:val="0"/>
                      <w:color w:val="000000" w:themeColor="text1"/>
                      <w:kern w:val="0"/>
                      <w:sz w:val="21"/>
                      <w:szCs w:val="21"/>
                      <w:lang w:val="en-US" w:eastAsia="zh-CN" w:bidi="ar"/>
                      <w14:textFill>
                        <w14:solidFill>
                          <w14:schemeClr w14:val="tx1"/>
                        </w14:solidFill>
                      </w14:textFill>
                    </w:rPr>
                    <w:t>挥发产生有机废气。</w:t>
                  </w:r>
                </w:p>
              </w:tc>
              <w:tc>
                <w:tcPr>
                  <w:tcW w:w="678" w:type="dxa"/>
                  <w:vAlign w:val="center"/>
                </w:tcPr>
                <w:p w14:paraId="2F9FB3C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p>
              </w:tc>
            </w:tr>
            <w:tr w14:paraId="352D0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3EC6029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（七）开展重污染天气应对专项攻坚行动</w:t>
                  </w:r>
                </w:p>
              </w:tc>
              <w:tc>
                <w:tcPr>
                  <w:tcW w:w="3677" w:type="dxa"/>
                  <w:vAlign w:val="center"/>
                </w:tcPr>
                <w:p w14:paraId="3A3AE9D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kern w:val="0"/>
                      <w:sz w:val="21"/>
                      <w:szCs w:val="21"/>
                      <w:lang w:val="en-US" w:eastAsia="zh-CN" w:bidi="ar"/>
                    </w:rPr>
                    <w:t>32.开展企业环保绩效提升行动。</w:t>
                  </w:r>
                  <w:r>
                    <w:rPr>
                      <w:rFonts w:hint="default" w:ascii="Times New Roman" w:hAnsi="Times New Roman" w:eastAsia="宋体" w:cs="Times New Roman"/>
                      <w:b w:val="0"/>
                      <w:bCs w:val="0"/>
                      <w:color w:val="000000"/>
                      <w:kern w:val="0"/>
                      <w:sz w:val="21"/>
                      <w:szCs w:val="21"/>
                      <w:lang w:val="en-US" w:eastAsia="zh-CN" w:bidi="ar"/>
                    </w:rPr>
                    <w:t>2025年3月底前，聚焦水泥、焦化、再生金属、铸造、耐火材料、陶瓷、石灰窑、工业涂装、包装印刷等主要涉气行业，以规上企业为重点，结合传统产业集群整治、超低排放改造、企业深度治理等领域，全面开展摸底排查，确定不少于100家的绿色化改造培育对象；指导企业通过实施设备更新、技术改造、治理升级，提升现有环保绩效等级，2025年力争新增B级及以上企业50家。强化企业环保绩效评级管理，对已评定的C级及以上企业开展</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回头看</w:t>
                  </w:r>
                  <w:r>
                    <w:rPr>
                      <w:rFonts w:hint="eastAsia" w:ascii="Times New Roman" w:hAnsi="Times New Roman" w:cs="Times New Roman"/>
                      <w:b w:val="0"/>
                      <w:bCs w:val="0"/>
                      <w:color w:val="000000"/>
                      <w:kern w:val="0"/>
                      <w:sz w:val="21"/>
                      <w:szCs w:val="21"/>
                      <w:lang w:val="en-US" w:eastAsia="zh-CN" w:bidi="ar"/>
                    </w:rPr>
                    <w:t>”，</w:t>
                  </w:r>
                  <w:r>
                    <w:rPr>
                      <w:rFonts w:hint="default" w:ascii="Times New Roman" w:hAnsi="Times New Roman" w:eastAsia="宋体" w:cs="Times New Roman"/>
                      <w:b w:val="0"/>
                      <w:bCs w:val="0"/>
                      <w:color w:val="000000"/>
                      <w:kern w:val="0"/>
                      <w:sz w:val="21"/>
                      <w:szCs w:val="21"/>
                      <w:lang w:val="en-US" w:eastAsia="zh-CN" w:bidi="ar"/>
                    </w:rPr>
                    <w:t>对实际绩效水平达不到评定等级要求或存在严重环境违法违规行为的企业，按程序实施降级处理</w:t>
                  </w:r>
                  <w:r>
                    <w:rPr>
                      <w:rFonts w:hint="eastAsia" w:ascii="Times New Roman" w:hAnsi="Times New Roman" w:eastAsia="宋体" w:cs="仿宋"/>
                      <w:b w:val="0"/>
                      <w:bCs w:val="0"/>
                      <w:color w:val="000000"/>
                      <w:kern w:val="0"/>
                      <w:sz w:val="21"/>
                      <w:szCs w:val="21"/>
                      <w:lang w:val="en-US" w:eastAsia="zh-CN" w:bidi="ar"/>
                    </w:rPr>
                    <w:t>。</w:t>
                  </w:r>
                </w:p>
              </w:tc>
              <w:tc>
                <w:tcPr>
                  <w:tcW w:w="2040" w:type="dxa"/>
                  <w:vAlign w:val="center"/>
                </w:tcPr>
                <w:p w14:paraId="738F3D9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olor w:val="000000"/>
                      <w:sz w:val="21"/>
                      <w:szCs w:val="21"/>
                      <w:lang w:val="en-US" w:eastAsia="zh-CN" w:bidi="ar"/>
                    </w:rPr>
                    <w:t>厂区</w:t>
                  </w:r>
                  <w:r>
                    <w:rPr>
                      <w:rFonts w:hint="eastAsia" w:ascii="Times New Roman" w:hAnsi="Times New Roman"/>
                      <w:color w:val="000000" w:themeColor="text1"/>
                      <w:sz w:val="21"/>
                      <w:szCs w:val="21"/>
                      <w:lang w:val="en-US" w:eastAsia="zh-CN" w:bidi="ar"/>
                      <w14:textFill>
                        <w14:solidFill>
                          <w14:schemeClr w14:val="tx1"/>
                        </w14:solidFill>
                      </w14:textFill>
                    </w:rPr>
                    <w:t>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。建设完成后</w:t>
                  </w:r>
                  <w:r>
                    <w:rPr>
                      <w:rFonts w:hint="eastAsia" w:ascii="Times New Roman" w:hAnsi="Times New Roman"/>
                      <w:color w:val="000000" w:themeColor="text1"/>
                      <w:sz w:val="21"/>
                      <w:szCs w:val="21"/>
                      <w:lang w:val="en-US" w:bidi="ar"/>
                      <w14:textFill>
                        <w14:solidFill>
                          <w14:schemeClr w14:val="tx1"/>
                        </w14:solidFill>
                      </w14:textFill>
                    </w:rPr>
                    <w:t>对比</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olor w:val="000000" w:themeColor="text1"/>
                      <w:sz w:val="21"/>
                      <w:szCs w:val="21"/>
                      <w:lang w:val="en-US" w:bidi="ar"/>
                      <w14:textFill>
                        <w14:solidFill>
                          <w14:schemeClr w14:val="tx1"/>
                        </w14:solidFill>
                      </w14:textFill>
                    </w:rPr>
                    <w:t>，符合</w:t>
                  </w:r>
                  <w:r>
                    <w:rPr>
                      <w:rFonts w:hint="eastAsia" w:ascii="Times New Roman" w:hAnsi="Times New Roman" w:cs="仿宋_GB2312"/>
                      <w:color w:val="000000" w:themeColor="text1"/>
                      <w:sz w:val="21"/>
                      <w:szCs w:val="21"/>
                      <w:u w:val="none"/>
                      <w:lang w:val="en-US" w:eastAsia="zh-CN"/>
                      <w14:textFill>
                        <w14:solidFill>
                          <w14:schemeClr w14:val="tx1"/>
                        </w14:solidFill>
                      </w14:textFill>
                    </w:rPr>
                    <w:t>塑料制品</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行业A级企业绩效要求</w:t>
                  </w:r>
                  <w:r>
                    <w:rPr>
                      <w:rFonts w:hint="eastAsia" w:ascii="Times New Roman" w:hAnsi="Times New Roman"/>
                      <w:color w:val="000000" w:themeColor="text1"/>
                      <w:sz w:val="21"/>
                      <w:szCs w:val="21"/>
                      <w:lang w:val="en-US" w:bidi="ar"/>
                      <w14:textFill>
                        <w14:solidFill>
                          <w14:schemeClr w14:val="tx1"/>
                        </w14:solidFill>
                      </w14:textFill>
                    </w:rPr>
                    <w:t>。</w:t>
                  </w:r>
                </w:p>
              </w:tc>
              <w:tc>
                <w:tcPr>
                  <w:tcW w:w="678" w:type="dxa"/>
                  <w:vAlign w:val="center"/>
                </w:tcPr>
                <w:p w14:paraId="31CC09F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bl>
          <w:p w14:paraId="777052B2">
            <w:pPr>
              <w:pStyle w:val="20"/>
              <w:keepNext w:val="0"/>
              <w:keepLines w:val="0"/>
              <w:pageBreakBefore w:val="0"/>
              <w:widowControl w:val="0"/>
              <w:suppressLineNumbers w:val="0"/>
              <w:tabs>
                <w:tab w:val="left" w:pos="4140"/>
              </w:tabs>
              <w:kinsoku/>
              <w:wordWrap/>
              <w:overflowPunct/>
              <w:topLinePunct w:val="0"/>
              <w:autoSpaceDE w:val="0"/>
              <w:autoSpaceDN w:val="0"/>
              <w:bidi w:val="0"/>
              <w:adjustRightInd w:val="0"/>
              <w:snapToGrid w:val="0"/>
              <w:spacing w:before="0" w:beforeAutospacing="0" w:after="0" w:afterAutospacing="0" w:line="520" w:lineRule="exact"/>
              <w:ind w:firstLine="482" w:firstLineChars="200"/>
              <w:jc w:val="both"/>
              <w:textAlignment w:val="auto"/>
              <w:rPr>
                <w:rFonts w:hint="eastAsia" w:ascii="Times New Roman" w:hAnsi="Times New Roman" w:cs="Times New Roman"/>
                <w:b/>
                <w:bCs/>
                <w:sz w:val="24"/>
                <w:szCs w:val="24"/>
                <w:u w:val="none"/>
                <w:lang w:val="en-US" w:eastAsia="zh-CN"/>
              </w:rPr>
            </w:pPr>
            <w:r>
              <w:rPr>
                <w:rFonts w:hint="eastAsia" w:ascii="Times New Roman" w:hAnsi="Times New Roman" w:cs="Times New Roman"/>
                <w:b/>
                <w:bCs/>
                <w:sz w:val="24"/>
                <w:szCs w:val="24"/>
                <w:u w:val="none"/>
                <w:lang w:val="en-US" w:eastAsia="zh-CN"/>
              </w:rPr>
              <w:t>7、项目与《许昌市空气质量持续改善行动方案》（许政</w:t>
            </w:r>
            <w:r>
              <w:rPr>
                <w:rFonts w:hint="eastAsia" w:ascii="宋体" w:hAnsi="宋体" w:eastAsia="宋体" w:cs="宋体"/>
                <w:b/>
                <w:bCs/>
                <w:sz w:val="24"/>
                <w:szCs w:val="24"/>
                <w:u w:val="none"/>
                <w:lang w:val="en-US" w:eastAsia="zh-CN"/>
              </w:rPr>
              <w:t>〔</w:t>
            </w:r>
            <w:r>
              <w:rPr>
                <w:rFonts w:hint="eastAsia" w:ascii="Times New Roman" w:hAnsi="Times New Roman" w:cs="Times New Roman"/>
                <w:b/>
                <w:bCs/>
                <w:sz w:val="24"/>
                <w:szCs w:val="24"/>
                <w:u w:val="none"/>
                <w:lang w:val="en-US" w:eastAsia="zh-CN"/>
              </w:rPr>
              <w:t>2024</w:t>
            </w:r>
            <w:r>
              <w:rPr>
                <w:rFonts w:hint="eastAsia" w:ascii="宋体" w:hAnsi="宋体" w:eastAsia="宋体" w:cs="宋体"/>
                <w:b/>
                <w:bCs/>
                <w:sz w:val="24"/>
                <w:szCs w:val="24"/>
                <w:u w:val="none"/>
                <w:lang w:val="en-US" w:eastAsia="zh-CN"/>
              </w:rPr>
              <w:t>〕</w:t>
            </w:r>
            <w:r>
              <w:rPr>
                <w:rFonts w:hint="eastAsia" w:ascii="Times New Roman" w:hAnsi="Times New Roman" w:cs="Times New Roman"/>
                <w:b/>
                <w:bCs/>
                <w:sz w:val="24"/>
                <w:szCs w:val="24"/>
                <w:u w:val="none"/>
                <w:lang w:val="en-US" w:eastAsia="zh-CN"/>
              </w:rPr>
              <w:t>17号）相符性分析</w:t>
            </w:r>
          </w:p>
          <w:p w14:paraId="03D8A4A1">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表1-10  与许政〔2024〕17号相符性分析一览表</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2725"/>
              <w:gridCol w:w="2408"/>
              <w:gridCol w:w="890"/>
            </w:tblGrid>
            <w:tr w14:paraId="6B87C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17" w:type="dxa"/>
                  <w:gridSpan w:val="2"/>
                  <w:vAlign w:val="center"/>
                </w:tcPr>
                <w:p w14:paraId="03D5E8B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主要指标内容</w:t>
                  </w:r>
                </w:p>
              </w:tc>
              <w:tc>
                <w:tcPr>
                  <w:tcW w:w="2368" w:type="dxa"/>
                  <w:vAlign w:val="center"/>
                </w:tcPr>
                <w:p w14:paraId="2660038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本项目情况</w:t>
                  </w:r>
                </w:p>
              </w:tc>
              <w:tc>
                <w:tcPr>
                  <w:tcW w:w="875" w:type="dxa"/>
                  <w:vAlign w:val="center"/>
                </w:tcPr>
                <w:p w14:paraId="6DF4B1A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符合性</w:t>
                  </w:r>
                </w:p>
              </w:tc>
            </w:tr>
            <w:tr w14:paraId="2D9EA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7" w:type="dxa"/>
                  <w:vAlign w:val="center"/>
                </w:tcPr>
                <w:p w14:paraId="24CCB52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优化产业结构</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促进产业绿色发展</w:t>
                  </w:r>
                </w:p>
              </w:tc>
              <w:tc>
                <w:tcPr>
                  <w:tcW w:w="2680" w:type="dxa"/>
                  <w:vAlign w:val="center"/>
                </w:tcPr>
                <w:p w14:paraId="7992BAB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（一）坚决遏制“</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两高一低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项目盲目发展</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。严格落实国家</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和河南省</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两高</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项目相关要求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严禁新增钢铁产能</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（改、扩）</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建项目严格落实产业规划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产业政策</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生态环境分区管控方案</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规划环评</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项目环评</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节能审查</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产能置换</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重点污染物总量控制等相关要求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严格执行有关行业产能置换政策</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被置换产能及其配套设施关停后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（改、扩）建</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项目方可投产</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国家</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省绩效分级重点行业以及涉及锅炉</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炉窑的其他行业</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（改、扩）建项目</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原则上达到环境绩效</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A</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级或国内清洁生产先进水平</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推动高炉</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转炉长流程炼钢转型为电炉短流程炼钢</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淘汰落后煤炭洗选产能</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tc>
              <w:tc>
                <w:tcPr>
                  <w:tcW w:w="2368" w:type="dxa"/>
                  <w:vAlign w:val="center"/>
                </w:tcPr>
                <w:p w14:paraId="2E6DE14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不涉及“</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两高一低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项目</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仿宋_GB2312"/>
                      <w:sz w:val="21"/>
                      <w:szCs w:val="21"/>
                      <w:u w:val="none"/>
                      <w:lang w:val="en-US" w:eastAsia="zh-CN"/>
                    </w:rPr>
                    <w:t>项目</w:t>
                  </w:r>
                  <w:r>
                    <w:rPr>
                      <w:rFonts w:hint="eastAsia" w:ascii="Times New Roman" w:hAnsi="Times New Roman" w:cs="仿宋_GB2312"/>
                      <w:sz w:val="21"/>
                      <w:szCs w:val="21"/>
                      <w:u w:val="none"/>
                      <w:lang w:val="en-US" w:eastAsia="zh-CN"/>
                    </w:rPr>
                    <w:t>严格按照河南省和许昌市</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产业规划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产业政策</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建设，符合许昌市“三线一单”要求。项目产生废水污染物COD、氨氮和废气污染物非甲烷总烃进行总量控制。</w:t>
                  </w:r>
                  <w:r>
                    <w:rPr>
                      <w:rFonts w:hint="eastAsia" w:ascii="Times New Roman" w:hAnsi="Times New Roman" w:eastAsia="宋体" w:cs="仿宋_GB2312"/>
                      <w:sz w:val="21"/>
                      <w:szCs w:val="21"/>
                      <w:u w:val="none"/>
                      <w:lang w:val="en-US" w:eastAsia="zh-CN"/>
                    </w:rPr>
                    <w:t>项目为</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sz w:val="21"/>
                      <w:szCs w:val="21"/>
                      <w:u w:val="none"/>
                      <w:lang w:val="en-US" w:eastAsia="zh-CN"/>
                    </w:rPr>
                    <w:t>重点行业，</w:t>
                  </w:r>
                  <w:r>
                    <w:rPr>
                      <w:rFonts w:hint="eastAsia" w:ascii="Times New Roman" w:hAnsi="Times New Roman" w:cs="仿宋_GB2312"/>
                      <w:sz w:val="21"/>
                      <w:szCs w:val="21"/>
                      <w:u w:val="none"/>
                      <w:lang w:val="en-US" w:eastAsia="zh-CN"/>
                    </w:rPr>
                    <w:t>项目</w:t>
                  </w:r>
                  <w:r>
                    <w:rPr>
                      <w:rFonts w:hint="eastAsia" w:ascii="Times New Roman" w:hAnsi="Times New Roman" w:eastAsia="宋体" w:cs="仿宋_GB2312"/>
                      <w:sz w:val="21"/>
                      <w:szCs w:val="21"/>
                      <w:u w:val="none"/>
                      <w:lang w:val="en-US" w:eastAsia="zh-CN"/>
                    </w:rPr>
                    <w:t>建设严格执行技术指南A级企业</w:t>
                  </w:r>
                  <w:r>
                    <w:rPr>
                      <w:rFonts w:hint="eastAsia" w:ascii="Times New Roman" w:hAnsi="Times New Roman" w:cs="仿宋_GB2312"/>
                      <w:sz w:val="21"/>
                      <w:szCs w:val="21"/>
                      <w:u w:val="none"/>
                      <w:lang w:val="en-US" w:eastAsia="zh-CN"/>
                    </w:rPr>
                    <w:t>标准。</w:t>
                  </w:r>
                </w:p>
              </w:tc>
              <w:tc>
                <w:tcPr>
                  <w:tcW w:w="875" w:type="dxa"/>
                  <w:vAlign w:val="center"/>
                </w:tcPr>
                <w:p w14:paraId="3919D01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524B0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7" w:type="dxa"/>
                  <w:vMerge w:val="restart"/>
                  <w:vAlign w:val="center"/>
                </w:tcPr>
                <w:p w14:paraId="7F926C1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加强多污染物减排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切实降低排放强度</w:t>
                  </w:r>
                </w:p>
              </w:tc>
              <w:tc>
                <w:tcPr>
                  <w:tcW w:w="2680" w:type="dxa"/>
                  <w:vAlign w:val="center"/>
                </w:tcPr>
                <w:p w14:paraId="6AAA746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（一）</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实施低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VOCs</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含量原辅材料替代</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。鼓励引导企业生产</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和使用低VOCs含量涂料</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油墨</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胶粘剂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清洗剂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严格执行涂料</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油墨</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胶粘剂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清洗剂VOCs含量限值标准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建立多部门联合执法机制</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每年夏季对生产企业</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销售场所</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使用环节进行监督检查</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持续加大工业涂装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包装印刷等行业低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（无）</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VOCs含量原辅材料替代力度</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对全部完成原辅材料替代的企业纳入</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“白名单”</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管理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在重污染天气预警期间实施自主减排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室外构筑物防护和城市道路交通标志基本使用低</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（无）</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VOCs含量涂料</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tc>
              <w:tc>
                <w:tcPr>
                  <w:tcW w:w="2368" w:type="dxa"/>
                  <w:vAlign w:val="center"/>
                </w:tcPr>
                <w:p w14:paraId="6B5AF73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仿宋_GB2312"/>
                      <w:sz w:val="21"/>
                      <w:szCs w:val="21"/>
                      <w:u w:val="none"/>
                      <w:lang w:val="en-US" w:eastAsia="zh-CN"/>
                    </w:rPr>
                    <w:t>项目原料聚丙烯为固态、色母，常温下不挥发，袋装密闭储存，</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sz w:val="21"/>
                      <w:szCs w:val="21"/>
                      <w:u w:val="none"/>
                      <w:lang w:val="en-US" w:eastAsia="zh-CN"/>
                    </w:rPr>
                    <w:t>化妆颜料不使用时加盖密闭储存，符合要求。</w:t>
                  </w:r>
                </w:p>
              </w:tc>
              <w:tc>
                <w:tcPr>
                  <w:tcW w:w="875" w:type="dxa"/>
                  <w:vAlign w:val="center"/>
                </w:tcPr>
                <w:p w14:paraId="7BF6A26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65952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7" w:type="dxa"/>
                  <w:vMerge w:val="continue"/>
                  <w:vAlign w:val="center"/>
                </w:tcPr>
                <w:p w14:paraId="785EBED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p>
              </w:tc>
              <w:tc>
                <w:tcPr>
                  <w:tcW w:w="2680" w:type="dxa"/>
                  <w:vAlign w:val="center"/>
                </w:tcPr>
                <w:p w14:paraId="3C8D517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（二）</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加强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VOCs</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全流程</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全环节综合治理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。按照应收尽收、</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分质收集原则</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将无组织排放转变为有组织排放集中治理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以化工</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工业涂装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医药</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包装印刷等行业领域为重点</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安全高效推进挥发性有机物综合治理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分类推进储罐综合治理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装卸废气收集治理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敞开液面逸散废气治理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加油站油气综合治理</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有机废气收集处理设施升级改造等重点工程</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规范开展VOCs泄漏检测</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与修复工作，</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每年夏季开展储罐部件密封性检测</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襄城县先进制造业开发区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2024</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年年底前建立统一的泄漏检测与修复信息管理平台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2025年年底前</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挥发性有机液体储罐基本使用低泄漏的储罐呼吸阀</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紧急泄压阀</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汽车罐车基本使用自封式快速接头</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tc>
              <w:tc>
                <w:tcPr>
                  <w:tcW w:w="2368" w:type="dxa"/>
                  <w:vAlign w:val="center"/>
                </w:tcPr>
                <w:p w14:paraId="66D081C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项目</w:t>
                  </w:r>
                  <w:r>
                    <w:rPr>
                      <w:rFonts w:hint="eastAsia" w:ascii="Times New Roman" w:hAnsi="Times New Roman" w:cs="仿宋_GB2312"/>
                      <w:color w:val="000000" w:themeColor="text1"/>
                      <w:sz w:val="21"/>
                      <w:szCs w:val="21"/>
                      <w:u w:val="none"/>
                      <w:lang w:val="en-US" w:eastAsia="zh-CN"/>
                      <w14:textFill>
                        <w14:solidFill>
                          <w14:schemeClr w14:val="tx1"/>
                        </w14:solidFill>
                      </w14:textFill>
                    </w:rPr>
                    <w:t>吹塑车间二次密闭，废气集气罩收集，危废贮存库废气经负压收集，风机风量5000m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r>
                    <w:rPr>
                      <w:rFonts w:hint="eastAsia" w:ascii="Times New Roman" w:hAnsi="Times New Roman" w:cs="Times New Roman"/>
                      <w:color w:val="000000" w:themeColor="text1"/>
                      <w:sz w:val="21"/>
                      <w:szCs w:val="21"/>
                      <w:u w:val="none"/>
                      <w:lang w:val="en-US" w:eastAsia="zh-CN" w:bidi="zh-CN"/>
                      <w14:textFill>
                        <w14:solidFill>
                          <w14:schemeClr w14:val="tx1"/>
                        </w14:solidFill>
                      </w14:textFill>
                    </w:rPr>
                    <w:t>厂区不涉及VOCs储罐。含VOCs固态原料聚丙烯、色母均袋装密闭储存。</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color w:val="000000" w:themeColor="text1"/>
                      <w:sz w:val="21"/>
                      <w:szCs w:val="21"/>
                      <w:u w:val="none"/>
                      <w:lang w:val="en-US" w:eastAsia="zh-CN"/>
                      <w14:textFill>
                        <w14:solidFill>
                          <w14:schemeClr w14:val="tx1"/>
                        </w14:solidFill>
                      </w14:textFill>
                    </w:rPr>
                    <w:t>化妆颜料不使用时加盖密闭储存。</w:t>
                  </w:r>
                </w:p>
              </w:tc>
              <w:tc>
                <w:tcPr>
                  <w:tcW w:w="875" w:type="dxa"/>
                  <w:vAlign w:val="center"/>
                </w:tcPr>
                <w:p w14:paraId="48D19ED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r w14:paraId="7283D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7" w:type="dxa"/>
                  <w:vAlign w:val="center"/>
                </w:tcPr>
                <w:p w14:paraId="0FBA8A6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完善制度机制</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提升大气环境管理水平</w:t>
                  </w:r>
                </w:p>
              </w:tc>
              <w:tc>
                <w:tcPr>
                  <w:tcW w:w="2680" w:type="dxa"/>
                  <w:vAlign w:val="center"/>
                </w:tcPr>
                <w:p w14:paraId="37A9A76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（三）</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深入开展企业绿色化改造</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。按照《</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许昌市加快数字化转型推动制造业高端化智能化绿色化发展行动计划</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（2024-2025）</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年</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要求</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分行业建立企业绿色化改造培育清单</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加快培育一批绩效水平高</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行业带动强的绿色标杆企业</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支持钢铁</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铸造</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建材</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化工</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工业涂装</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包装印刷等重点行业企业通过设备更新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技术改造</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治理升级等措施提升环境绩效等级</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带动全市工业企业治理能力整体提升</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2025年年底前</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推动实现全市重点行业绩效分级B级及以上企业总数达到200家以上</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基本消除D级企业</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p>
              </w:tc>
              <w:tc>
                <w:tcPr>
                  <w:tcW w:w="2368" w:type="dxa"/>
                  <w:vAlign w:val="center"/>
                </w:tcPr>
                <w:p w14:paraId="1CED534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仿宋_GB2312"/>
                      <w:sz w:val="21"/>
                      <w:szCs w:val="21"/>
                      <w:u w:val="none"/>
                      <w:lang w:val="en-US" w:eastAsia="zh-CN"/>
                    </w:rPr>
                    <w:t>项目</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属于</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教学用模型及教具制造</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，为</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河南省重污染天气重点行业应急减排（2</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eastAsia="宋体" w:cs="仿宋_GB2312"/>
                      <w:sz w:val="21"/>
                      <w:szCs w:val="21"/>
                      <w:u w:val="none"/>
                      <w:lang w:val="en-US" w:eastAsia="zh-CN"/>
                    </w:rPr>
                    <w:t>重点行业，</w:t>
                  </w:r>
                  <w:r>
                    <w:rPr>
                      <w:rFonts w:hint="eastAsia" w:ascii="Times New Roman" w:hAnsi="Times New Roman" w:cs="仿宋_GB2312"/>
                      <w:sz w:val="21"/>
                      <w:szCs w:val="21"/>
                      <w:u w:val="none"/>
                      <w:lang w:val="en-US" w:eastAsia="zh-CN"/>
                    </w:rPr>
                    <w:t>项目</w:t>
                  </w:r>
                  <w:r>
                    <w:rPr>
                      <w:rFonts w:hint="eastAsia" w:ascii="Times New Roman" w:hAnsi="Times New Roman" w:eastAsia="宋体" w:cs="仿宋_GB2312"/>
                      <w:sz w:val="21"/>
                      <w:szCs w:val="21"/>
                      <w:u w:val="none"/>
                      <w:lang w:val="en-US" w:eastAsia="zh-CN"/>
                    </w:rPr>
                    <w:t>建设严格执行技术指南A级企业</w:t>
                  </w:r>
                  <w:r>
                    <w:rPr>
                      <w:rFonts w:hint="eastAsia" w:ascii="Times New Roman" w:hAnsi="Times New Roman" w:cs="仿宋_GB2312"/>
                      <w:sz w:val="21"/>
                      <w:szCs w:val="21"/>
                      <w:u w:val="none"/>
                      <w:lang w:val="en-US" w:eastAsia="zh-CN"/>
                    </w:rPr>
                    <w:t>标准。</w:t>
                  </w:r>
                </w:p>
              </w:tc>
              <w:tc>
                <w:tcPr>
                  <w:tcW w:w="875" w:type="dxa"/>
                  <w:vAlign w:val="center"/>
                </w:tcPr>
                <w:p w14:paraId="607E356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相符</w:t>
                  </w:r>
                </w:p>
              </w:tc>
            </w:tr>
          </w:tbl>
          <w:p w14:paraId="5E2204F5">
            <w:pPr>
              <w:widowControl/>
              <w:wordWrap/>
              <w:autoSpaceDE w:val="0"/>
              <w:autoSpaceDN w:val="0"/>
              <w:adjustRightInd/>
              <w:snapToGrid/>
              <w:spacing w:beforeAutospacing="0" w:afterAutospacing="0" w:line="520" w:lineRule="exact"/>
              <w:ind w:firstLine="482" w:firstLineChars="200"/>
              <w:jc w:val="both"/>
              <w:textAlignment w:val="auto"/>
              <w:rPr>
                <w:rFonts w:hint="default" w:ascii="Times New Roman" w:hAnsi="Times New Roman" w:cs="Times New Roman"/>
                <w:b/>
                <w:color w:val="000000" w:themeColor="text1"/>
                <w:kern w:val="2"/>
                <w:sz w:val="24"/>
                <w:szCs w:val="24"/>
                <w:u w:val="none" w:color="auto"/>
                <w:lang w:val="en-US" w:eastAsia="zh-CN"/>
                <w14:textFill>
                  <w14:solidFill>
                    <w14:schemeClr w14:val="tx1"/>
                  </w14:solidFill>
                </w14:textFill>
              </w:rPr>
            </w:pPr>
            <w:r>
              <w:rPr>
                <w:rFonts w:hint="eastAsia" w:ascii="Times New Roman" w:hAnsi="Times New Roman"/>
                <w:b/>
                <w:bCs/>
                <w:color w:val="000000" w:themeColor="text1"/>
                <w:sz w:val="24"/>
                <w:szCs w:val="24"/>
                <w:lang w:val="en-US" w:eastAsia="zh-CN"/>
                <w14:textFill>
                  <w14:solidFill>
                    <w14:schemeClr w14:val="tx1"/>
                  </w14:solidFill>
                </w14:textFill>
              </w:rPr>
              <w:t>8</w:t>
            </w:r>
            <w:r>
              <w:rPr>
                <w:rFonts w:hint="eastAsia" w:ascii="Times New Roman" w:hAnsi="Times New Roman"/>
                <w:b/>
                <w:bCs/>
                <w:color w:val="000000" w:themeColor="text1"/>
                <w:sz w:val="24"/>
                <w:szCs w:val="24"/>
                <w:lang w:val="en-US"/>
                <w14:textFill>
                  <w14:solidFill>
                    <w14:schemeClr w14:val="tx1"/>
                  </w14:solidFill>
                </w14:textFill>
              </w:rPr>
              <w:t>、</w:t>
            </w:r>
            <w:r>
              <w:rPr>
                <w:rFonts w:hint="eastAsia" w:ascii="Times New Roman" w:hAnsi="Times New Roman"/>
                <w:b/>
                <w:bCs/>
                <w:color w:val="000000" w:themeColor="text1"/>
                <w:sz w:val="24"/>
                <w:szCs w:val="24"/>
                <w:lang w:val="en-US" w:eastAsia="zh-CN"/>
                <w14:textFill>
                  <w14:solidFill>
                    <w14:schemeClr w14:val="tx1"/>
                  </w14:solidFill>
                </w14:textFill>
              </w:rPr>
              <w:t>项目与</w:t>
            </w:r>
            <w:r>
              <w:rPr>
                <w:rFonts w:hint="eastAsia" w:ascii="Times New Roman" w:hAnsi="Times New Roman" w:cs="Times New Roman"/>
                <w:b/>
                <w:color w:val="000000" w:themeColor="text1"/>
                <w:kern w:val="2"/>
                <w:sz w:val="24"/>
                <w:szCs w:val="24"/>
                <w:u w:val="none" w:color="auto"/>
                <w:lang w:val="en-US" w:eastAsia="zh-CN"/>
                <w14:textFill>
                  <w14:solidFill>
                    <w14:schemeClr w14:val="tx1"/>
                  </w14:solidFill>
                </w14:textFill>
              </w:rPr>
              <w:t>《魏都区2025年大气污染防治标本兼治实施方案》（许魏环专办﹝2025﹞9号）</w:t>
            </w:r>
            <w:r>
              <w:rPr>
                <w:rFonts w:hint="default" w:ascii="Times New Roman" w:hAnsi="Times New Roman" w:cs="Times New Roman"/>
                <w:b/>
                <w:color w:val="000000" w:themeColor="text1"/>
                <w:kern w:val="2"/>
                <w:sz w:val="24"/>
                <w:szCs w:val="24"/>
                <w:u w:val="none" w:color="auto"/>
                <w:lang w:val="en-US" w:eastAsia="zh-CN"/>
                <w14:textFill>
                  <w14:solidFill>
                    <w14:schemeClr w14:val="tx1"/>
                  </w14:solidFill>
                </w14:textFill>
              </w:rPr>
              <w:t>符合性分析</w:t>
            </w:r>
          </w:p>
          <w:p w14:paraId="49C5E6A0">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表1-11  与许魏环专办﹝2025﹞9号相符性分析一览表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3677"/>
              <w:gridCol w:w="2040"/>
              <w:gridCol w:w="678"/>
            </w:tblGrid>
            <w:tr w14:paraId="5BD39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65" w:type="dxa"/>
                  <w:gridSpan w:val="2"/>
                  <w:vAlign w:val="center"/>
                </w:tcPr>
                <w:p w14:paraId="4127BDA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主要任务</w:t>
                  </w:r>
                </w:p>
              </w:tc>
              <w:tc>
                <w:tcPr>
                  <w:tcW w:w="2040" w:type="dxa"/>
                  <w:vAlign w:val="center"/>
                </w:tcPr>
                <w:p w14:paraId="465B5C4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本项目情况</w:t>
                  </w:r>
                </w:p>
              </w:tc>
              <w:tc>
                <w:tcPr>
                  <w:tcW w:w="678" w:type="dxa"/>
                  <w:vAlign w:val="center"/>
                </w:tcPr>
                <w:p w14:paraId="2C10DD5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1"/>
                      <w:szCs w:val="21"/>
                      <w:u w:val="none" w:color="auto"/>
                      <w:lang w:val="en-US" w:eastAsia="zh-CN"/>
                      <w14:textFill>
                        <w14:solidFill>
                          <w14:schemeClr w14:val="tx1"/>
                        </w14:solidFill>
                      </w14:textFill>
                    </w:rPr>
                    <w:t>符合性</w:t>
                  </w:r>
                </w:p>
              </w:tc>
            </w:tr>
            <w:tr w14:paraId="73617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19615D5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（一）开展结构优化升级专项攻坚行动</w:t>
                  </w:r>
                </w:p>
              </w:tc>
              <w:tc>
                <w:tcPr>
                  <w:tcW w:w="3677" w:type="dxa"/>
                  <w:vAlign w:val="center"/>
                </w:tcPr>
                <w:p w14:paraId="5345420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kern w:val="0"/>
                      <w:sz w:val="21"/>
                      <w:szCs w:val="21"/>
                      <w:lang w:val="en-US" w:eastAsia="zh-CN" w:bidi="ar"/>
                    </w:rPr>
                    <w:t>1.</w:t>
                  </w:r>
                  <w:r>
                    <w:rPr>
                      <w:rFonts w:hint="default" w:ascii="Times New Roman" w:hAnsi="Times New Roman" w:eastAsia="宋体" w:cs="仿宋"/>
                      <w:b/>
                      <w:bCs/>
                      <w:color w:val="000000"/>
                      <w:kern w:val="0"/>
                      <w:sz w:val="21"/>
                      <w:szCs w:val="21"/>
                      <w:lang w:val="en-US" w:eastAsia="zh-CN" w:bidi="ar"/>
                    </w:rPr>
                    <w:t>依法依规淘汰落后低效产能。</w:t>
                  </w:r>
                  <w:r>
                    <w:rPr>
                      <w:rFonts w:hint="default" w:ascii="Times New Roman" w:hAnsi="Times New Roman" w:eastAsia="宋体" w:cs="Times New Roman"/>
                      <w:color w:val="000000"/>
                      <w:kern w:val="0"/>
                      <w:sz w:val="21"/>
                      <w:szCs w:val="21"/>
                      <w:lang w:val="en-US" w:eastAsia="zh-CN" w:bidi="ar"/>
                    </w:rPr>
                    <w:t>2025</w:t>
                  </w:r>
                  <w:r>
                    <w:rPr>
                      <w:rFonts w:hint="eastAsia" w:ascii="Times New Roman" w:hAnsi="Times New Roman" w:eastAsia="宋体" w:cs="仿宋"/>
                      <w:color w:val="000000"/>
                      <w:kern w:val="0"/>
                      <w:sz w:val="21"/>
                      <w:szCs w:val="21"/>
                      <w:lang w:val="en-US" w:eastAsia="zh-CN" w:bidi="ar"/>
                    </w:rPr>
                    <w:t>年</w:t>
                  </w:r>
                  <w:r>
                    <w:rPr>
                      <w:rFonts w:hint="default" w:ascii="Times New Roman" w:hAnsi="Times New Roman" w:eastAsia="宋体" w:cs="Times New Roman"/>
                      <w:color w:val="000000"/>
                      <w:kern w:val="0"/>
                      <w:sz w:val="21"/>
                      <w:szCs w:val="21"/>
                      <w:lang w:val="en-US" w:eastAsia="zh-CN" w:bidi="ar"/>
                    </w:rPr>
                    <w:t>4</w:t>
                  </w:r>
                  <w:r>
                    <w:rPr>
                      <w:rFonts w:hint="eastAsia" w:ascii="Times New Roman" w:hAnsi="Times New Roman" w:eastAsia="宋体" w:cs="仿宋"/>
                      <w:color w:val="000000"/>
                      <w:kern w:val="0"/>
                      <w:sz w:val="21"/>
                      <w:szCs w:val="21"/>
                      <w:lang w:val="en-US" w:eastAsia="zh-CN" w:bidi="ar"/>
                    </w:rPr>
                    <w:t>月</w:t>
                  </w:r>
                  <w:r>
                    <w:rPr>
                      <w:rFonts w:hint="default" w:ascii="Times New Roman" w:hAnsi="Times New Roman" w:eastAsia="宋体" w:cs="Times New Roman"/>
                      <w:color w:val="000000"/>
                      <w:kern w:val="0"/>
                      <w:sz w:val="21"/>
                      <w:szCs w:val="21"/>
                      <w:lang w:val="en-US" w:eastAsia="zh-CN" w:bidi="ar"/>
                    </w:rPr>
                    <w:t>10</w:t>
                  </w:r>
                  <w:r>
                    <w:rPr>
                      <w:rFonts w:hint="eastAsia" w:ascii="Times New Roman" w:hAnsi="Times New Roman" w:eastAsia="宋体" w:cs="仿宋"/>
                      <w:color w:val="000000"/>
                      <w:kern w:val="0"/>
                      <w:sz w:val="21"/>
                      <w:szCs w:val="21"/>
                      <w:lang w:val="en-US" w:eastAsia="zh-CN" w:bidi="ar"/>
                    </w:rPr>
                    <w:t>日前，区工信局牵头制定全区年度落后产能淘汰退出工作方案并组织实施。严格落实《产业结构调整指导目录（</w:t>
                  </w:r>
                  <w:r>
                    <w:rPr>
                      <w:rFonts w:hint="default" w:ascii="Times New Roman" w:hAnsi="Times New Roman" w:eastAsia="宋体" w:cs="Times New Roman"/>
                      <w:color w:val="000000"/>
                      <w:kern w:val="0"/>
                      <w:sz w:val="21"/>
                      <w:szCs w:val="21"/>
                      <w:lang w:val="en-US" w:eastAsia="zh-CN" w:bidi="ar"/>
                    </w:rPr>
                    <w:t>2024</w:t>
                  </w:r>
                  <w:r>
                    <w:rPr>
                      <w:rFonts w:hint="eastAsia" w:ascii="Times New Roman" w:hAnsi="Times New Roman" w:eastAsia="宋体" w:cs="仿宋"/>
                      <w:color w:val="000000"/>
                      <w:kern w:val="0"/>
                      <w:sz w:val="21"/>
                      <w:szCs w:val="21"/>
                      <w:lang w:val="en-US" w:eastAsia="zh-CN" w:bidi="ar"/>
                    </w:rPr>
                    <w:t>年本）》《河南省淘汰落后产能综合标准体系（</w:t>
                  </w:r>
                  <w:r>
                    <w:rPr>
                      <w:rFonts w:hint="default" w:ascii="Times New Roman" w:hAnsi="Times New Roman" w:eastAsia="宋体" w:cs="Times New Roman"/>
                      <w:color w:val="000000"/>
                      <w:kern w:val="0"/>
                      <w:sz w:val="21"/>
                      <w:szCs w:val="21"/>
                      <w:lang w:val="en-US" w:eastAsia="zh-CN" w:bidi="ar"/>
                    </w:rPr>
                    <w:t>2023</w:t>
                  </w:r>
                  <w:r>
                    <w:rPr>
                      <w:rFonts w:hint="eastAsia" w:ascii="Times New Roman" w:hAnsi="Times New Roman" w:eastAsia="宋体" w:cs="仿宋"/>
                      <w:color w:val="000000"/>
                      <w:kern w:val="0"/>
                      <w:sz w:val="21"/>
                      <w:szCs w:val="21"/>
                      <w:lang w:val="en-US" w:eastAsia="zh-CN" w:bidi="ar"/>
                    </w:rPr>
                    <w:t>年本）》要求，于</w:t>
                  </w:r>
                  <w:r>
                    <w:rPr>
                      <w:rFonts w:hint="default" w:ascii="Times New Roman" w:hAnsi="Times New Roman" w:eastAsia="宋体" w:cs="Times New Roman"/>
                      <w:color w:val="000000"/>
                      <w:kern w:val="0"/>
                      <w:sz w:val="21"/>
                      <w:szCs w:val="21"/>
                      <w:lang w:val="en-US" w:eastAsia="zh-CN" w:bidi="ar"/>
                    </w:rPr>
                    <w:t>2025</w:t>
                  </w:r>
                  <w:r>
                    <w:rPr>
                      <w:rFonts w:hint="eastAsia" w:ascii="Times New Roman" w:hAnsi="Times New Roman" w:eastAsia="宋体" w:cs="仿宋"/>
                      <w:color w:val="000000"/>
                      <w:kern w:val="0"/>
                      <w:sz w:val="21"/>
                      <w:szCs w:val="21"/>
                      <w:lang w:val="en-US" w:eastAsia="zh-CN" w:bidi="ar"/>
                    </w:rPr>
                    <w:t>年</w:t>
                  </w:r>
                  <w:r>
                    <w:rPr>
                      <w:rFonts w:hint="default" w:ascii="Times New Roman" w:hAnsi="Times New Roman" w:eastAsia="宋体" w:cs="Times New Roman"/>
                      <w:color w:val="000000"/>
                      <w:kern w:val="0"/>
                      <w:sz w:val="21"/>
                      <w:szCs w:val="21"/>
                      <w:lang w:val="en-US" w:eastAsia="zh-CN" w:bidi="ar"/>
                    </w:rPr>
                    <w:t>4</w:t>
                  </w:r>
                  <w:r>
                    <w:rPr>
                      <w:rFonts w:hint="eastAsia" w:ascii="Times New Roman" w:hAnsi="Times New Roman" w:eastAsia="宋体" w:cs="仿宋"/>
                      <w:color w:val="000000"/>
                      <w:kern w:val="0"/>
                      <w:sz w:val="21"/>
                      <w:szCs w:val="21"/>
                      <w:lang w:val="en-US" w:eastAsia="zh-CN" w:bidi="ar"/>
                    </w:rPr>
                    <w:t>月底前全面完成淘汰类工艺技术装备排查，建立淘汰退出任务台账，</w:t>
                  </w:r>
                  <w:r>
                    <w:rPr>
                      <w:rFonts w:hint="default" w:ascii="Times New Roman" w:hAnsi="Times New Roman" w:eastAsia="宋体" w:cs="Times New Roman"/>
                      <w:color w:val="000000"/>
                      <w:kern w:val="0"/>
                      <w:sz w:val="21"/>
                      <w:szCs w:val="21"/>
                      <w:lang w:val="en-US" w:eastAsia="zh-CN" w:bidi="ar"/>
                    </w:rPr>
                    <w:t>2025</w:t>
                  </w:r>
                  <w:r>
                    <w:rPr>
                      <w:rFonts w:hint="eastAsia" w:ascii="Times New Roman" w:hAnsi="Times New Roman" w:eastAsia="宋体" w:cs="仿宋"/>
                      <w:color w:val="000000"/>
                      <w:kern w:val="0"/>
                      <w:sz w:val="21"/>
                      <w:szCs w:val="21"/>
                      <w:lang w:val="en-US" w:eastAsia="zh-CN" w:bidi="ar"/>
                    </w:rPr>
                    <w:t>年</w:t>
                  </w:r>
                  <w:r>
                    <w:rPr>
                      <w:rFonts w:hint="default" w:ascii="Times New Roman" w:hAnsi="Times New Roman" w:eastAsia="宋体" w:cs="Times New Roman"/>
                      <w:color w:val="000000"/>
                      <w:kern w:val="0"/>
                      <w:sz w:val="21"/>
                      <w:szCs w:val="21"/>
                      <w:lang w:val="en-US" w:eastAsia="zh-CN" w:bidi="ar"/>
                    </w:rPr>
                    <w:t>9</w:t>
                  </w:r>
                  <w:r>
                    <w:rPr>
                      <w:rFonts w:hint="eastAsia" w:ascii="Times New Roman" w:hAnsi="Times New Roman" w:eastAsia="宋体" w:cs="仿宋"/>
                      <w:color w:val="000000"/>
                      <w:kern w:val="0"/>
                      <w:sz w:val="21"/>
                      <w:szCs w:val="21"/>
                      <w:lang w:val="en-US" w:eastAsia="zh-CN" w:bidi="ar"/>
                    </w:rPr>
                    <w:t>月底前全部依法淘汰到位，逾期未淘汰到位的依法依规实施停产整治。全区严禁审批、核准限制类建设项目，严禁新改扩建烧结砖瓦项目，引导限制类产能按照符合行业发展规划和产业政策要求，进行升级改造或整合退出。</w:t>
                  </w:r>
                </w:p>
              </w:tc>
              <w:tc>
                <w:tcPr>
                  <w:tcW w:w="2040" w:type="dxa"/>
                  <w:vAlign w:val="center"/>
                </w:tcPr>
                <w:p w14:paraId="6FC6084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仿宋"/>
                      <w:color w:val="000000"/>
                      <w:kern w:val="0"/>
                      <w:sz w:val="21"/>
                      <w:szCs w:val="21"/>
                      <w:lang w:val="en-US" w:eastAsia="zh-CN" w:bidi="ar"/>
                    </w:rPr>
                    <w:t>本项目属于教学用模型及教具制造，根据《产业结构调整指导目录（2024年本）》，本项目不属于限制类和淘汰类；本项目的生产设备不属于《产业结构调整指导目录（2024年本）》中落后工艺设备，符合国家产业政策。</w:t>
                  </w:r>
                </w:p>
              </w:tc>
              <w:tc>
                <w:tcPr>
                  <w:tcW w:w="678" w:type="dxa"/>
                  <w:vAlign w:val="center"/>
                </w:tcPr>
                <w:p w14:paraId="40BC66B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r w14:paraId="23754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529F3C6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（二）开展工业企业提标治理专项攻坚行动</w:t>
                  </w:r>
                </w:p>
              </w:tc>
              <w:tc>
                <w:tcPr>
                  <w:tcW w:w="3677" w:type="dxa"/>
                  <w:vAlign w:val="center"/>
                </w:tcPr>
                <w:p w14:paraId="1ECBC8E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5.</w:t>
                  </w:r>
                  <w:r>
                    <w:rPr>
                      <w:rFonts w:hint="default" w:ascii="Times New Roman" w:hAnsi="Times New Roman" w:eastAsia="宋体" w:cs="仿宋"/>
                      <w:b/>
                      <w:bCs/>
                      <w:color w:val="000000" w:themeColor="text1"/>
                      <w:kern w:val="0"/>
                      <w:sz w:val="21"/>
                      <w:szCs w:val="21"/>
                      <w:lang w:val="en-US" w:eastAsia="zh-CN" w:bidi="ar"/>
                      <w14:textFill>
                        <w14:solidFill>
                          <w14:schemeClr w14:val="tx1"/>
                        </w14:solidFill>
                      </w14:textFill>
                    </w:rPr>
                    <w:t>实施挥发性有机物综合治理。</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2025</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10</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日前，对涉</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VOCs</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企业废气密闭收集能力进行全面排查和实测，对达不到标准要求的纳入年度重点治理任务并于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月底前完成整改提升；对已实施低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VOCs</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源头替代的企业开展全面核查，对未采用低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VOCs</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原辅料替代的企业于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月底前完成源头替代；对采用活性炭吸附工艺的企业开展现场检查，对不满足要求的企业建立台账，于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r>
                    <w:rPr>
                      <w:rFonts w:hint="eastAsia" w:ascii="Times New Roman" w:hAnsi="Times New Roman" w:eastAsia="宋体" w:cs="仿宋"/>
                      <w:color w:val="000000" w:themeColor="text1"/>
                      <w:kern w:val="0"/>
                      <w:sz w:val="21"/>
                      <w:szCs w:val="21"/>
                      <w:lang w:val="en-US" w:eastAsia="zh-CN" w:bidi="ar"/>
                      <w14:textFill>
                        <w14:solidFill>
                          <w14:schemeClr w14:val="tx1"/>
                        </w14:solidFill>
                      </w14:textFill>
                    </w:rPr>
                    <w:t>月底前整改到位。对逾期未完成整治的企业依法依规予以查处。</w:t>
                  </w:r>
                </w:p>
              </w:tc>
              <w:tc>
                <w:tcPr>
                  <w:tcW w:w="2040" w:type="dxa"/>
                  <w:vAlign w:val="center"/>
                </w:tcPr>
                <w:p w14:paraId="37A1DD7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生产原料聚丙烯、色母、</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化妆颜料</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有机物含量较低，符合要求，符合</w:t>
                  </w:r>
                  <w:r>
                    <w:rPr>
                      <w:rFonts w:hint="default"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低VOCs含量原辅材料源头替代</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的要求。</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厂区</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生产涉及VOCs物料为</w:t>
                  </w:r>
                  <w:r>
                    <w:rPr>
                      <w:rFonts w:hint="eastAsia" w:ascii="Times New Roman" w:hAnsi="Times New Roman" w:cs="仿宋_GB2312"/>
                      <w:b w:val="0"/>
                      <w:bCs/>
                      <w:color w:val="000000" w:themeColor="text1"/>
                      <w:sz w:val="21"/>
                      <w:szCs w:val="21"/>
                      <w:u w:val="none" w:color="auto"/>
                      <w:shd w:val="clear" w:color="auto" w:fill="FFFFFF"/>
                      <w:lang w:val="en-US" w:eastAsia="zh-CN" w:bidi="zh-CN"/>
                      <w14:textFill>
                        <w14:solidFill>
                          <w14:schemeClr w14:val="tx1"/>
                        </w14:solidFill>
                      </w14:textFill>
                    </w:rPr>
                    <w:t>聚丙烯、色母，袋装</w:t>
                  </w:r>
                  <w:r>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t>密闭储存于原料库，在非取用状态时封口，保持密闭。</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color w:val="000000" w:themeColor="text1"/>
                      <w:sz w:val="21"/>
                      <w:szCs w:val="21"/>
                      <w:u w:val="none"/>
                      <w:lang w:val="en-US" w:eastAsia="zh-CN"/>
                      <w14:textFill>
                        <w14:solidFill>
                          <w14:schemeClr w14:val="tx1"/>
                        </w14:solidFill>
                      </w14:textFill>
                    </w:rPr>
                    <w:t>化妆颜料不使用时加盖密闭储存。</w:t>
                  </w:r>
                  <w:r>
                    <w:rPr>
                      <w:rFonts w:hint="eastAsia" w:ascii="Times New Roman" w:hAnsi="Times New Roman" w:cs="Times New Roman"/>
                      <w:color w:val="000000" w:themeColor="text1"/>
                      <w:sz w:val="21"/>
                      <w:szCs w:val="21"/>
                      <w:u w:val="none" w:color="auto"/>
                      <w:lang w:val="en-US" w:eastAsia="zh-CN" w:bidi="zh-CN"/>
                      <w14:textFill>
                        <w14:solidFill>
                          <w14:schemeClr w14:val="tx1"/>
                        </w14:solidFill>
                      </w14:textFill>
                    </w:rPr>
                    <w:t>项目</w:t>
                  </w:r>
                  <w:r>
                    <w:rPr>
                      <w:rFonts w:hint="eastAsia" w:ascii="Times New Roman" w:hAnsi="Times New Roman" w:cs="仿宋_GB2312"/>
                      <w:color w:val="000000" w:themeColor="text1"/>
                      <w:sz w:val="21"/>
                      <w:szCs w:val="21"/>
                      <w:u w:val="none"/>
                      <w:lang w:val="en-US" w:eastAsia="zh-CN"/>
                      <w14:textFill>
                        <w14:solidFill>
                          <w14:schemeClr w14:val="tx1"/>
                        </w14:solidFill>
                      </w14:textFill>
                    </w:rPr>
                    <w:t>吹塑车间二次密闭，废气集气罩收集，危废贮存库废气经负压收集，风机风量5000m</w:t>
                  </w:r>
                  <w:r>
                    <w:rPr>
                      <w:rFonts w:hint="eastAsia" w:ascii="Times New Roman" w:hAnsi="Times New Roman"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企业活性炭装填量、更换周期实施编码登记，</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做到</w:t>
                  </w: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全过程可回溯管理</w:t>
                  </w:r>
                  <w:r>
                    <w:rPr>
                      <w:rFonts w:hint="eastAsia" w:ascii="Times New Roman" w:hAnsi="Times New Roman" w:cs="Times New Roman"/>
                      <w:b w:val="0"/>
                      <w:bCs/>
                      <w:color w:val="000000" w:themeColor="text1"/>
                      <w:kern w:val="2"/>
                      <w:sz w:val="21"/>
                      <w:szCs w:val="21"/>
                      <w:u w:val="none" w:color="auto"/>
                      <w:lang w:val="en-US" w:eastAsia="zh-CN"/>
                      <w14:textFill>
                        <w14:solidFill>
                          <w14:schemeClr w14:val="tx1"/>
                        </w14:solidFill>
                      </w14:textFill>
                    </w:rPr>
                    <w:t>。</w:t>
                  </w:r>
                </w:p>
              </w:tc>
              <w:tc>
                <w:tcPr>
                  <w:tcW w:w="678" w:type="dxa"/>
                  <w:vAlign w:val="center"/>
                </w:tcPr>
                <w:p w14:paraId="76654E0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p>
              </w:tc>
            </w:tr>
            <w:tr w14:paraId="7716B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vAlign w:val="center"/>
                </w:tcPr>
                <w:p w14:paraId="2E2D42D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left"/>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楷体"/>
                      <w:b/>
                      <w:bCs/>
                      <w:color w:val="000000"/>
                      <w:kern w:val="0"/>
                      <w:sz w:val="21"/>
                      <w:szCs w:val="21"/>
                      <w:lang w:val="en-US" w:eastAsia="zh-CN" w:bidi="ar"/>
                    </w:rPr>
                    <w:t>（七）开展重污染天气应对专项攻坚行动</w:t>
                  </w:r>
                </w:p>
              </w:tc>
              <w:tc>
                <w:tcPr>
                  <w:tcW w:w="3677" w:type="dxa"/>
                  <w:vAlign w:val="center"/>
                </w:tcPr>
                <w:p w14:paraId="048C4536">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kern w:val="0"/>
                      <w:sz w:val="21"/>
                      <w:szCs w:val="21"/>
                      <w:lang w:val="en-US" w:eastAsia="zh-CN" w:bidi="ar"/>
                    </w:rPr>
                    <w:t>23.</w:t>
                  </w:r>
                  <w:r>
                    <w:rPr>
                      <w:rFonts w:hint="default" w:ascii="Times New Roman" w:hAnsi="Times New Roman" w:eastAsia="宋体" w:cs="仿宋"/>
                      <w:b/>
                      <w:bCs/>
                      <w:color w:val="000000"/>
                      <w:kern w:val="0"/>
                      <w:sz w:val="21"/>
                      <w:szCs w:val="21"/>
                      <w:lang w:val="en-US" w:eastAsia="zh-CN" w:bidi="ar"/>
                    </w:rPr>
                    <w:t>开展企业环保绩效提升行动。</w:t>
                  </w:r>
                  <w:r>
                    <w:rPr>
                      <w:rFonts w:hint="default" w:ascii="Times New Roman" w:hAnsi="Times New Roman" w:eastAsia="宋体" w:cs="Times New Roman"/>
                      <w:color w:val="000000"/>
                      <w:kern w:val="0"/>
                      <w:sz w:val="21"/>
                      <w:szCs w:val="21"/>
                      <w:lang w:val="en-US" w:eastAsia="zh-CN" w:bidi="ar"/>
                    </w:rPr>
                    <w:t>2025</w:t>
                  </w:r>
                  <w:r>
                    <w:rPr>
                      <w:rFonts w:hint="eastAsia" w:ascii="Times New Roman" w:hAnsi="Times New Roman" w:eastAsia="宋体" w:cs="仿宋"/>
                      <w:color w:val="000000"/>
                      <w:kern w:val="0"/>
                      <w:sz w:val="21"/>
                      <w:szCs w:val="21"/>
                      <w:lang w:val="en-US" w:eastAsia="zh-CN" w:bidi="ar"/>
                    </w:rPr>
                    <w:t>年</w:t>
                  </w:r>
                  <w:r>
                    <w:rPr>
                      <w:rFonts w:hint="default" w:ascii="Times New Roman" w:hAnsi="Times New Roman" w:eastAsia="宋体" w:cs="Times New Roman"/>
                      <w:color w:val="000000"/>
                      <w:kern w:val="0"/>
                      <w:sz w:val="21"/>
                      <w:szCs w:val="21"/>
                      <w:lang w:val="en-US" w:eastAsia="zh-CN" w:bidi="ar"/>
                    </w:rPr>
                    <w:t>4</w:t>
                  </w:r>
                  <w:r>
                    <w:rPr>
                      <w:rFonts w:hint="eastAsia" w:ascii="Times New Roman" w:hAnsi="Times New Roman" w:eastAsia="宋体" w:cs="仿宋"/>
                      <w:color w:val="000000"/>
                      <w:kern w:val="0"/>
                      <w:sz w:val="21"/>
                      <w:szCs w:val="21"/>
                      <w:lang w:val="en-US" w:eastAsia="zh-CN" w:bidi="ar"/>
                    </w:rPr>
                    <w:t>月</w:t>
                  </w:r>
                  <w:r>
                    <w:rPr>
                      <w:rFonts w:hint="default" w:ascii="Times New Roman" w:hAnsi="Times New Roman" w:eastAsia="宋体" w:cs="Times New Roman"/>
                      <w:color w:val="000000"/>
                      <w:kern w:val="0"/>
                      <w:sz w:val="21"/>
                      <w:szCs w:val="21"/>
                      <w:lang w:val="en-US" w:eastAsia="zh-CN" w:bidi="ar"/>
                    </w:rPr>
                    <w:t>10</w:t>
                  </w:r>
                  <w:r>
                    <w:rPr>
                      <w:rFonts w:hint="eastAsia" w:ascii="Times New Roman" w:hAnsi="Times New Roman" w:eastAsia="宋体" w:cs="仿宋"/>
                      <w:color w:val="000000"/>
                      <w:kern w:val="0"/>
                      <w:sz w:val="21"/>
                      <w:szCs w:val="21"/>
                      <w:lang w:val="en-US" w:eastAsia="zh-CN" w:bidi="ar"/>
                    </w:rPr>
                    <w:t>日前，聚焦铸造、工业涂装、包装印刷等主要涉气行业，以规上企业为重点，结合传统产业集群整治、超低排放改造、企业深度治理等领域，全面开展摸底排查，确定不少于</w:t>
                  </w:r>
                  <w:r>
                    <w:rPr>
                      <w:rFonts w:hint="default" w:ascii="Times New Roman" w:hAnsi="Times New Roman" w:eastAsia="宋体" w:cs="Times New Roman"/>
                      <w:color w:val="000000"/>
                      <w:kern w:val="0"/>
                      <w:sz w:val="21"/>
                      <w:szCs w:val="21"/>
                      <w:lang w:val="en-US" w:eastAsia="zh-CN" w:bidi="ar"/>
                    </w:rPr>
                    <w:t>6</w:t>
                  </w:r>
                  <w:r>
                    <w:rPr>
                      <w:rFonts w:hint="eastAsia" w:ascii="Times New Roman" w:hAnsi="Times New Roman" w:eastAsia="宋体" w:cs="仿宋"/>
                      <w:color w:val="000000"/>
                      <w:kern w:val="0"/>
                      <w:sz w:val="21"/>
                      <w:szCs w:val="21"/>
                      <w:lang w:val="en-US" w:eastAsia="zh-CN" w:bidi="ar"/>
                    </w:rPr>
                    <w:t>家的绿色化改造培育对象；指导企业通过实施设备更新、技术改造、治理升级，提升现有环保绩效等级，</w:t>
                  </w:r>
                  <w:r>
                    <w:rPr>
                      <w:rFonts w:hint="default" w:ascii="Times New Roman" w:hAnsi="Times New Roman" w:eastAsia="宋体" w:cs="Times New Roman"/>
                      <w:color w:val="000000"/>
                      <w:kern w:val="0"/>
                      <w:sz w:val="21"/>
                      <w:szCs w:val="21"/>
                      <w:lang w:val="en-US" w:eastAsia="zh-CN" w:bidi="ar"/>
                    </w:rPr>
                    <w:t>2025</w:t>
                  </w:r>
                  <w:r>
                    <w:rPr>
                      <w:rFonts w:hint="eastAsia" w:ascii="Times New Roman" w:hAnsi="Times New Roman" w:eastAsia="宋体" w:cs="仿宋"/>
                      <w:color w:val="000000"/>
                      <w:kern w:val="0"/>
                      <w:sz w:val="21"/>
                      <w:szCs w:val="21"/>
                      <w:lang w:val="en-US" w:eastAsia="zh-CN" w:bidi="ar"/>
                    </w:rPr>
                    <w:t>年力争新增</w:t>
                  </w:r>
                  <w:r>
                    <w:rPr>
                      <w:rFonts w:hint="default" w:ascii="Times New Roman" w:hAnsi="Times New Roman" w:eastAsia="宋体" w:cs="Times New Roman"/>
                      <w:color w:val="000000"/>
                      <w:kern w:val="0"/>
                      <w:sz w:val="21"/>
                      <w:szCs w:val="21"/>
                      <w:lang w:val="en-US" w:eastAsia="zh-CN" w:bidi="ar"/>
                    </w:rPr>
                    <w:t>B</w:t>
                  </w:r>
                  <w:r>
                    <w:rPr>
                      <w:rFonts w:hint="eastAsia" w:ascii="Times New Roman" w:hAnsi="Times New Roman" w:eastAsia="宋体" w:cs="仿宋"/>
                      <w:color w:val="000000"/>
                      <w:kern w:val="0"/>
                      <w:sz w:val="21"/>
                      <w:szCs w:val="21"/>
                      <w:lang w:val="en-US" w:eastAsia="zh-CN" w:bidi="ar"/>
                    </w:rPr>
                    <w:t>级及以上企业</w:t>
                  </w:r>
                  <w:r>
                    <w:rPr>
                      <w:rFonts w:hint="default" w:ascii="Times New Roman" w:hAnsi="Times New Roman" w:eastAsia="宋体" w:cs="Calibri"/>
                      <w:color w:val="000000"/>
                      <w:kern w:val="0"/>
                      <w:sz w:val="21"/>
                      <w:szCs w:val="21"/>
                      <w:lang w:val="en-US" w:eastAsia="zh-CN" w:bidi="ar"/>
                    </w:rPr>
                    <w:t>3</w:t>
                  </w:r>
                  <w:r>
                    <w:rPr>
                      <w:rFonts w:hint="eastAsia" w:ascii="Times New Roman" w:hAnsi="Times New Roman" w:eastAsia="宋体" w:cs="仿宋"/>
                      <w:color w:val="000000"/>
                      <w:kern w:val="0"/>
                      <w:sz w:val="21"/>
                      <w:szCs w:val="21"/>
                      <w:lang w:val="en-US" w:eastAsia="zh-CN" w:bidi="ar"/>
                    </w:rPr>
                    <w:t>家。强化企业环保绩效评级管理，对已评定的</w:t>
                  </w:r>
                  <w:r>
                    <w:rPr>
                      <w:rFonts w:hint="default" w:ascii="Times New Roman" w:hAnsi="Times New Roman" w:eastAsia="宋体" w:cs="Times New Roman"/>
                      <w:color w:val="000000"/>
                      <w:kern w:val="0"/>
                      <w:sz w:val="21"/>
                      <w:szCs w:val="21"/>
                      <w:lang w:val="en-US" w:eastAsia="zh-CN" w:bidi="ar"/>
                    </w:rPr>
                    <w:t>C</w:t>
                  </w:r>
                  <w:r>
                    <w:rPr>
                      <w:rFonts w:hint="eastAsia" w:ascii="Times New Roman" w:hAnsi="Times New Roman" w:eastAsia="宋体" w:cs="仿宋"/>
                      <w:color w:val="000000"/>
                      <w:kern w:val="0"/>
                      <w:sz w:val="21"/>
                      <w:szCs w:val="21"/>
                      <w:lang w:val="en-US" w:eastAsia="zh-CN" w:bidi="ar"/>
                    </w:rPr>
                    <w:t>级及以上企业开展“回头看”，对实际绩效水平达不到评定等级要求或存在严重环境违法违规行为的企业，按程序实施降级处理。</w:t>
                  </w:r>
                </w:p>
              </w:tc>
              <w:tc>
                <w:tcPr>
                  <w:tcW w:w="2040" w:type="dxa"/>
                  <w:vAlign w:val="center"/>
                </w:tcPr>
                <w:p w14:paraId="5473F9F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b w:val="0"/>
                      <w:bCs/>
                      <w:color w:val="000000" w:themeColor="text1"/>
                      <w:sz w:val="21"/>
                      <w:szCs w:val="21"/>
                      <w:u w:val="none" w:color="auto"/>
                      <w:shd w:val="clear" w:color="auto" w:fill="FFFFFF"/>
                      <w:lang w:val="en-US" w:eastAsia="zh-CN" w:bidi="zh-CN"/>
                      <w14:textFill>
                        <w14:solidFill>
                          <w14:schemeClr w14:val="tx1"/>
                        </w14:solidFill>
                      </w14:textFill>
                    </w:rPr>
                  </w:pPr>
                  <w:r>
                    <w:rPr>
                      <w:rFonts w:hint="eastAsia" w:ascii="Times New Roman" w:hAnsi="Times New Roman"/>
                      <w:color w:val="000000"/>
                      <w:sz w:val="21"/>
                      <w:szCs w:val="21"/>
                      <w:lang w:val="en-US" w:eastAsia="zh-CN" w:bidi="ar"/>
                    </w:rPr>
                    <w:t>厂区</w:t>
                  </w:r>
                  <w:r>
                    <w:rPr>
                      <w:rFonts w:hint="eastAsia" w:ascii="Times New Roman" w:hAnsi="Times New Roman"/>
                      <w:color w:val="000000" w:themeColor="text1"/>
                      <w:sz w:val="21"/>
                      <w:szCs w:val="21"/>
                      <w:lang w:val="en-US" w:eastAsia="zh-CN" w:bidi="ar"/>
                      <w14:textFill>
                        <w14:solidFill>
                          <w14:schemeClr w14:val="tx1"/>
                        </w14:solidFill>
                      </w14:textFill>
                    </w:rPr>
                    <w:t>运营期严格按照</w:t>
                  </w:r>
                  <w:r>
                    <w:rPr>
                      <w:rFonts w:hint="eastAsia" w:ascii="Times New Roman" w:hAnsi="Times New Roman"/>
                      <w:color w:val="000000" w:themeColor="text1"/>
                      <w:sz w:val="21"/>
                      <w:szCs w:val="21"/>
                      <w:lang w:val="en-US" w:bidi="ar"/>
                      <w14:textFill>
                        <w14:solidFill>
                          <w14:schemeClr w14:val="tx1"/>
                        </w14:solidFill>
                      </w14:textFill>
                    </w:rPr>
                    <w:t>环评及“三同时”管理</w:t>
                  </w:r>
                  <w:r>
                    <w:rPr>
                      <w:rFonts w:hint="eastAsia" w:ascii="Times New Roman" w:hAnsi="Times New Roman"/>
                      <w:color w:val="000000" w:themeColor="text1"/>
                      <w:sz w:val="21"/>
                      <w:szCs w:val="21"/>
                      <w:lang w:val="en-US" w:eastAsia="zh-CN" w:bidi="ar"/>
                      <w14:textFill>
                        <w14:solidFill>
                          <w14:schemeClr w14:val="tx1"/>
                        </w14:solidFill>
                      </w14:textFill>
                    </w:rPr>
                    <w:t>。建设完成后</w:t>
                  </w:r>
                  <w:r>
                    <w:rPr>
                      <w:rFonts w:hint="eastAsia" w:ascii="Times New Roman" w:hAnsi="Times New Roman"/>
                      <w:color w:val="000000" w:themeColor="text1"/>
                      <w:sz w:val="21"/>
                      <w:szCs w:val="21"/>
                      <w:lang w:val="en-US" w:bidi="ar"/>
                      <w14:textFill>
                        <w14:solidFill>
                          <w14:schemeClr w14:val="tx1"/>
                        </w14:solidFill>
                      </w14:textFill>
                    </w:rPr>
                    <w:t>对比</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河南省重污染天气重点行业应急减排</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s="仿宋_GB2312"/>
                      <w:color w:val="000000" w:themeColor="text1"/>
                      <w:sz w:val="21"/>
                      <w:szCs w:val="21"/>
                      <w:u w:val="none"/>
                      <w:shd w:val="clear" w:color="auto" w:fill="FFFFFF"/>
                      <w:lang w:val="en-US" w:eastAsia="zh-CN" w:bidi="zh-CN"/>
                      <w14:textFill>
                        <w14:solidFill>
                          <w14:schemeClr w14:val="tx1"/>
                        </w14:solidFill>
                      </w14:textFill>
                    </w:rPr>
                    <w:t>2024年修订版</w:t>
                  </w:r>
                  <w:r>
                    <w:rPr>
                      <w:rFonts w:hint="eastAsia"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default" w:ascii="Times New Roman" w:hAnsi="Times New Roman" w:eastAsia="宋体" w:cs="仿宋_GB2312"/>
                      <w:color w:val="000000" w:themeColor="text1"/>
                      <w:sz w:val="21"/>
                      <w:szCs w:val="21"/>
                      <w:u w:val="none"/>
                      <w:shd w:val="clear" w:color="auto" w:fill="FFFFFF"/>
                      <w:lang w:val="en-US" w:eastAsia="zh-CN" w:bidi="zh-CN"/>
                      <w14:textFill>
                        <w14:solidFill>
                          <w14:schemeClr w14:val="tx1"/>
                        </w14:solidFill>
                      </w14:textFill>
                    </w:rPr>
                    <w:t>》</w:t>
                  </w:r>
                  <w:r>
                    <w:rPr>
                      <w:rFonts w:hint="eastAsia" w:ascii="Times New Roman" w:hAnsi="Times New Roman"/>
                      <w:color w:val="000000" w:themeColor="text1"/>
                      <w:sz w:val="21"/>
                      <w:szCs w:val="21"/>
                      <w:lang w:val="en-US" w:bidi="ar"/>
                      <w14:textFill>
                        <w14:solidFill>
                          <w14:schemeClr w14:val="tx1"/>
                        </w14:solidFill>
                      </w14:textFill>
                    </w:rPr>
                    <w:t>，符合</w:t>
                  </w:r>
                  <w:r>
                    <w:rPr>
                      <w:rFonts w:hint="eastAsia" w:ascii="Times New Roman" w:hAnsi="Times New Roman" w:cs="仿宋_GB2312"/>
                      <w:color w:val="000000" w:themeColor="text1"/>
                      <w:sz w:val="21"/>
                      <w:szCs w:val="21"/>
                      <w:u w:val="none"/>
                      <w:lang w:val="en-US" w:eastAsia="zh-CN"/>
                      <w14:textFill>
                        <w14:solidFill>
                          <w14:schemeClr w14:val="tx1"/>
                        </w14:solidFill>
                      </w14:textFill>
                    </w:rPr>
                    <w:t>塑料制品</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行业A级企业绩效要求</w:t>
                  </w:r>
                  <w:r>
                    <w:rPr>
                      <w:rFonts w:hint="eastAsia" w:ascii="Times New Roman" w:hAnsi="Times New Roman"/>
                      <w:color w:val="000000" w:themeColor="text1"/>
                      <w:sz w:val="21"/>
                      <w:szCs w:val="21"/>
                      <w:lang w:val="en-US" w:bidi="ar"/>
                      <w14:textFill>
                        <w14:solidFill>
                          <w14:schemeClr w14:val="tx1"/>
                        </w14:solidFill>
                      </w14:textFill>
                    </w:rPr>
                    <w:t>。</w:t>
                  </w:r>
                </w:p>
              </w:tc>
              <w:tc>
                <w:tcPr>
                  <w:tcW w:w="678" w:type="dxa"/>
                  <w:vAlign w:val="center"/>
                </w:tcPr>
                <w:p w14:paraId="6169D13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color="auto"/>
                      <w:lang w:val="en-US" w:eastAsia="zh-CN"/>
                      <w14:textFill>
                        <w14:solidFill>
                          <w14:schemeClr w14:val="tx1"/>
                        </w14:solidFill>
                      </w14:textFill>
                    </w:rPr>
                    <w:t>相符</w:t>
                  </w:r>
                </w:p>
              </w:tc>
            </w:tr>
          </w:tbl>
          <w:p w14:paraId="280540D1">
            <w:pPr>
              <w:pStyle w:val="20"/>
              <w:widowControl w:val="0"/>
              <w:tabs>
                <w:tab w:val="left" w:pos="4140"/>
              </w:tabs>
              <w:wordWrap/>
              <w:autoSpaceDE w:val="0"/>
              <w:autoSpaceDN w:val="0"/>
              <w:adjustRightInd/>
              <w:snapToGrid/>
              <w:spacing w:before="0" w:beforeAutospacing="0" w:after="0" w:afterAutospacing="0" w:line="520" w:lineRule="exact"/>
              <w:ind w:firstLine="482" w:firstLineChars="200"/>
              <w:jc w:val="both"/>
              <w:textAlignment w:val="auto"/>
              <w:rPr>
                <w:rFonts w:hint="default" w:ascii="Times New Roman" w:hAnsi="Times New Roman" w:cs="Times New Roman"/>
                <w:b/>
                <w:bCs/>
                <w:sz w:val="24"/>
                <w:szCs w:val="24"/>
                <w:u w:val="single"/>
                <w:lang w:val="en-US" w:eastAsia="zh-CN"/>
              </w:rPr>
            </w:pPr>
            <w:r>
              <w:rPr>
                <w:rFonts w:hint="eastAsia" w:ascii="Times New Roman" w:hAnsi="Times New Roman" w:cs="Times New Roman"/>
                <w:b/>
                <w:bCs/>
                <w:sz w:val="24"/>
                <w:szCs w:val="24"/>
                <w:u w:val="none"/>
                <w:lang w:val="en-US" w:eastAsia="zh-CN"/>
              </w:rPr>
              <w:t>9</w:t>
            </w:r>
            <w:r>
              <w:rPr>
                <w:rFonts w:hint="default" w:ascii="Times New Roman" w:hAnsi="Times New Roman" w:cs="Times New Roman"/>
                <w:b/>
                <w:bCs/>
                <w:sz w:val="24"/>
                <w:szCs w:val="24"/>
                <w:u w:val="none"/>
                <w:lang w:val="en-US" w:eastAsia="zh-CN"/>
              </w:rPr>
              <w:t>、项目与《</w:t>
            </w:r>
            <w:r>
              <w:rPr>
                <w:rFonts w:hint="eastAsia" w:ascii="Times New Roman" w:hAnsi="Times New Roman" w:cs="Times New Roman"/>
                <w:b/>
                <w:bCs/>
                <w:sz w:val="24"/>
                <w:szCs w:val="24"/>
                <w:u w:val="none"/>
                <w:lang w:val="en-US" w:eastAsia="zh-CN"/>
              </w:rPr>
              <w:t>河南省重污染天气重点行业应急减排（2024年修订版）</w:t>
            </w:r>
            <w:r>
              <w:rPr>
                <w:rFonts w:hint="default" w:ascii="Times New Roman" w:hAnsi="Times New Roman" w:cs="Times New Roman"/>
                <w:b/>
                <w:bCs/>
                <w:sz w:val="24"/>
                <w:szCs w:val="24"/>
                <w:u w:val="none"/>
                <w:lang w:val="en-US" w:eastAsia="zh-CN"/>
              </w:rPr>
              <w:t>》</w:t>
            </w:r>
            <w:r>
              <w:rPr>
                <w:rFonts w:hint="eastAsia" w:ascii="Times New Roman" w:hAnsi="Times New Roman" w:cs="Times New Roman"/>
                <w:b/>
                <w:bCs/>
                <w:sz w:val="24"/>
                <w:szCs w:val="24"/>
                <w:u w:val="none"/>
                <w:lang w:val="en-US" w:eastAsia="zh-CN"/>
              </w:rPr>
              <w:t>相符性分析</w:t>
            </w:r>
          </w:p>
          <w:p w14:paraId="4823D907">
            <w:pPr>
              <w:widowControl/>
              <w:spacing w:beforeAutospacing="0" w:afterAutospacing="0" w:line="520" w:lineRule="exact"/>
              <w:ind w:firstLine="480" w:firstLineChars="200"/>
              <w:jc w:val="both"/>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为进一步落实精准治污、科学治污、依法治污要求，规范全</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省重点行业绩效分级工作，完善重污染天气应急减排清单，积极有效应对重污染天气，按照生态环境部《重污染天气重点行业应急减排措施制定技术指南（2020年修订版）》（环办大气函〔2020〕340号）、《关于印发&lt;重污染天气重点行业绩效分级及减排措施&gt;补充说明的通知》（环办便函〔2021〕341号）要求，《河南省重污染天气重点行业应急减排措施制定技术指南（202</w:t>
            </w:r>
            <w:r>
              <w:rPr>
                <w:rFonts w:hint="eastAsia" w:ascii="Times New Roman" w:hAnsi="Times New Roman" w:cs="Times New Roman"/>
                <w:color w:val="000000" w:themeColor="text1"/>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年修订版）》。</w:t>
            </w:r>
          </w:p>
          <w:p w14:paraId="3C22618F">
            <w:pPr>
              <w:widowControl/>
              <w:spacing w:beforeAutospacing="0" w:afterAutospacing="0" w:line="520" w:lineRule="exact"/>
              <w:ind w:firstLine="480" w:firstLineChars="200"/>
              <w:jc w:val="both"/>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
                <w14:textFill>
                  <w14:solidFill>
                    <w14:schemeClr w14:val="tx1"/>
                  </w14:solidFill>
                </w14:textFill>
              </w:rPr>
              <w:t>本项目</w:t>
            </w:r>
            <w:r>
              <w:rPr>
                <w:rFonts w:hint="eastAsia" w:ascii="Times New Roman" w:hAnsi="Times New Roman" w:cs="Times New Roman"/>
                <w:color w:val="000000" w:themeColor="text1"/>
                <w:sz w:val="24"/>
                <w:szCs w:val="24"/>
                <w:lang w:val="en-US" w:eastAsia="zh-CN" w:bidi="ar"/>
                <w14:textFill>
                  <w14:solidFill>
                    <w14:schemeClr w14:val="tx1"/>
                  </w14:solidFill>
                </w14:textFill>
              </w:rPr>
              <w:t>属于</w:t>
            </w: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教学用模型及教具制造</w:t>
            </w:r>
            <w:r>
              <w:rPr>
                <w:rFonts w:hint="eastAsia" w:ascii="Times New Roman" w:hAnsi="Times New Roman" w:cs="Times New Roman"/>
                <w:color w:val="000000" w:themeColor="text1"/>
                <w:sz w:val="24"/>
                <w:szCs w:val="24"/>
                <w:lang w:val="en-US" w:eastAsia="zh-CN" w:bidi="ar"/>
                <w14:textFill>
                  <w14:solidFill>
                    <w14:schemeClr w14:val="tx1"/>
                  </w14:solidFill>
                </w14:textFill>
              </w:rPr>
              <w:t>，产品为模特头，生产工艺主要为塑料吹塑，因此本次主要对照塑料制品行业进行分析。</w:t>
            </w:r>
          </w:p>
          <w:p w14:paraId="26514DA6">
            <w:pPr>
              <w:widowControl/>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表1-12</w:t>
            </w:r>
            <w:r>
              <w:rPr>
                <w:rFonts w:hint="default"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 xml:space="preserve"> </w:t>
            </w:r>
            <w:r>
              <w:rPr>
                <w:rFonts w:hint="eastAsia" w:ascii="Times New Roman" w:hAnsi="Times New Roman" w:eastAsia="黑体" w:cs="宋体"/>
                <w:b w:val="0"/>
                <w:bCs w:val="0"/>
                <w:color w:val="000000" w:themeColor="text1"/>
                <w:sz w:val="24"/>
                <w:szCs w:val="24"/>
                <w:u w:val="none" w:color="auto"/>
                <w:lang w:val="en-US" w:eastAsia="zh-CN" w:bidi="zh-CN"/>
                <w14:textFill>
                  <w14:solidFill>
                    <w14:schemeClr w14:val="tx1"/>
                  </w14:solidFill>
                </w14:textFill>
              </w:rPr>
              <w:t xml:space="preserve"> 本项目与重点行业要求的对照分析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669"/>
              <w:gridCol w:w="2253"/>
              <w:gridCol w:w="2699"/>
              <w:gridCol w:w="893"/>
            </w:tblGrid>
            <w:tr w14:paraId="2F0FD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top"/>
                </w:tcPr>
                <w:p w14:paraId="722E85E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差异化指标</w:t>
                  </w:r>
                </w:p>
              </w:tc>
              <w:tc>
                <w:tcPr>
                  <w:tcW w:w="2253" w:type="dxa"/>
                  <w:vAlign w:val="top"/>
                </w:tcPr>
                <w:p w14:paraId="6803829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A</w:t>
                  </w: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级企业</w:t>
                  </w:r>
                </w:p>
              </w:tc>
              <w:tc>
                <w:tcPr>
                  <w:tcW w:w="2699" w:type="dxa"/>
                  <w:vAlign w:val="top"/>
                </w:tcPr>
                <w:p w14:paraId="5526947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本项目情况</w:t>
                  </w:r>
                </w:p>
              </w:tc>
              <w:tc>
                <w:tcPr>
                  <w:tcW w:w="893" w:type="dxa"/>
                  <w:vAlign w:val="top"/>
                </w:tcPr>
                <w:p w14:paraId="5C0F5DD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相符性</w:t>
                  </w:r>
                </w:p>
              </w:tc>
            </w:tr>
            <w:tr w14:paraId="4BB7F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1F6A62D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能源类型</w:t>
                  </w:r>
                </w:p>
              </w:tc>
              <w:tc>
                <w:tcPr>
                  <w:tcW w:w="2253" w:type="dxa"/>
                  <w:vAlign w:val="center"/>
                </w:tcPr>
                <w:p w14:paraId="4C9BEC4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能源使用电、天然气、液化石油气等能源。</w:t>
                  </w:r>
                </w:p>
              </w:tc>
              <w:tc>
                <w:tcPr>
                  <w:tcW w:w="2699" w:type="dxa"/>
                  <w:vAlign w:val="center"/>
                </w:tcPr>
                <w:p w14:paraId="4A36A95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本项目能源全部使用电</w:t>
                  </w:r>
                </w:p>
              </w:tc>
              <w:tc>
                <w:tcPr>
                  <w:tcW w:w="893" w:type="dxa"/>
                  <w:vAlign w:val="center"/>
                </w:tcPr>
                <w:p w14:paraId="1E9DF83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60C60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2FF5A08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生产工艺及装备水平</w:t>
                  </w:r>
                </w:p>
              </w:tc>
              <w:tc>
                <w:tcPr>
                  <w:tcW w:w="2253" w:type="dxa"/>
                  <w:vAlign w:val="center"/>
                </w:tcPr>
                <w:p w14:paraId="2137E8AE">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1、属于《产业结构调整指导目录（</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年版）》鼓励类和允许类；</w:t>
                  </w:r>
                </w:p>
                <w:p w14:paraId="0F9F188D">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2、符合相关行业产业政策；</w:t>
                  </w:r>
                </w:p>
                <w:p w14:paraId="5E543EB4">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3、符合河南省相关政策要求；</w:t>
                  </w:r>
                </w:p>
                <w:p w14:paraId="4EA6D84A">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4、符合市级规划。</w:t>
                  </w:r>
                </w:p>
              </w:tc>
              <w:tc>
                <w:tcPr>
                  <w:tcW w:w="2699" w:type="dxa"/>
                  <w:vAlign w:val="center"/>
                </w:tcPr>
                <w:p w14:paraId="392CDB54">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1、本项目属于《产业结构调整指导目录（</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年版）》允许类。</w:t>
                  </w:r>
                </w:p>
                <w:p w14:paraId="5149B558">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2、本项目符合</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年挥发性有机物治理攻坚方案》（环大气〔</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号）。</w:t>
                  </w:r>
                </w:p>
                <w:p w14:paraId="696B72D9">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本项目符合《河南省生态环境分区管控总体要求》（2023年版）和许昌魏都区先进制造业开发区重点单元管控要求、《河南省深入打好秋冬季重污染天气消除、夏季臭氧污染防治和柴油货车污染治理攻坚战行动方案》（豫环委办〔</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号）</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《河南省</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2025年蓝天保卫战实施方案》《河南省2025年碧水保卫战实施方案》《河南省2025年净土保卫战实施方案》《河南省2025年柴油货车污染治理攻坚战实施方案》</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豫环委办〔</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2025〕6号</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p w14:paraId="36812F6B">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right="0" w:rightChars="0"/>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4、本项目符合《许昌魏都区先进制造业开发区发展规划（</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2022-2035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《魏都区2025年大气污染防治标本兼治实施方案》（许魏环专办﹝2025﹞9号）</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《许昌市2025年大气污染防治标本兼治实施方案》（许环专办﹝2025﹞9号）、《许昌市空气质量持</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续改善行动方案》（许政〔2024〕17号）。</w:t>
                  </w:r>
                </w:p>
              </w:tc>
              <w:tc>
                <w:tcPr>
                  <w:tcW w:w="893" w:type="dxa"/>
                  <w:vAlign w:val="center"/>
                </w:tcPr>
                <w:p w14:paraId="7CA9D78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3E38C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55B8904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废气收集及处理工艺</w:t>
                  </w:r>
                </w:p>
              </w:tc>
              <w:tc>
                <w:tcPr>
                  <w:tcW w:w="2253" w:type="dxa"/>
                  <w:vAlign w:val="center"/>
                </w:tcPr>
                <w:p w14:paraId="5C4186A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投料、挤塑、注塑、滚塑、吹塑、挤出、造粒、热定型、冷却、发泡、熟化、干燥、塑炼、压延、涂覆等涉</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工序采用密闭设备或在密闭空间内操作，废气有效收集至</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废气处理系统，车间外无异味；采用局部集气罩的，距集气罩开口面最远处的</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无组织排放位置，控制风速不低于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0.3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米</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秒；</w:t>
                  </w:r>
                </w:p>
                <w:p w14:paraId="59A7E12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使用再生料的企业</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治理采用燃烧工艺（包括直接燃烧、催化燃烧和蓄热燃烧）；使用原生料的企业</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治理采用燃烧工艺或吸附、冷凝、膜分离等工艺处理（其中采用颗粒状活性炭的，柱状活性炭直径</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≤5mm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、碘值</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≥800mg/g</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，且填充量与每小时处理废气量体积之比满足</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7000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的要求；使用蜂窝状活性炭的，碘值</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≥650mg/g</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、比表面积应不低于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750m</w:t>
                  </w:r>
                  <w:r>
                    <w:rPr>
                      <w:rFonts w:hint="eastAsia"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/g</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 xml:space="preserve">，且填充量与每小时处理废气量体积之比满足 </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5000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的要求；活性炭吸附设施废气进口处安装有仪器仪表等装置，可实时监测显示并记录湿度、温度等数据，废气温度、颗粒物、相对湿度分别不超过</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1mg/m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）。废气中含有油烟或颗粒物的，应在</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治理设施前端加装除尘设施或油烟净化装置；</w:t>
                  </w:r>
                </w:p>
                <w:p w14:paraId="06E1285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粉状、粒状物料采用自动投料器投加和配混，投加和混配工序在封闭车间内进行，</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有效收集，采用覆膜滤袋、滤筒等除尘技术；</w:t>
                  </w:r>
                </w:p>
                <w:p w14:paraId="731D8FB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废吸附剂应密闭的包装袋或容器储存、转运，并建立储存、处置台账；</w:t>
                  </w:r>
                </w:p>
                <w:p w14:paraId="557839C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5.NOx</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治理采用低氮燃烧、</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SNCR/SCR</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等适宜技术。使用氨法脱硝的企业，氨的装卸、储存、输送、制备等过程全程密闭，并采取氨气泄漏检测和收集措施；采用尿素作为还原剂的配备有尿素加热水解制氨系统。</w:t>
                  </w:r>
                </w:p>
              </w:tc>
              <w:tc>
                <w:tcPr>
                  <w:tcW w:w="2699" w:type="dxa"/>
                  <w:vAlign w:val="center"/>
                </w:tcPr>
                <w:p w14:paraId="35ED29F7">
                  <w:pPr>
                    <w:pStyle w:val="10"/>
                    <w:keepNext w:val="0"/>
                    <w:keepLines w:val="0"/>
                    <w:pageBreakBefore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1、项目吹塑在密闭厂房中进行，有机废气集气罩收集，风速为0.5m/s。</w:t>
                  </w:r>
                </w:p>
                <w:p w14:paraId="51805095">
                  <w:pPr>
                    <w:keepNext w:val="0"/>
                    <w:keepLines w:val="0"/>
                    <w:pageBreakBefore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2、项目不使用再生料，有机废气使用二级活性炭装置处理，</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使用蜂窝状活性炭，符合相关要求；活性炭吸附设施废气进口处安装有仪器仪表等装置，实时监测显示并记录湿度、温度等数据，废气温度、颗粒物、相对湿度分别不超过</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1mg/m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）。废气中不含油烟或颗粒物；</w:t>
                  </w:r>
                </w:p>
                <w:p w14:paraId="492FFA5D">
                  <w:pPr>
                    <w:keepNext w:val="0"/>
                    <w:keepLines w:val="0"/>
                    <w:pageBreakBefore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3、物料为块状，混料破碎颗粒较大，</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粉尘产生量很少</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p w14:paraId="24C0053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4、废活性炭在密闭的包装袋或容器储存，危废暂存间暂存后定期交有资质单位处理，并建立储存、处置台账；</w:t>
                  </w:r>
                </w:p>
                <w:p w14:paraId="61FB573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5、项目不涉及。</w:t>
                  </w:r>
                </w:p>
              </w:tc>
              <w:tc>
                <w:tcPr>
                  <w:tcW w:w="893" w:type="dxa"/>
                  <w:vAlign w:val="center"/>
                </w:tcPr>
                <w:p w14:paraId="4A1DED5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9F8D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2E3E6B0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无组织管控</w:t>
                  </w:r>
                </w:p>
              </w:tc>
              <w:tc>
                <w:tcPr>
                  <w:tcW w:w="2253" w:type="dxa"/>
                  <w:vAlign w:val="top"/>
                </w:tcPr>
                <w:p w14:paraId="28A7C84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物料存储于密闭的容器、包装袋、储罐、储库、料仓中；盛装</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物料的容器或包装袋存放于室内；盛装</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物料的容器或包装袋在非取用状态时应加盖、封口，保持密闭；</w:t>
                  </w:r>
                </w:p>
                <w:p w14:paraId="73A18A6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 xml:space="preserve">粉状物料采用气力输送、管状带式输送机、螺旋输送机等自动化、密闭输送方式；粒状物料采用封闭皮带等自动化、封闭输送方式；液态 </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 xml:space="preserve">VOCs </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物料采用密闭管道输送；</w:t>
                  </w:r>
                </w:p>
                <w:p w14:paraId="67964FD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产生</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的生产工序和装置应设置有效集气装置并引至</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末端处理设施；</w:t>
                  </w:r>
                </w:p>
                <w:p w14:paraId="4BDC529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厂区道路及车间地面硬化，车间地面、墙壁、设备顶部整洁无积尘；厂内地面全部硬化或绿化，无成片裸露土地；</w:t>
                  </w:r>
                </w:p>
                <w:p w14:paraId="1C2E1CD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贮存易产生粉尘、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和异味的危险废物贮存库，设有废气收集装置和废气处理设施。废气处理设施的排气筒高度不低于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tc>
              <w:tc>
                <w:tcPr>
                  <w:tcW w:w="2699" w:type="dxa"/>
                  <w:vAlign w:val="top"/>
                </w:tcPr>
                <w:p w14:paraId="43E69C0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1、原料聚丙烯</w:t>
                  </w:r>
                  <w:r>
                    <w:rPr>
                      <w:rFonts w:hint="eastAsia" w:ascii="Times New Roman" w:hAnsi="Times New Roman"/>
                      <w:color w:val="000000" w:themeColor="text1"/>
                      <w:sz w:val="21"/>
                      <w:szCs w:val="21"/>
                      <w:lang w:val="en-US" w:eastAsia="zh-CN"/>
                      <w14:textFill>
                        <w14:solidFill>
                          <w14:schemeClr w14:val="tx1"/>
                        </w14:solidFill>
                      </w14:textFill>
                    </w:rPr>
                    <w:t>、</w:t>
                  </w:r>
                  <w:r>
                    <w:rPr>
                      <w:rFonts w:hint="eastAsia" w:ascii="Times New Roman" w:hAnsi="Times New Roman" w:cs="仿宋_GB2312"/>
                      <w:color w:val="000000" w:themeColor="text1"/>
                      <w:sz w:val="21"/>
                      <w:szCs w:val="21"/>
                      <w:u w:val="none"/>
                      <w:lang w:val="en-US" w:eastAsia="zh-CN"/>
                      <w14:textFill>
                        <w14:solidFill>
                          <w14:schemeClr w14:val="tx1"/>
                        </w14:solidFill>
                      </w14:textFill>
                    </w:rPr>
                    <w:t>色母</w:t>
                  </w:r>
                  <w:r>
                    <w:rPr>
                      <w:rFonts w:hint="eastAsia" w:ascii="Times New Roman" w:hAnsi="Times New Roman" w:eastAsia="宋体"/>
                      <w:color w:val="000000" w:themeColor="text1"/>
                      <w:sz w:val="21"/>
                      <w:szCs w:val="21"/>
                      <w:lang w:val="en-US" w:eastAsia="zh-CN"/>
                      <w14:textFill>
                        <w14:solidFill>
                          <w14:schemeClr w14:val="tx1"/>
                        </w14:solidFill>
                      </w14:textFill>
                    </w:rPr>
                    <w:t>为固态，袋装密闭储存于仓库。</w:t>
                  </w: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仿宋_GB2312"/>
                      <w:color w:val="000000" w:themeColor="text1"/>
                      <w:sz w:val="21"/>
                      <w:szCs w:val="21"/>
                      <w:u w:val="none"/>
                      <w:lang w:val="en-US" w:eastAsia="zh-CN"/>
                      <w14:textFill>
                        <w14:solidFill>
                          <w14:schemeClr w14:val="tx1"/>
                        </w14:solidFill>
                      </w14:textFill>
                    </w:rPr>
                    <w:t>化妆颜料不使用时加盖密闭储存。</w:t>
                  </w:r>
                </w:p>
                <w:p w14:paraId="6166E42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2、项目</w:t>
                  </w:r>
                  <w:r>
                    <w:rPr>
                      <w:rFonts w:hint="eastAsia" w:ascii="Times New Roman" w:hAnsi="Times New Roman"/>
                      <w:color w:val="000000" w:themeColor="text1"/>
                      <w:sz w:val="21"/>
                      <w:szCs w:val="21"/>
                      <w:lang w:val="en-US" w:eastAsia="zh-CN"/>
                      <w14:textFill>
                        <w14:solidFill>
                          <w14:schemeClr w14:val="tx1"/>
                        </w14:solidFill>
                      </w14:textFill>
                    </w:rPr>
                    <w:t>不使用粉状物料</w:t>
                  </w:r>
                  <w:r>
                    <w:rPr>
                      <w:rFonts w:hint="eastAsia" w:ascii="Times New Roman" w:hAnsi="Times New Roman" w:eastAsia="宋体"/>
                      <w:color w:val="000000" w:themeColor="text1"/>
                      <w:sz w:val="21"/>
                      <w:szCs w:val="21"/>
                      <w:lang w:val="en-US" w:eastAsia="zh-CN"/>
                      <w14:textFill>
                        <w14:solidFill>
                          <w14:schemeClr w14:val="tx1"/>
                        </w14:solidFill>
                      </w14:textFill>
                    </w:rPr>
                    <w:t>。</w:t>
                  </w:r>
                </w:p>
                <w:p w14:paraId="5CB77C9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项目</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吹塑</w:t>
                  </w:r>
                  <w:r>
                    <w:rPr>
                      <w:rFonts w:hint="eastAsia" w:ascii="Times New Roman" w:hAnsi="Times New Roman" w:cs="仿宋_GB2312"/>
                      <w:color w:val="000000" w:themeColor="text1"/>
                      <w:sz w:val="21"/>
                      <w:szCs w:val="21"/>
                      <w:u w:val="none"/>
                      <w:lang w:val="en-US" w:eastAsia="zh-CN"/>
                      <w14:textFill>
                        <w14:solidFill>
                          <w14:schemeClr w14:val="tx1"/>
                        </w14:solidFill>
                      </w14:textFill>
                    </w:rPr>
                    <w:t>车间二次密闭，</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废气集气罩收集，危废贮存库废气经负压收集，风机风量</w:t>
                  </w:r>
                  <w:r>
                    <w:rPr>
                      <w:rFonts w:hint="eastAsia" w:ascii="Times New Roman" w:hAnsi="Times New Roman" w:cs="仿宋_GB2312"/>
                      <w:color w:val="000000" w:themeColor="text1"/>
                      <w:sz w:val="21"/>
                      <w:szCs w:val="21"/>
                      <w:u w:val="none"/>
                      <w:lang w:val="en-US" w:eastAsia="zh-CN"/>
                      <w14:textFill>
                        <w14:solidFill>
                          <w14:schemeClr w14:val="tx1"/>
                        </w14:solidFill>
                      </w14:textFill>
                    </w:rPr>
                    <w:t>5</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000m</w:t>
                  </w:r>
                  <w:r>
                    <w:rPr>
                      <w:rFonts w:hint="eastAsia" w:ascii="Times New Roman" w:hAnsi="Times New Roman" w:eastAsia="宋体"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排放。</w:t>
                  </w:r>
                  <w:r>
                    <w:rPr>
                      <w:rFonts w:hint="eastAsia" w:ascii="Times New Roman" w:hAnsi="Times New Roman" w:cs="宋体"/>
                      <w:color w:val="000000" w:themeColor="text1"/>
                      <w:sz w:val="21"/>
                      <w:szCs w:val="21"/>
                      <w:lang w:val="en-US" w:eastAsia="zh-CN"/>
                      <w14:textFill>
                        <w14:solidFill>
                          <w14:schemeClr w14:val="tx1"/>
                        </w14:solidFill>
                      </w14:textFill>
                    </w:rPr>
                    <w:t>化妆废气产生量较少，化妆间二次密闭，无组织排放。</w:t>
                  </w:r>
                </w:p>
                <w:p w14:paraId="2A8E83A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4、厂区全部硬化，</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车间地面、墙壁、设备顶部整洁无积尘，无成片裸露土地。</w:t>
                  </w:r>
                </w:p>
                <w:p w14:paraId="7F0A0AD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危废贮存库废气经负压收集，风机风量</w:t>
                  </w:r>
                  <w:r>
                    <w:rPr>
                      <w:rFonts w:hint="eastAsia" w:ascii="Times New Roman" w:hAnsi="Times New Roman" w:cs="仿宋_GB2312"/>
                      <w:color w:val="000000" w:themeColor="text1"/>
                      <w:sz w:val="21"/>
                      <w:szCs w:val="21"/>
                      <w:u w:val="none"/>
                      <w:lang w:val="en-US" w:eastAsia="zh-CN"/>
                      <w14:textFill>
                        <w14:solidFill>
                          <w14:schemeClr w14:val="tx1"/>
                        </w14:solidFill>
                      </w14:textFill>
                    </w:rPr>
                    <w:t>5</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000m</w:t>
                  </w:r>
                  <w:r>
                    <w:rPr>
                      <w:rFonts w:hint="eastAsia" w:ascii="Times New Roman" w:hAnsi="Times New Roman" w:eastAsia="宋体" w:cs="仿宋_GB2312"/>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/h，吹塑、危废贮存库废气进入1套二级活性炭处理后通过1根15m排气筒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仿宋_GB2312"/>
                      <w:color w:val="000000" w:themeColor="text1"/>
                      <w:sz w:val="21"/>
                      <w:szCs w:val="21"/>
                      <w:u w:val="none"/>
                      <w:lang w:val="en-US" w:eastAsia="zh-CN"/>
                      <w14:textFill>
                        <w14:solidFill>
                          <w14:schemeClr w14:val="tx1"/>
                        </w14:solidFill>
                      </w14:textFill>
                    </w:rPr>
                    <w:t>排放。</w:t>
                  </w:r>
                </w:p>
              </w:tc>
              <w:tc>
                <w:tcPr>
                  <w:tcW w:w="893" w:type="dxa"/>
                  <w:vAlign w:val="center"/>
                </w:tcPr>
                <w:p w14:paraId="2A2812B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D859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8" w:type="dxa"/>
                  <w:gridSpan w:val="2"/>
                  <w:vAlign w:val="center"/>
                </w:tcPr>
                <w:p w14:paraId="138AFB6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排放限值</w:t>
                  </w:r>
                </w:p>
              </w:tc>
              <w:tc>
                <w:tcPr>
                  <w:tcW w:w="2253" w:type="dxa"/>
                  <w:vAlign w:val="top"/>
                </w:tcPr>
                <w:p w14:paraId="5088D9E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全厂有组织</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有组织排放浓度分别不高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20mg/m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p w14:paraId="09628B9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治理设施去除率达到</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80%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及以上；去除率确实达不到的，生产车间或生产设备的无组织排放监控点</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浓度低于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4mg/m³</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，企业边界</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1hNMHC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平均浓度低于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2mg/m³</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p w14:paraId="74DA2AA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锅炉烟气排放限值要求：</w:t>
                  </w:r>
                </w:p>
                <w:p w14:paraId="484DA28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燃气锅炉</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PM</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SO</w:t>
                  </w:r>
                  <w:r>
                    <w:rPr>
                      <w:rFonts w:hint="default" w:ascii="Times New Roman" w:hAnsi="Times New Roman" w:eastAsia="宋体" w:cs="Times New Roman"/>
                      <w:b w:val="0"/>
                      <w:bCs/>
                      <w:color w:val="000000" w:themeColor="text1"/>
                      <w:sz w:val="21"/>
                      <w:szCs w:val="21"/>
                      <w:u w:val="none" w:color="auto"/>
                      <w:vertAlign w:val="subscript"/>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NOx</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排放浓度分别不高于：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50/30mg/m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p>
              </w:tc>
              <w:tc>
                <w:tcPr>
                  <w:tcW w:w="2699" w:type="dxa"/>
                  <w:vAlign w:val="top"/>
                </w:tcPr>
                <w:p w14:paraId="64EB2C6C">
                  <w:pPr>
                    <w:keepNext w:val="0"/>
                    <w:keepLines w:val="0"/>
                    <w:pageBreakBefore w:val="0"/>
                    <w:widowControl/>
                    <w:numPr>
                      <w:ilvl w:val="0"/>
                      <w:numId w:val="30"/>
                    </w:numPr>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经计算，</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有组织排放浓度为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1.08</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mg/m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vertAlign w:val="baseline"/>
                      <w:lang w:val="en-US" w:eastAsia="zh-CN"/>
                      <w14:textFill>
                        <w14:solidFill>
                          <w14:schemeClr w14:val="tx1"/>
                        </w14:solidFill>
                      </w14:textFill>
                    </w:rPr>
                    <w:t>，符合要求。</w:t>
                  </w:r>
                </w:p>
                <w:p w14:paraId="4020FE80">
                  <w:pPr>
                    <w:keepNext w:val="0"/>
                    <w:keepLines w:val="0"/>
                    <w:pageBreakBefore w:val="0"/>
                    <w:widowControl/>
                    <w:numPr>
                      <w:ilvl w:val="0"/>
                      <w:numId w:val="30"/>
                    </w:numPr>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vertAlign w:val="baseline"/>
                      <w:lang w:val="en-US" w:eastAsia="zh-CN"/>
                      <w14:textFill>
                        <w14:solidFill>
                          <w14:schemeClr w14:val="tx1"/>
                        </w14:solidFill>
                      </w14:textFill>
                    </w:rPr>
                    <w:t>项目</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VOCs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治理设施去除率达到</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70</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，项目非甲烷总烃经收集处理后无组织量为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0.0054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t/a，排放速率为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0.0045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kg/h，无组织排放量较少，生产车间或生产设备的无组织排放监控点</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浓度和企业边界平均浓度可达到要求。</w:t>
                  </w:r>
                </w:p>
              </w:tc>
              <w:tc>
                <w:tcPr>
                  <w:tcW w:w="893" w:type="dxa"/>
                  <w:vAlign w:val="center"/>
                </w:tcPr>
                <w:p w14:paraId="7395E13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76162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1BB25D7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监测监控水平</w:t>
                  </w:r>
                </w:p>
              </w:tc>
              <w:tc>
                <w:tcPr>
                  <w:tcW w:w="2253" w:type="dxa"/>
                  <w:vAlign w:val="top"/>
                </w:tcPr>
                <w:p w14:paraId="1EAF14B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有组织排放口按排污许可、环境影响评价或环境现状评估等要求安装烟气排放自动监控设施（</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CEMS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），并按要求与省厅联网；重点排污单位风量大于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10000m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/h</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的主要排放口安装</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在线监测设施（</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FID</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检测器）并按要求与省厅联网；其他企业</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初始排放速率大于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2kg/h</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且排放口风量大于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20000m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/h</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的废气排放口安装</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在线监测设施（</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FID</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检测器），并按要求与省厅联网；在线监测数据至少保存最近</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个月的</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分钟均值、</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个月的</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小时均值及</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个月的日均值和月均值。（投产或安装时间不满一年以上的企业，以现有数据为准）；</w:t>
                  </w:r>
                </w:p>
                <w:p w14:paraId="5146B21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按生态环境部门要求规范设置废气排放口标志牌、二维码标识和采样平台、采样孔；各废气排放口按照排污许可要求开展自行监测。</w:t>
                  </w:r>
                </w:p>
              </w:tc>
              <w:tc>
                <w:tcPr>
                  <w:tcW w:w="2699" w:type="dxa"/>
                  <w:vAlign w:val="top"/>
                </w:tcPr>
                <w:p w14:paraId="17DDC59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1、项目不涉及颗粒物、二氧化硫、氮氧化物排放，无需安装</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烟气排放自动监控设施（</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CEMS</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）。有机废气处理装置风机风量为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000</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m</w:t>
                  </w:r>
                  <w:r>
                    <w:rPr>
                      <w:rFonts w:hint="default" w:ascii="Times New Roman" w:hAnsi="Times New Roman" w:eastAsia="宋体" w:cs="Times New Roman"/>
                      <w:b w:val="0"/>
                      <w:bCs/>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/h</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初始排放速率为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0.018</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kg/h</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，无需安装</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在线监测设施（</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FID</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检测器）。</w:t>
                  </w:r>
                </w:p>
                <w:p w14:paraId="7FFDFF0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2、项目按生态环境部门要求规范设置废气排放口标志牌、二维码标识和采样平台、采样孔；按照排污许可要求开展自行监测。</w:t>
                  </w:r>
                </w:p>
              </w:tc>
              <w:tc>
                <w:tcPr>
                  <w:tcW w:w="893" w:type="dxa"/>
                  <w:vAlign w:val="center"/>
                </w:tcPr>
                <w:p w14:paraId="5898BFC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6A9D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restart"/>
                  <w:vAlign w:val="center"/>
                </w:tcPr>
                <w:p w14:paraId="1A1CFB40">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环境管理水平</w:t>
                  </w:r>
                </w:p>
              </w:tc>
              <w:tc>
                <w:tcPr>
                  <w:tcW w:w="669" w:type="dxa"/>
                  <w:vAlign w:val="center"/>
                </w:tcPr>
                <w:p w14:paraId="1E5216A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环保档案</w:t>
                  </w:r>
                </w:p>
              </w:tc>
              <w:tc>
                <w:tcPr>
                  <w:tcW w:w="2253" w:type="dxa"/>
                  <w:vAlign w:val="top"/>
                </w:tcPr>
                <w:p w14:paraId="372984E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环评批复文件和竣工环保验收文件或环境现状评估备案证明；</w:t>
                  </w:r>
                </w:p>
                <w:p w14:paraId="5F4A2F9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国家版排污许可证；</w:t>
                  </w:r>
                </w:p>
                <w:p w14:paraId="74B6C76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环境管理制度（有组织、无组织排放长效管理机制，主要包括日常操作规程、岗位责任制度、污染物排放公示制度和定期巡查维护制度等）；</w:t>
                  </w:r>
                </w:p>
                <w:p w14:paraId="1F3EBD66">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废气污染治理设施稳定运行管理规程；</w:t>
                  </w:r>
                </w:p>
                <w:p w14:paraId="4522B6F3">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一年内废气监测报告（符合排污许可证监测项目及频次要求）</w:t>
                  </w:r>
                </w:p>
              </w:tc>
              <w:tc>
                <w:tcPr>
                  <w:tcW w:w="2699" w:type="dxa"/>
                  <w:vAlign w:val="center"/>
                </w:tcPr>
                <w:p w14:paraId="4352AAE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企业投入生产后严格按照要求整理环保档案</w:t>
                  </w:r>
                </w:p>
              </w:tc>
              <w:tc>
                <w:tcPr>
                  <w:tcW w:w="893" w:type="dxa"/>
                  <w:vAlign w:val="center"/>
                </w:tcPr>
                <w:p w14:paraId="36F6E60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7F499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continue"/>
                  <w:vAlign w:val="top"/>
                </w:tcPr>
                <w:p w14:paraId="2E5EB11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p>
              </w:tc>
              <w:tc>
                <w:tcPr>
                  <w:tcW w:w="669" w:type="dxa"/>
                  <w:vAlign w:val="center"/>
                </w:tcPr>
                <w:p w14:paraId="78BCEE6C">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台账记录</w:t>
                  </w:r>
                </w:p>
              </w:tc>
              <w:tc>
                <w:tcPr>
                  <w:tcW w:w="2253" w:type="dxa"/>
                  <w:vAlign w:val="top"/>
                </w:tcPr>
                <w:p w14:paraId="04EE2DE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生产设施运行管理信息（生产时间、运行负荷、产品产量等）；</w:t>
                  </w:r>
                </w:p>
                <w:p w14:paraId="02FA1AC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废气污染治理设施运行、维护、管理信息（包括但不限于废气收集系统和污染治理设施的名称规格、设计参数、运行参数、巡检记录、污染治理易耗品与药剂用量（吸附剂、催化剂、脱硫剂、脱硝剂、过滤耗材等）、操作记录以及维护记录、运行要求等）；</w:t>
                  </w:r>
                </w:p>
                <w:p w14:paraId="5DD1C74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监测记录信息（主要污染排放口废气排放记录等）；</w:t>
                  </w:r>
                </w:p>
                <w:p w14:paraId="54FC114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主要原辅材料消耗记录；</w:t>
                  </w:r>
                </w:p>
                <w:p w14:paraId="67002DD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5.</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燃料消耗记录；</w:t>
                  </w:r>
                </w:p>
                <w:p w14:paraId="052E203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固废、危废暂存、处理记录。</w:t>
                  </w:r>
                </w:p>
              </w:tc>
              <w:tc>
                <w:tcPr>
                  <w:tcW w:w="2699" w:type="dxa"/>
                  <w:vAlign w:val="center"/>
                </w:tcPr>
                <w:p w14:paraId="0709E41D">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企业投入生产后严格按照要求记录台账。</w:t>
                  </w:r>
                </w:p>
              </w:tc>
              <w:tc>
                <w:tcPr>
                  <w:tcW w:w="893" w:type="dxa"/>
                  <w:vAlign w:val="center"/>
                </w:tcPr>
                <w:p w14:paraId="3D2704F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03F07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9" w:type="dxa"/>
                  <w:vMerge w:val="continue"/>
                  <w:vAlign w:val="top"/>
                </w:tcPr>
                <w:p w14:paraId="0FBF048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p>
              </w:tc>
              <w:tc>
                <w:tcPr>
                  <w:tcW w:w="669" w:type="dxa"/>
                  <w:vAlign w:val="center"/>
                </w:tcPr>
                <w:p w14:paraId="7EE74E6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人员配置</w:t>
                  </w:r>
                </w:p>
              </w:tc>
              <w:tc>
                <w:tcPr>
                  <w:tcW w:w="2253" w:type="dxa"/>
                  <w:vAlign w:val="top"/>
                </w:tcPr>
                <w:p w14:paraId="1ECA8347">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配备专职环保人员，并具备相应的环境管理能力（包括但不限于学历、培训、从业经验等）。</w:t>
                  </w:r>
                </w:p>
              </w:tc>
              <w:tc>
                <w:tcPr>
                  <w:tcW w:w="2699" w:type="dxa"/>
                  <w:vAlign w:val="center"/>
                </w:tcPr>
                <w:p w14:paraId="7E78DAC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项目配置环保人员</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并具备相应的环境管理能力</w:t>
                  </w:r>
                </w:p>
              </w:tc>
              <w:tc>
                <w:tcPr>
                  <w:tcW w:w="893" w:type="dxa"/>
                  <w:vAlign w:val="center"/>
                </w:tcPr>
                <w:p w14:paraId="01AED62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38915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7C9EA05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运输方式</w:t>
                  </w:r>
                </w:p>
              </w:tc>
              <w:tc>
                <w:tcPr>
                  <w:tcW w:w="2253" w:type="dxa"/>
                  <w:vAlign w:val="top"/>
                </w:tcPr>
                <w:p w14:paraId="480ED808">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物料、产品运输全部使用国五及以上排放标准的重型载货车辆（重型燃气车辆达到国六排放标准）或新能源车辆；</w:t>
                  </w:r>
                </w:p>
                <w:p w14:paraId="5733C0C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厂内车辆全部达到国五及以上排放标准（重型燃气车辆达到国六排放标准）或使用新能源车辆；</w:t>
                  </w:r>
                </w:p>
                <w:p w14:paraId="2B3D97D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厂内非道路移动机械达到国三及以上排放标准或使用新能源机械。</w:t>
                  </w:r>
                </w:p>
              </w:tc>
              <w:tc>
                <w:tcPr>
                  <w:tcW w:w="2699" w:type="dxa"/>
                  <w:vAlign w:val="top"/>
                </w:tcPr>
                <w:p w14:paraId="7E01646A">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1、本项目物料、产品公路运输使用达到国五及以上排放标准；</w:t>
                  </w:r>
                </w:p>
                <w:p w14:paraId="3986FC6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2、厂内运输车辆达到国五及以上排放标准。</w:t>
                  </w:r>
                </w:p>
                <w:p w14:paraId="6A3287F9">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3、厂内非道路移动机械全部新能源机械。</w:t>
                  </w:r>
                </w:p>
              </w:tc>
              <w:tc>
                <w:tcPr>
                  <w:tcW w:w="893" w:type="dxa"/>
                  <w:vAlign w:val="center"/>
                </w:tcPr>
                <w:p w14:paraId="5AE0988B">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r w14:paraId="551C4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38" w:type="dxa"/>
                  <w:gridSpan w:val="2"/>
                  <w:vAlign w:val="center"/>
                </w:tcPr>
                <w:p w14:paraId="7AEEDE5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运输监管</w:t>
                  </w:r>
                </w:p>
              </w:tc>
              <w:tc>
                <w:tcPr>
                  <w:tcW w:w="2253" w:type="dxa"/>
                  <w:vAlign w:val="top"/>
                </w:tcPr>
                <w:p w14:paraId="5C5405A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日均进出货物</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150</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吨（或载货车辆日进出</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 xml:space="preserve">10 </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辆次）及以上（货物包括原料、辅料、燃料、产品和其他与生产相关物料）的企业，参照《重污染天气重点行业移动源应急管理技术指南》建立门禁视频监控系统和电子台账；其他企业安装车辆运输视频监控（数据能保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个月），并建立车辆运输手工台账。</w:t>
                  </w:r>
                </w:p>
              </w:tc>
              <w:tc>
                <w:tcPr>
                  <w:tcW w:w="2699" w:type="dxa"/>
                  <w:vAlign w:val="center"/>
                </w:tcPr>
                <w:p w14:paraId="464BE2CE">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both"/>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本项目日均进出货物</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约为0.1</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吨，载货车辆日进出</w:t>
                  </w:r>
                  <w:r>
                    <w:rPr>
                      <w:rFonts w:hint="eastAsia" w:ascii="Times New Roman" w:hAnsi="Times New Roman" w:cs="Times New Roman"/>
                      <w:b w:val="0"/>
                      <w:bCs/>
                      <w:color w:val="000000" w:themeColor="text1"/>
                      <w:sz w:val="21"/>
                      <w:szCs w:val="21"/>
                      <w:u w:val="none" w:color="auto"/>
                      <w:lang w:val="en-US" w:eastAsia="zh-CN"/>
                      <w14:textFill>
                        <w14:solidFill>
                          <w14:schemeClr w14:val="tx1"/>
                        </w14:solidFill>
                      </w14:textFill>
                    </w:rPr>
                    <w:t>约为2</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辆次，安装车辆运输视频监控（数据能保存</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6</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个月），并建立车辆运输手工台账。</w:t>
                  </w:r>
                </w:p>
              </w:tc>
              <w:tc>
                <w:tcPr>
                  <w:tcW w:w="893" w:type="dxa"/>
                  <w:vAlign w:val="center"/>
                </w:tcPr>
                <w:p w14:paraId="312E1991">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auto"/>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相符</w:t>
                  </w:r>
                </w:p>
              </w:tc>
            </w:tr>
          </w:tbl>
          <w:p w14:paraId="67838FCB">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cs="宋体"/>
                <w:b/>
                <w:bCs/>
                <w:color w:val="000000"/>
                <w:kern w:val="0"/>
                <w:sz w:val="24"/>
                <w:szCs w:val="24"/>
                <w:u w:val="none" w:color="auto"/>
                <w:lang w:val="en-US" w:eastAsia="zh-CN" w:bidi="zh-CN"/>
              </w:rPr>
              <w:t>10、</w:t>
            </w:r>
            <w:r>
              <w:rPr>
                <w:rFonts w:hint="eastAsia" w:ascii="Times New Roman" w:hAnsi="Times New Roman" w:eastAsia="宋体" w:cs="宋体"/>
                <w:b/>
                <w:bCs/>
                <w:color w:val="000000"/>
                <w:kern w:val="0"/>
                <w:sz w:val="24"/>
                <w:szCs w:val="24"/>
                <w:u w:val="none" w:color="auto"/>
                <w:lang w:val="en-US" w:eastAsia="zh-CN" w:bidi="zh-CN"/>
              </w:rPr>
              <w:t>饮用水源保护区划</w:t>
            </w:r>
          </w:p>
          <w:p w14:paraId="276061A6">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（1）城市集中式饮用水源保护区</w:t>
            </w:r>
          </w:p>
          <w:p w14:paraId="2005E3BE">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根据《关于印发河南省城市集中式饮用水源保护区划的通知》（豫政办〔2007〕125号）、《许昌市北汝河地表水饮用水源保护区区划调整技术报告》（2019年7月）、《河南省人民政府关于划定调整取消部分集中式饮用水源保护区的通知》（豫政文〔2019〕125号）等文件，许昌市主要饮用水源保护区及其保护范围具体如下：</w:t>
            </w:r>
          </w:p>
          <w:p w14:paraId="6DF1E2E9">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①北汝河饮用水源保护区</w:t>
            </w:r>
          </w:p>
          <w:p w14:paraId="701E71B5">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一级保护区：北汝河大陈闸至百宁大道桥河道内的区域及河道外两侧防洪堤坝外沿线以内的区域；颍汝干渠渠首至颍北新闸河道内区域及河道外两侧50米的区域。</w:t>
            </w:r>
          </w:p>
          <w:p w14:paraId="5236AF8F">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二级保护区：北汝河大陈闸至百宁大道桥一级保护区外，左岸省道238至右岸县道021以内的区域；北汝河百宁大道桥至平禹铁路桥河道内的区域及河道外两侧防洪堤坝外沿线以内的区域。</w:t>
            </w:r>
          </w:p>
          <w:p w14:paraId="2C4F3E46">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准保护区：北汝河平禹铁路桥至许昌市界内（鲁渡监测断面）河道内的区域及河道外两侧1000米的区域；柳河河道内区域及河道外两侧1000米的区域；马湟河河道内区域及河道外两侧1000米的区域。</w:t>
            </w:r>
          </w:p>
          <w:p w14:paraId="5F3454D2">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②麦岭地下水饮用水源保护区(共10眼井)</w:t>
            </w:r>
          </w:p>
          <w:p w14:paraId="6A7431AD">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kern w:val="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一级保护区：开采井外围50米的区域。</w:t>
            </w:r>
          </w:p>
          <w:p w14:paraId="31DDEF7A">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宋体"/>
                <w:b/>
                <w:bCs/>
                <w:color w:val="000000"/>
                <w:sz w:val="24"/>
                <w:szCs w:val="24"/>
                <w:u w:val="none" w:color="auto"/>
                <w:lang w:val="en-US" w:eastAsia="zh-CN" w:bidi="zh-CN"/>
              </w:rPr>
            </w:pPr>
            <w:r>
              <w:rPr>
                <w:rFonts w:hint="eastAsia" w:ascii="Times New Roman" w:hAnsi="Times New Roman" w:eastAsia="宋体" w:cs="宋体"/>
                <w:color w:val="000000"/>
                <w:kern w:val="0"/>
                <w:sz w:val="24"/>
                <w:szCs w:val="24"/>
                <w:u w:val="none" w:color="auto"/>
                <w:lang w:val="en-US" w:eastAsia="zh-CN" w:bidi="zh-CN"/>
              </w:rPr>
              <w:t>根据调查，本项目距离许昌市城市集中式饮用水源保护区北汝河饮用水源</w:t>
            </w:r>
            <w:r>
              <w:rPr>
                <w:rFonts w:hint="eastAsia" w:ascii="Times New Roman" w:hAnsi="Times New Roman" w:cs="宋体"/>
                <w:color w:val="000000"/>
                <w:kern w:val="0"/>
                <w:sz w:val="24"/>
                <w:szCs w:val="24"/>
                <w:u w:val="none" w:color="auto"/>
                <w:lang w:val="en-US" w:eastAsia="zh-CN" w:bidi="zh-CN"/>
              </w:rPr>
              <w:t>二级</w:t>
            </w:r>
            <w:r>
              <w:rPr>
                <w:rFonts w:hint="eastAsia" w:ascii="Times New Roman" w:hAnsi="Times New Roman" w:eastAsia="宋体" w:cs="宋体"/>
                <w:color w:val="000000"/>
                <w:kern w:val="0"/>
                <w:sz w:val="24"/>
                <w:szCs w:val="24"/>
                <w:u w:val="none" w:color="auto"/>
                <w:lang w:val="en-US" w:eastAsia="zh-CN" w:bidi="zh-CN"/>
              </w:rPr>
              <w:t>保护区颍汝干渠</w:t>
            </w:r>
            <w:r>
              <w:rPr>
                <w:rFonts w:hint="eastAsia" w:ascii="Times New Roman" w:hAnsi="Times New Roman" w:cs="宋体"/>
                <w:color w:val="000000"/>
                <w:kern w:val="0"/>
                <w:sz w:val="24"/>
                <w:szCs w:val="24"/>
                <w:u w:val="none" w:color="auto"/>
                <w:lang w:val="en-US" w:eastAsia="zh-CN" w:bidi="zh-CN"/>
              </w:rPr>
              <w:t>段最近距离</w:t>
            </w:r>
            <w:r>
              <w:rPr>
                <w:rFonts w:hint="eastAsia" w:ascii="Times New Roman" w:hAnsi="Times New Roman" w:eastAsia="宋体" w:cs="宋体"/>
                <w:color w:val="000000"/>
                <w:kern w:val="0"/>
                <w:sz w:val="24"/>
                <w:szCs w:val="24"/>
                <w:u w:val="none" w:color="auto"/>
                <w:lang w:val="en-US" w:eastAsia="zh-CN" w:bidi="zh-CN"/>
              </w:rPr>
              <w:t>为8.15公里（建设项</w:t>
            </w:r>
            <w:r>
              <w:rPr>
                <w:rFonts w:hint="eastAsia" w:ascii="Times New Roman" w:hAnsi="Times New Roman" w:cs="宋体"/>
                <w:color w:val="000000"/>
                <w:kern w:val="0"/>
                <w:sz w:val="24"/>
                <w:szCs w:val="24"/>
                <w:u w:val="none" w:color="auto"/>
                <w:lang w:val="en-US" w:eastAsia="zh-CN" w:bidi="zh-CN"/>
              </w:rPr>
              <w:t>目与许昌市饮用水源保护区的相对位置关系见</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附图九）</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，距</w:t>
            </w:r>
            <w:r>
              <w:rPr>
                <w:rFonts w:hint="eastAsia" w:ascii="Times New Roman" w:hAnsi="Times New Roman" w:eastAsia="宋体" w:cs="宋体"/>
                <w:color w:val="000000"/>
                <w:kern w:val="0"/>
                <w:sz w:val="24"/>
                <w:szCs w:val="24"/>
                <w:u w:val="none" w:color="auto"/>
                <w:lang w:val="en-US" w:eastAsia="zh-CN" w:bidi="zh-CN"/>
              </w:rPr>
              <w:t>离较远</w:t>
            </w:r>
            <w:r>
              <w:rPr>
                <w:rFonts w:hint="eastAsia" w:ascii="Times New Roman" w:hAnsi="Times New Roman" w:cs="宋体"/>
                <w:color w:val="000000"/>
                <w:kern w:val="0"/>
                <w:sz w:val="24"/>
                <w:szCs w:val="24"/>
                <w:u w:val="none" w:color="auto"/>
                <w:lang w:val="en-US" w:eastAsia="zh-CN" w:bidi="zh-CN"/>
              </w:rPr>
              <w:t>，</w:t>
            </w:r>
            <w:r>
              <w:rPr>
                <w:rFonts w:hint="eastAsia" w:ascii="Times New Roman" w:hAnsi="Times New Roman" w:eastAsia="宋体" w:cs="宋体"/>
                <w:color w:val="000000"/>
                <w:kern w:val="0"/>
                <w:sz w:val="24"/>
                <w:szCs w:val="24"/>
                <w:u w:val="none" w:color="auto"/>
                <w:lang w:val="en-US" w:eastAsia="zh-CN" w:bidi="zh-CN"/>
              </w:rPr>
              <w:t>工程建设不会对其水源地水质产生影响。</w:t>
            </w:r>
          </w:p>
          <w:p w14:paraId="4D6BA41D">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宋体"/>
                <w:b/>
                <w:bCs/>
                <w:color w:val="000000"/>
                <w:sz w:val="24"/>
                <w:szCs w:val="24"/>
                <w:u w:val="none"/>
                <w:lang w:val="en-US" w:eastAsia="zh-CN" w:bidi="zh-CN"/>
              </w:rPr>
            </w:pPr>
            <w:r>
              <w:rPr>
                <w:rFonts w:hint="eastAsia" w:ascii="Times New Roman" w:hAnsi="Times New Roman" w:cs="宋体"/>
                <w:b/>
                <w:bCs/>
                <w:color w:val="000000"/>
                <w:sz w:val="24"/>
                <w:szCs w:val="24"/>
                <w:u w:val="none"/>
                <w:lang w:val="en-US" w:eastAsia="zh-CN" w:bidi="zh-CN"/>
              </w:rPr>
              <w:t>11</w:t>
            </w:r>
            <w:r>
              <w:rPr>
                <w:rFonts w:hint="eastAsia" w:ascii="Times New Roman" w:hAnsi="Times New Roman" w:eastAsia="宋体" w:cs="宋体"/>
                <w:b/>
                <w:bCs/>
                <w:color w:val="000000"/>
                <w:sz w:val="24"/>
                <w:szCs w:val="24"/>
                <w:u w:val="none"/>
                <w:lang w:val="en-US" w:eastAsia="zh-CN" w:bidi="zh-CN"/>
              </w:rPr>
              <w:t>、项目选址可行性分析</w:t>
            </w:r>
          </w:p>
          <w:p w14:paraId="375A2ABC">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kern w:val="0"/>
                <w:sz w:val="24"/>
                <w:szCs w:val="24"/>
                <w:u w:val="none"/>
                <w:lang w:val="en-US" w:eastAsia="zh-CN" w:bidi="zh-CN"/>
              </w:rPr>
            </w:pPr>
            <w:r>
              <w:rPr>
                <w:rFonts w:hint="eastAsia" w:ascii="Times New Roman" w:hAnsi="Times New Roman" w:eastAsia="宋体" w:cs="宋体"/>
                <w:color w:val="000000"/>
                <w:kern w:val="0"/>
                <w:sz w:val="24"/>
                <w:szCs w:val="24"/>
                <w:u w:val="none"/>
                <w:lang w:val="en-US" w:eastAsia="zh-CN" w:bidi="zh-CN"/>
              </w:rPr>
              <w:t>本项目位于许</w:t>
            </w:r>
            <w:r>
              <w:rPr>
                <w:rFonts w:hint="eastAsia" w:ascii="Times New Roman" w:hAnsi="Times New Roman" w:cs="宋体"/>
                <w:color w:val="000000"/>
                <w:kern w:val="0"/>
                <w:sz w:val="24"/>
                <w:szCs w:val="24"/>
                <w:u w:val="none"/>
                <w:lang w:val="en-US" w:eastAsia="zh-CN" w:bidi="zh-CN"/>
              </w:rPr>
              <w:t>昌市</w:t>
            </w:r>
            <w:r>
              <w:rPr>
                <w:rFonts w:hint="eastAsia" w:ascii="Times New Roman" w:hAnsi="Times New Roman" w:eastAsia="宋体" w:cs="宋体"/>
                <w:color w:val="000000"/>
                <w:kern w:val="0"/>
                <w:sz w:val="24"/>
                <w:szCs w:val="24"/>
                <w:u w:val="none"/>
                <w:lang w:val="en-US" w:eastAsia="zh-CN" w:bidi="zh-CN"/>
              </w:rPr>
              <w:t>魏都区高桥营街道滨河路与万通大道交叉口往南20米路东2号</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（许昌宜航卫生用品有限公司院内）</w:t>
            </w:r>
            <w:r>
              <w:rPr>
                <w:rFonts w:hint="eastAsia" w:ascii="Times New Roman" w:hAnsi="Times New Roman" w:eastAsia="宋体" w:cs="宋体"/>
                <w:color w:val="000000"/>
                <w:kern w:val="0"/>
                <w:sz w:val="24"/>
                <w:szCs w:val="24"/>
                <w:u w:val="none"/>
                <w:lang w:val="en-US" w:eastAsia="zh-CN" w:bidi="zh-CN"/>
              </w:rPr>
              <w:t>。本项目附近的敏感点主要为西侧371m魏都区高桥营办事处敬老院、西南侧414m宏伟佳苑、东南侧481m北部新城居民小区。地表水体西侧246m清潩河和西侧900m灞陵河。</w:t>
            </w:r>
          </w:p>
          <w:p w14:paraId="39087304">
            <w:pPr>
              <w:pStyle w:val="20"/>
              <w:keepNext w:val="0"/>
              <w:keepLines w:val="0"/>
              <w:pageBreakBefore w:val="0"/>
              <w:widowControl/>
              <w:kinsoku/>
              <w:wordWrap/>
              <w:overflowPunct/>
              <w:topLinePunct w:val="0"/>
              <w:autoSpaceDE w:val="0"/>
              <w:autoSpaceDN w:val="0"/>
              <w:bidi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cs="宋体"/>
                <w:color w:val="000000" w:themeColor="text1"/>
                <w:sz w:val="24"/>
                <w:szCs w:val="24"/>
                <w:u w:val="none"/>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项目</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北侧</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为道路，道路北侧为许昌鑫越生物科技有限公司和</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许昌鑫增食品有限公司废弃厂房</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，项目南侧为桌垫生产企业</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，西侧为</w:t>
            </w: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厂内道路，厂内道路西侧为许昌豫清香食品有限公司，东侧为许昌蓝精灵洗涤有限公司</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p>
          <w:p w14:paraId="206EA20A">
            <w:pPr>
              <w:keepNext w:val="0"/>
              <w:keepLines w:val="0"/>
              <w:pageBreakBefore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lang w:val="en-US" w:eastAsia="zh-CN"/>
                <w14:textFill>
                  <w14:solidFill>
                    <w14:schemeClr w14:val="tx1"/>
                  </w14:solidFill>
                </w14:textFill>
              </w:rPr>
              <w:t>本项目吹塑</w:t>
            </w:r>
            <w:r>
              <w:rPr>
                <w:rFonts w:hint="eastAsia" w:ascii="Times New Roman" w:hAnsi="Times New Roman" w:cs="宋体"/>
                <w:color w:val="000000" w:themeColor="text1"/>
                <w:sz w:val="24"/>
                <w:szCs w:val="24"/>
                <w:lang w:val="en-US" w:eastAsia="zh-CN"/>
                <w14:textFill>
                  <w14:solidFill>
                    <w14:schemeClr w14:val="tx1"/>
                  </w14:solidFill>
                </w14:textFill>
              </w:rPr>
              <w:t>车间二次密闭，</w:t>
            </w:r>
            <w:r>
              <w:rPr>
                <w:rFonts w:hint="eastAsia" w:ascii="Times New Roman" w:hAnsi="Times New Roman" w:eastAsia="宋体" w:cs="宋体"/>
                <w:color w:val="000000" w:themeColor="text1"/>
                <w:sz w:val="24"/>
                <w:szCs w:val="24"/>
                <w:lang w:val="en-US" w:eastAsia="zh-CN"/>
                <w14:textFill>
                  <w14:solidFill>
                    <w14:schemeClr w14:val="tx1"/>
                  </w14:solidFill>
                </w14:textFill>
              </w:rPr>
              <w:t>废气经集气罩收集后进入二级活性炭处理，由</w:t>
            </w:r>
            <w:r>
              <w:rPr>
                <w:rFonts w:hint="default" w:ascii="Times New Roman" w:hAnsi="Times New Roman" w:eastAsia="宋体" w:cs="宋体"/>
                <w:color w:val="000000" w:themeColor="text1"/>
                <w:sz w:val="24"/>
                <w:szCs w:val="24"/>
                <w:lang w:val="en-US" w:eastAsia="zh-CN"/>
                <w14:textFill>
                  <w14:solidFill>
                    <w14:schemeClr w14:val="tx1"/>
                  </w14:solidFill>
                </w14:textFill>
              </w:rPr>
              <w:t>15m</w:t>
            </w:r>
            <w:r>
              <w:rPr>
                <w:rFonts w:hint="eastAsia" w:ascii="Times New Roman" w:hAnsi="Times New Roman" w:eastAsia="宋体" w:cs="宋体"/>
                <w:color w:val="000000" w:themeColor="text1"/>
                <w:sz w:val="24"/>
                <w:szCs w:val="24"/>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4"/>
                <w:szCs w:val="24"/>
                <w:lang w:val="en-US" w:eastAsia="zh-CN"/>
                <w14:textFill>
                  <w14:solidFill>
                    <w14:schemeClr w14:val="tx1"/>
                  </w14:solidFill>
                </w14:textFill>
              </w:rPr>
              <w:t>排放。</w:t>
            </w:r>
            <w:r>
              <w:rPr>
                <w:rFonts w:hint="eastAsia" w:ascii="Times New Roman" w:hAnsi="Times New Roman" w:cs="宋体"/>
                <w:color w:val="000000" w:themeColor="text1"/>
                <w:sz w:val="24"/>
                <w:szCs w:val="24"/>
                <w:lang w:val="en-US" w:eastAsia="zh-CN"/>
                <w14:textFill>
                  <w14:solidFill>
                    <w14:schemeClr w14:val="tx1"/>
                  </w14:solidFill>
                </w14:textFill>
              </w:rPr>
              <w:t>化妆废气产生量较少，厂房密闭，无组织排放。</w:t>
            </w:r>
            <w:r>
              <w:rPr>
                <w:rFonts w:hint="eastAsia" w:ascii="Times New Roman" w:hAnsi="Times New Roman" w:eastAsia="宋体" w:cs="宋体"/>
                <w:color w:val="000000" w:themeColor="text1"/>
                <w:sz w:val="24"/>
                <w:szCs w:val="24"/>
                <w:lang w:val="en-US" w:eastAsia="zh-CN"/>
                <w14:textFill>
                  <w14:solidFill>
                    <w14:schemeClr w14:val="tx1"/>
                  </w14:solidFill>
                </w14:textFill>
              </w:rPr>
              <w:t>危废暂存间废气经负压收集后与吹塑有机废气一起进入二级活性炭处理，由</w:t>
            </w:r>
            <w:r>
              <w:rPr>
                <w:rFonts w:hint="default" w:ascii="Times New Roman" w:hAnsi="Times New Roman" w:eastAsia="宋体" w:cs="宋体"/>
                <w:color w:val="000000" w:themeColor="text1"/>
                <w:sz w:val="24"/>
                <w:szCs w:val="24"/>
                <w:lang w:val="en-US" w:eastAsia="zh-CN"/>
                <w14:textFill>
                  <w14:solidFill>
                    <w14:schemeClr w14:val="tx1"/>
                  </w14:solidFill>
                </w14:textFill>
              </w:rPr>
              <w:t>15m</w:t>
            </w:r>
            <w:r>
              <w:rPr>
                <w:rFonts w:hint="eastAsia" w:ascii="Times New Roman" w:hAnsi="Times New Roman" w:eastAsia="宋体" w:cs="宋体"/>
                <w:color w:val="000000" w:themeColor="text1"/>
                <w:sz w:val="24"/>
                <w:szCs w:val="24"/>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宋体"/>
                <w:color w:val="000000" w:themeColor="text1"/>
                <w:sz w:val="24"/>
                <w:szCs w:val="24"/>
                <w:lang w:val="en-US" w:eastAsia="zh-CN"/>
                <w14:textFill>
                  <w14:solidFill>
                    <w14:schemeClr w14:val="tx1"/>
                  </w14:solidFill>
                </w14:textFill>
              </w:rPr>
              <w:t>排放。</w:t>
            </w:r>
            <w:r>
              <w:rPr>
                <w:rFonts w:hint="eastAsia" w:ascii="Times New Roman" w:hAnsi="Times New Roman" w:cs="宋体"/>
                <w:color w:val="000000" w:themeColor="text1"/>
                <w:sz w:val="24"/>
                <w:szCs w:val="24"/>
                <w:lang w:val="en-US" w:eastAsia="zh-CN"/>
                <w14:textFill>
                  <w14:solidFill>
                    <w14:schemeClr w14:val="tx1"/>
                  </w14:solidFill>
                </w14:textFill>
              </w:rPr>
              <w:t>粉碎产生少量粉尘，车间二次密闭，无组织排放。</w:t>
            </w:r>
            <w:r>
              <w:rPr>
                <w:rFonts w:hint="eastAsia" w:ascii="Times New Roman" w:hAnsi="Times New Roman" w:eastAsia="宋体" w:cs="宋体"/>
                <w:color w:val="000000" w:themeColor="text1"/>
                <w:sz w:val="24"/>
                <w:szCs w:val="24"/>
                <w:lang w:val="en-US" w:eastAsia="zh-CN"/>
                <w14:textFill>
                  <w14:solidFill>
                    <w14:schemeClr w14:val="tx1"/>
                  </w14:solidFill>
                </w14:textFill>
              </w:rPr>
              <w:t>职工生活污水经化粪池处理后进入许昌市鸿瀚环境技术管理有限公司。冷却水</w:t>
            </w:r>
            <w:r>
              <w:rPr>
                <w:rFonts w:hint="eastAsia" w:ascii="Times New Roman" w:hAnsi="Times New Roman" w:cs="宋体"/>
                <w:color w:val="000000" w:themeColor="text1"/>
                <w:sz w:val="24"/>
                <w:szCs w:val="24"/>
                <w:lang w:val="en-US" w:eastAsia="zh-CN"/>
                <w14:textFill>
                  <w14:solidFill>
                    <w14:schemeClr w14:val="tx1"/>
                  </w14:solidFill>
                </w14:textFill>
              </w:rPr>
              <w:t>废水</w:t>
            </w:r>
            <w:r>
              <w:rPr>
                <w:rFonts w:hint="eastAsia" w:ascii="Times New Roman" w:hAnsi="Times New Roman" w:eastAsia="宋体" w:cs="宋体"/>
                <w:color w:val="000000" w:themeColor="text1"/>
                <w:sz w:val="24"/>
                <w:szCs w:val="24"/>
                <w:lang w:val="en-US" w:eastAsia="zh-CN"/>
                <w14:textFill>
                  <w14:solidFill>
                    <w14:schemeClr w14:val="tx1"/>
                  </w14:solidFill>
                </w14:textFill>
              </w:rPr>
              <w:t>进入许昌鸿瀚环境技术管理有限公司处理。项目噪声设备采取基</w:t>
            </w:r>
            <w:r>
              <w:rPr>
                <w:rFonts w:hint="eastAsia" w:ascii="Times New Roman" w:hAnsi="Times New Roman" w:eastAsia="宋体" w:cs="宋体"/>
                <w:color w:val="000000"/>
                <w:sz w:val="24"/>
                <w:szCs w:val="24"/>
                <w:lang w:val="en-US" w:eastAsia="zh-CN"/>
              </w:rPr>
              <w:t>础减振、厂房隔声等措施，尽量减轻对周围环境的影响。项目运营期产生的各类固废均可无害化处置，不会对土壤造成影响</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。因此本项目选址可行。</w:t>
            </w:r>
          </w:p>
          <w:p w14:paraId="3E369E0D">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color w:val="000000"/>
                <w:sz w:val="24"/>
                <w:szCs w:val="24"/>
                <w:u w:val="none"/>
                <w:lang w:val="en-US" w:eastAsia="zh-CN" w:bidi="zh-CN"/>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本项目租赁地块从用地历史及用地性质分析，现状工业用地符合《许昌魏都区先进制造业开发区发展规划</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（2022-2035）</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用地功能布局示意图》</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根据许昌魏都区先进制造业开发区管理委员会出具的情况说明同意本项目入驻</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选址可行。</w:t>
            </w:r>
          </w:p>
        </w:tc>
      </w:tr>
    </w:tbl>
    <w:p w14:paraId="23C794F1">
      <w:pPr>
        <w:sectPr>
          <w:pgSz w:w="11910" w:h="1685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3C1430D5">
      <w:pPr>
        <w:pStyle w:val="10"/>
        <w:spacing w:before="58"/>
        <w:ind w:left="635" w:right="653"/>
        <w:jc w:val="center"/>
      </w:pPr>
      <w:r>
        <w:t>二、建设项目工程分析</w:t>
      </w:r>
    </w:p>
    <w:tbl>
      <w:tblPr>
        <w:tblStyle w:val="23"/>
        <w:tblW w:w="8882"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34"/>
        <w:gridCol w:w="8148"/>
      </w:tblGrid>
      <w:tr w14:paraId="7E26B3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1860" w:hRule="atLeast"/>
        </w:trPr>
        <w:tc>
          <w:tcPr>
            <w:tcW w:w="734" w:type="dxa"/>
            <w:tcBorders>
              <w:bottom w:val="single" w:color="auto" w:sz="4" w:space="0"/>
              <w:right w:val="single" w:color="000000" w:sz="4" w:space="0"/>
            </w:tcBorders>
            <w:vAlign w:val="center"/>
          </w:tcPr>
          <w:p w14:paraId="33D96B5F">
            <w:pPr>
              <w:pStyle w:val="44"/>
              <w:widowControl w:val="0"/>
              <w:wordWrap/>
              <w:autoSpaceDE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1"/>
                <w:szCs w:val="20"/>
                <w:u w:val="none" w:color="auto"/>
                <w:lang w:eastAsia="zh-CN"/>
              </w:rPr>
            </w:pPr>
            <w:r>
              <w:rPr>
                <w:rFonts w:hint="default" w:ascii="Times New Roman" w:hAnsi="Times New Roman" w:eastAsia="宋体" w:cs="Times New Roman"/>
                <w:sz w:val="24"/>
                <w:szCs w:val="28"/>
                <w:u w:val="none" w:color="auto"/>
              </w:rPr>
              <w:t>建设</w:t>
            </w:r>
            <w:r>
              <w:rPr>
                <w:rFonts w:hint="eastAsia" w:ascii="Times New Roman" w:hAnsi="Times New Roman" w:cs="Times New Roman"/>
                <w:sz w:val="24"/>
                <w:szCs w:val="28"/>
                <w:u w:val="none" w:color="auto"/>
                <w:lang w:val="en-US" w:eastAsia="zh-CN"/>
              </w:rPr>
              <w:t>内容</w:t>
            </w:r>
          </w:p>
        </w:tc>
        <w:tc>
          <w:tcPr>
            <w:tcW w:w="8148" w:type="dxa"/>
            <w:tcBorders>
              <w:left w:val="single" w:color="000000" w:sz="4" w:space="0"/>
              <w:bottom w:val="single" w:color="auto" w:sz="4" w:space="0"/>
            </w:tcBorders>
            <w:vAlign w:val="center"/>
          </w:tcPr>
          <w:p w14:paraId="219360D2">
            <w:pPr>
              <w:pStyle w:val="13"/>
              <w:wordWrap/>
              <w:autoSpaceDE w:val="0"/>
              <w:autoSpaceDN w:val="0"/>
              <w:snapToGrid/>
              <w:spacing w:beforeAutospacing="0" w:afterAutospacing="0" w:line="520" w:lineRule="exact"/>
              <w:ind w:firstLine="482" w:firstLineChars="200"/>
              <w:jc w:val="both"/>
              <w:textAlignment w:val="auto"/>
              <w:rPr>
                <w:rFonts w:hint="default" w:ascii="Times New Roman" w:hAnsi="Times New Roman" w:cs="Times New Roman"/>
                <w:b/>
                <w:color w:val="000000" w:themeColor="text1"/>
                <w:sz w:val="24"/>
                <w:szCs w:val="24"/>
                <w:u w:val="none" w:color="auto"/>
                <w:lang w:val="zh-CN"/>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一</w:t>
            </w:r>
            <w:r>
              <w:rPr>
                <w:rFonts w:hint="default" w:ascii="Times New Roman" w:hAnsi="Times New Roman" w:cs="Times New Roman"/>
                <w:b/>
                <w:color w:val="000000" w:themeColor="text1"/>
                <w:sz w:val="24"/>
                <w:szCs w:val="24"/>
                <w:u w:val="none" w:color="auto"/>
                <w14:textFill>
                  <w14:solidFill>
                    <w14:schemeClr w14:val="tx1"/>
                  </w14:solidFill>
                </w14:textFill>
              </w:rPr>
              <w:t>、</w:t>
            </w:r>
            <w:r>
              <w:rPr>
                <w:rFonts w:hint="default" w:ascii="Times New Roman" w:hAnsi="Times New Roman" w:cs="Times New Roman"/>
                <w:b/>
                <w:color w:val="000000" w:themeColor="text1"/>
                <w:sz w:val="24"/>
                <w:szCs w:val="24"/>
                <w:u w:val="none" w:color="auto"/>
                <w:lang w:val="zh-CN"/>
                <w14:textFill>
                  <w14:solidFill>
                    <w14:schemeClr w14:val="tx1"/>
                  </w14:solidFill>
                </w14:textFill>
              </w:rPr>
              <w:t>项目背景</w:t>
            </w:r>
          </w:p>
          <w:p w14:paraId="499CCBFF">
            <w:pPr>
              <w:widowControl/>
              <w:wordWrap/>
              <w:autoSpaceDE w:val="0"/>
              <w:autoSpaceDN w:val="0"/>
              <w:snapToGrid/>
              <w:spacing w:beforeAutospacing="0" w:afterAutospacing="0" w:line="520" w:lineRule="exact"/>
              <w:ind w:firstLine="480" w:firstLineChars="200"/>
              <w:jc w:val="both"/>
              <w:textAlignment w:val="auto"/>
              <w:rPr>
                <w:rFonts w:hint="default" w:ascii="Times New Roman" w:hAnsi="Times New Roman" w:cs="Times New Roman" w:eastAsiaTheme="minorEastAsia"/>
                <w:color w:val="000000" w:themeColor="text1"/>
                <w:sz w:val="24"/>
                <w:szCs w:val="24"/>
                <w:u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许昌益瑞斯工艺品有限公司</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在</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许昌市魏都区</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依法注册，</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厂址原位于</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许昌市魏都区</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北环北侧，年产</w:t>
            </w: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10000件模特头，</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2016年进行</w:t>
            </w: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《许昌益瑞斯工艺品有限公司年产10000件模特头项目</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现状环境影响评估</w:t>
            </w: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》。目前已停产并拆除设备，原位置不属于产业园区，因此企业拟搬迁至</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许昌魏都区先进制造业开发区</w:t>
            </w: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搬迁后产品和产能无变换，新增化妆工艺。迁建前有机废气经UV光氧+活性炭处理后有组织排放，生活污水经化粪池处理后定期清掏肥田，冷却水废水用于厂区洒水抑尘。迁建后吹塑车间二次密闭，废气经集气罩收集废气后进入二级活性炭装置处理，有组织排放。</w:t>
            </w:r>
            <w:r>
              <w:rPr>
                <w:rFonts w:hint="eastAsia" w:ascii="Times New Roman" w:hAnsi="Times New Roman" w:cs="宋体"/>
                <w:color w:val="000000" w:themeColor="text1"/>
                <w:sz w:val="24"/>
                <w:szCs w:val="24"/>
                <w:lang w:val="en-US" w:eastAsia="zh-CN"/>
                <w14:textFill>
                  <w14:solidFill>
                    <w14:schemeClr w14:val="tx1"/>
                  </w14:solidFill>
                </w14:textFill>
              </w:rPr>
              <w:t>化妆废气产生量较少，化妆间二次密闭，无组织排放。</w:t>
            </w: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生活污水经化粪池处理后排入许昌市鸿瀚环境技术管理有限公司，冷却水废水排入许昌市鸿瀚环境技术管理有限公司。</w:t>
            </w:r>
          </w:p>
          <w:p w14:paraId="4A480269">
            <w:pPr>
              <w:widowControl/>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迁建后</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项目选址位于</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河南省许昌市魏都区滨河路与万通路交叉口先进制造业开发区2号</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租赁</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厂房、办公用房，</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利用混料粉碎机、吹塑机</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等生产设备。项目总投资</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100</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万元。</w:t>
            </w:r>
          </w:p>
          <w:p w14:paraId="1E740021">
            <w:pPr>
              <w:widowControl/>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按照</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《中华人民共和国环境保护法》、《中华人民共和国环境影响评价法》和《建设项目环境保护管理条例》（国务院第</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682</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号令）的要求，该项目</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需</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进行环境影响评价。依据《建设项目环境影响评价分类管理目录》（2021年版）的规定，本项目属于</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t>二十一、文教、工美、体育和娱乐用品制造业 24，40、文教办公用品制造 241</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中</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t>有橡胶硫化工艺、塑料注塑工艺的</w:t>
            </w:r>
            <w:r>
              <w:rPr>
                <w:rFonts w:hint="eastAsia"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bidi="zh-CN"/>
                <w14:textFill>
                  <w14:solidFill>
                    <w14:schemeClr w14:val="tx1"/>
                  </w14:solidFill>
                </w14:textFill>
              </w:rPr>
              <w:t>，应编制环境影响报告表。</w:t>
            </w:r>
          </w:p>
          <w:p w14:paraId="656D4D02">
            <w:pPr>
              <w:pStyle w:val="13"/>
              <w:wordWrap/>
              <w:autoSpaceDE w:val="0"/>
              <w:autoSpaceDN w:val="0"/>
              <w:snapToGrid/>
              <w:spacing w:beforeAutospacing="0" w:afterAutospacing="0" w:line="520" w:lineRule="exact"/>
              <w:ind w:firstLine="482" w:firstLineChars="200"/>
              <w:textAlignment w:val="auto"/>
              <w:rPr>
                <w:rFonts w:hint="default" w:ascii="Times New Roman" w:hAnsi="Times New Roman" w:cs="Times New Roman"/>
                <w:b/>
                <w:bCs/>
                <w:color w:val="000000" w:themeColor="text1"/>
                <w:sz w:val="24"/>
                <w:szCs w:val="24"/>
                <w:u w:val="none" w:color="auto"/>
                <w:lang w:val="zh-CN"/>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二</w:t>
            </w:r>
            <w:r>
              <w:rPr>
                <w:rFonts w:hint="default" w:ascii="Times New Roman" w:hAnsi="Times New Roman" w:cs="Times New Roman"/>
                <w:b/>
                <w:color w:val="000000" w:themeColor="text1"/>
                <w:sz w:val="24"/>
                <w:szCs w:val="24"/>
                <w:u w:val="none" w:color="auto"/>
                <w14:textFill>
                  <w14:solidFill>
                    <w14:schemeClr w14:val="tx1"/>
                  </w14:solidFill>
                </w14:textFill>
              </w:rPr>
              <w:t>、</w:t>
            </w:r>
            <w:r>
              <w:rPr>
                <w:rFonts w:hint="default" w:ascii="Times New Roman" w:hAnsi="Times New Roman" w:cs="Times New Roman"/>
                <w:b/>
                <w:color w:val="000000" w:themeColor="text1"/>
                <w:sz w:val="24"/>
                <w:szCs w:val="24"/>
                <w:u w:val="none" w:color="auto"/>
                <w:lang w:val="zh-CN"/>
                <w14:textFill>
                  <w14:solidFill>
                    <w14:schemeClr w14:val="tx1"/>
                  </w14:solidFill>
                </w14:textFill>
              </w:rPr>
              <w:t>项目组成及主要建设内容</w:t>
            </w:r>
          </w:p>
          <w:p w14:paraId="1F9DBC46">
            <w:pPr>
              <w:widowControl w:val="0"/>
              <w:wordWrap/>
              <w:autoSpaceDE w:val="0"/>
              <w:autoSpaceDN w:val="0"/>
              <w:adjustRightInd/>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本项目主要建设内容详见表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2-1</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0AEAD012">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2-1  </w:t>
            </w: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项目组成及主要建设内容一览表</w:t>
            </w:r>
          </w:p>
          <w:tbl>
            <w:tblPr>
              <w:tblStyle w:val="23"/>
              <w:tblW w:w="81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443"/>
              <w:gridCol w:w="1302"/>
              <w:gridCol w:w="1894"/>
              <w:gridCol w:w="2684"/>
              <w:gridCol w:w="722"/>
            </w:tblGrid>
            <w:tr w14:paraId="4B450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tcBorders>
                    <w:tl2br w:val="nil"/>
                    <w:tr2bl w:val="nil"/>
                  </w:tcBorders>
                  <w:tcMar>
                    <w:left w:w="0" w:type="dxa"/>
                    <w:right w:w="0" w:type="dxa"/>
                  </w:tcMar>
                  <w:vAlign w:val="center"/>
                </w:tcPr>
                <w:p w14:paraId="114A9237">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工程类别</w:t>
                  </w:r>
                </w:p>
              </w:tc>
              <w:tc>
                <w:tcPr>
                  <w:tcW w:w="1745" w:type="dxa"/>
                  <w:gridSpan w:val="2"/>
                  <w:tcBorders>
                    <w:tl2br w:val="nil"/>
                    <w:tr2bl w:val="nil"/>
                  </w:tcBorders>
                  <w:tcMar>
                    <w:left w:w="0" w:type="dxa"/>
                    <w:right w:w="0" w:type="dxa"/>
                  </w:tcMar>
                  <w:vAlign w:val="center"/>
                </w:tcPr>
                <w:p w14:paraId="6985AC72">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color w:val="000000" w:themeColor="text1"/>
                      <w:sz w:val="21"/>
                      <w:szCs w:val="21"/>
                      <w:u w:val="none" w:color="auto"/>
                      <w:lang w:eastAsia="zh-CN"/>
                      <w14:textFill>
                        <w14:solidFill>
                          <w14:schemeClr w14:val="tx1"/>
                        </w14:solidFill>
                      </w14:textFill>
                    </w:rPr>
                    <w:t>工程内容</w:t>
                  </w:r>
                </w:p>
              </w:tc>
              <w:tc>
                <w:tcPr>
                  <w:tcW w:w="4578" w:type="dxa"/>
                  <w:gridSpan w:val="2"/>
                  <w:tcBorders>
                    <w:tl2br w:val="nil"/>
                    <w:tr2bl w:val="nil"/>
                  </w:tcBorders>
                  <w:tcMar>
                    <w:left w:w="0" w:type="dxa"/>
                    <w:right w:w="0" w:type="dxa"/>
                  </w:tcMar>
                  <w:vAlign w:val="center"/>
                </w:tcPr>
                <w:p w14:paraId="7A0A964B">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t>工程内容及规模</w:t>
                  </w:r>
                </w:p>
              </w:tc>
              <w:tc>
                <w:tcPr>
                  <w:tcW w:w="722" w:type="dxa"/>
                  <w:tcBorders>
                    <w:tl2br w:val="nil"/>
                    <w:tr2bl w:val="nil"/>
                  </w:tcBorders>
                  <w:tcMar>
                    <w:left w:w="0" w:type="dxa"/>
                    <w:right w:w="0" w:type="dxa"/>
                  </w:tcMar>
                  <w:vAlign w:val="center"/>
                </w:tcPr>
                <w:p w14:paraId="17D598DB">
                  <w:pPr>
                    <w:widowControl w:val="0"/>
                    <w:wordWrap/>
                    <w:adjustRightInd/>
                    <w:snapToGrid/>
                    <w:spacing w:beforeAutospacing="0" w:afterAutospacing="0" w:line="360" w:lineRule="exact"/>
                    <w:jc w:val="center"/>
                    <w:textAlignment w:val="auto"/>
                    <w:rPr>
                      <w:rFonts w:hint="eastAsia" w:ascii="Times New Roman" w:hAnsi="Times New Roman" w:eastAsia="宋体" w:cs="Times New Roman"/>
                      <w:b/>
                      <w:bCs/>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color w:val="000000" w:themeColor="text1"/>
                      <w:sz w:val="21"/>
                      <w:szCs w:val="21"/>
                      <w:u w:val="none" w:color="auto"/>
                      <w:lang w:val="en-US" w:eastAsia="zh-CN"/>
                      <w14:textFill>
                        <w14:solidFill>
                          <w14:schemeClr w14:val="tx1"/>
                        </w14:solidFill>
                      </w14:textFill>
                    </w:rPr>
                    <w:t>备注</w:t>
                  </w:r>
                </w:p>
              </w:tc>
            </w:tr>
            <w:tr w14:paraId="7964F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1078" w:type="dxa"/>
                  <w:tcBorders>
                    <w:tl2br w:val="nil"/>
                    <w:tr2bl w:val="nil"/>
                  </w:tcBorders>
                  <w:tcMar>
                    <w:left w:w="0" w:type="dxa"/>
                    <w:right w:w="0" w:type="dxa"/>
                  </w:tcMar>
                  <w:vAlign w:val="center"/>
                </w:tcPr>
                <w:p w14:paraId="77A6C618">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主体工程</w:t>
                  </w:r>
                </w:p>
              </w:tc>
              <w:tc>
                <w:tcPr>
                  <w:tcW w:w="1745" w:type="dxa"/>
                  <w:gridSpan w:val="2"/>
                  <w:tcBorders>
                    <w:tl2br w:val="nil"/>
                    <w:tr2bl w:val="nil"/>
                  </w:tcBorders>
                  <w:tcMar>
                    <w:left w:w="0" w:type="dxa"/>
                    <w:right w:w="0" w:type="dxa"/>
                  </w:tcMar>
                  <w:vAlign w:val="center"/>
                </w:tcPr>
                <w:p w14:paraId="639A95C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1楼车间</w:t>
                  </w:r>
                </w:p>
              </w:tc>
              <w:tc>
                <w:tcPr>
                  <w:tcW w:w="4578" w:type="dxa"/>
                  <w:gridSpan w:val="2"/>
                  <w:tcBorders>
                    <w:tl2br w:val="nil"/>
                    <w:tr2bl w:val="nil"/>
                  </w:tcBorders>
                  <w:tcMar>
                    <w:left w:w="0" w:type="dxa"/>
                    <w:right w:w="0" w:type="dxa"/>
                  </w:tcMar>
                  <w:vAlign w:val="center"/>
                </w:tcPr>
                <w:p w14:paraId="39AB509A">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钢架结构，一层，建筑面积2000m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，生产面积1200m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，分为混料区</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粉碎区</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、吹塑区、化妆区、包装区。</w:t>
                  </w:r>
                </w:p>
              </w:tc>
              <w:tc>
                <w:tcPr>
                  <w:tcW w:w="722" w:type="dxa"/>
                  <w:tcBorders>
                    <w:tl2br w:val="nil"/>
                    <w:tr2bl w:val="nil"/>
                  </w:tcBorders>
                  <w:tcMar>
                    <w:left w:w="0" w:type="dxa"/>
                    <w:right w:w="0" w:type="dxa"/>
                  </w:tcMar>
                  <w:vAlign w:val="center"/>
                </w:tcPr>
                <w:p w14:paraId="79E86A5E">
                  <w:pPr>
                    <w:widowControl w:val="0"/>
                    <w:wordWrap/>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69C8B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restart"/>
                  <w:tcBorders>
                    <w:tl2br w:val="nil"/>
                    <w:tr2bl w:val="nil"/>
                  </w:tcBorders>
                  <w:tcMar>
                    <w:left w:w="0" w:type="dxa"/>
                    <w:right w:w="0" w:type="dxa"/>
                  </w:tcMar>
                  <w:vAlign w:val="center"/>
                </w:tcPr>
                <w:p w14:paraId="61C92153">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辅助工程</w:t>
                  </w:r>
                </w:p>
              </w:tc>
              <w:tc>
                <w:tcPr>
                  <w:tcW w:w="1745" w:type="dxa"/>
                  <w:gridSpan w:val="2"/>
                  <w:tcBorders>
                    <w:tl2br w:val="nil"/>
                    <w:tr2bl w:val="nil"/>
                  </w:tcBorders>
                  <w:tcMar>
                    <w:left w:w="0" w:type="dxa"/>
                    <w:right w:w="0" w:type="dxa"/>
                  </w:tcMar>
                  <w:vAlign w:val="center"/>
                </w:tcPr>
                <w:p w14:paraId="4DCE07F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原料库</w:t>
                  </w:r>
                </w:p>
              </w:tc>
              <w:tc>
                <w:tcPr>
                  <w:tcW w:w="4578" w:type="dxa"/>
                  <w:gridSpan w:val="2"/>
                  <w:tcBorders>
                    <w:tl2br w:val="nil"/>
                    <w:tr2bl w:val="nil"/>
                  </w:tcBorders>
                  <w:tcMar>
                    <w:left w:w="0" w:type="dxa"/>
                    <w:right w:w="0" w:type="dxa"/>
                  </w:tcMar>
                  <w:vAlign w:val="center"/>
                </w:tcPr>
                <w:p w14:paraId="240FEEF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位于生产车间200m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3DB95530">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23022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75ED67B5">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5" w:type="dxa"/>
                  <w:gridSpan w:val="2"/>
                  <w:tcBorders>
                    <w:tl2br w:val="nil"/>
                    <w:tr2bl w:val="nil"/>
                  </w:tcBorders>
                  <w:tcMar>
                    <w:left w:w="0" w:type="dxa"/>
                    <w:right w:w="0" w:type="dxa"/>
                  </w:tcMar>
                  <w:vAlign w:val="center"/>
                </w:tcPr>
                <w:p w14:paraId="6012613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成品仓</w:t>
                  </w:r>
                </w:p>
              </w:tc>
              <w:tc>
                <w:tcPr>
                  <w:tcW w:w="4578" w:type="dxa"/>
                  <w:gridSpan w:val="2"/>
                  <w:tcBorders>
                    <w:tl2br w:val="nil"/>
                    <w:tr2bl w:val="nil"/>
                  </w:tcBorders>
                  <w:tcMar>
                    <w:left w:w="0" w:type="dxa"/>
                    <w:right w:w="0" w:type="dxa"/>
                  </w:tcMar>
                  <w:vAlign w:val="center"/>
                </w:tcPr>
                <w:p w14:paraId="189B8A9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位于生产车间200m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6009A600">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39258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078" w:type="dxa"/>
                  <w:vMerge w:val="continue"/>
                  <w:tcBorders>
                    <w:tl2br w:val="nil"/>
                    <w:tr2bl w:val="nil"/>
                  </w:tcBorders>
                  <w:tcMar>
                    <w:left w:w="0" w:type="dxa"/>
                    <w:right w:w="0" w:type="dxa"/>
                  </w:tcMar>
                  <w:vAlign w:val="center"/>
                </w:tcPr>
                <w:p w14:paraId="4B6A3D96">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5" w:type="dxa"/>
                  <w:gridSpan w:val="2"/>
                  <w:tcBorders>
                    <w:tl2br w:val="nil"/>
                    <w:tr2bl w:val="nil"/>
                  </w:tcBorders>
                  <w:tcMar>
                    <w:left w:w="0" w:type="dxa"/>
                    <w:right w:w="0" w:type="dxa"/>
                  </w:tcMar>
                  <w:vAlign w:val="center"/>
                </w:tcPr>
                <w:p w14:paraId="35219E2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办公室</w:t>
                  </w:r>
                </w:p>
              </w:tc>
              <w:tc>
                <w:tcPr>
                  <w:tcW w:w="4578" w:type="dxa"/>
                  <w:gridSpan w:val="2"/>
                  <w:tcBorders>
                    <w:tl2br w:val="nil"/>
                    <w:tr2bl w:val="nil"/>
                  </w:tcBorders>
                  <w:tcMar>
                    <w:left w:w="0" w:type="dxa"/>
                    <w:right w:w="0" w:type="dxa"/>
                  </w:tcMar>
                  <w:vAlign w:val="center"/>
                </w:tcPr>
                <w:p w14:paraId="190C29B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厂房1楼西北角200m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，厂房1楼西南角200m</w:t>
                  </w:r>
                  <w:r>
                    <w:rPr>
                      <w:rFonts w:hint="eastAsia" w:ascii="Times New Roman" w:hAnsi="Times New Roman" w:cs="Times New Roman"/>
                      <w:bCs/>
                      <w:color w:val="000000" w:themeColor="text1"/>
                      <w:sz w:val="21"/>
                      <w:szCs w:val="21"/>
                      <w:u w:val="none" w:color="auto"/>
                      <w:vertAlign w:val="superscript"/>
                      <w:lang w:val="en-US" w:eastAsia="zh-CN"/>
                      <w14:textFill>
                        <w14:solidFill>
                          <w14:schemeClr w14:val="tx1"/>
                        </w14:solidFill>
                      </w14:textFill>
                    </w:rPr>
                    <w:t>2</w:t>
                  </w:r>
                </w:p>
              </w:tc>
              <w:tc>
                <w:tcPr>
                  <w:tcW w:w="722" w:type="dxa"/>
                  <w:tcBorders>
                    <w:tl2br w:val="nil"/>
                    <w:tr2bl w:val="nil"/>
                  </w:tcBorders>
                  <w:tcMar>
                    <w:left w:w="0" w:type="dxa"/>
                    <w:right w:w="0" w:type="dxa"/>
                  </w:tcMar>
                  <w:vAlign w:val="center"/>
                </w:tcPr>
                <w:p w14:paraId="5F7540CC">
                  <w:pPr>
                    <w:widowControl w:val="0"/>
                    <w:wordWrap/>
                    <w:adjustRightInd/>
                    <w:snapToGrid/>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租赁</w:t>
                  </w:r>
                </w:p>
              </w:tc>
            </w:tr>
            <w:tr w14:paraId="7235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78" w:type="dxa"/>
                  <w:vMerge w:val="restart"/>
                  <w:tcBorders>
                    <w:tl2br w:val="nil"/>
                    <w:tr2bl w:val="nil"/>
                  </w:tcBorders>
                  <w:tcMar>
                    <w:left w:w="0" w:type="dxa"/>
                    <w:right w:w="0" w:type="dxa"/>
                  </w:tcMar>
                  <w:vAlign w:val="center"/>
                </w:tcPr>
                <w:p w14:paraId="40F10F32">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14:textFill>
                        <w14:solidFill>
                          <w14:schemeClr w14:val="tx1"/>
                        </w14:solidFill>
                      </w14:textFill>
                    </w:rPr>
                    <w:t>公用工程</w:t>
                  </w:r>
                </w:p>
              </w:tc>
              <w:tc>
                <w:tcPr>
                  <w:tcW w:w="1745" w:type="dxa"/>
                  <w:gridSpan w:val="2"/>
                  <w:tcBorders>
                    <w:tl2br w:val="nil"/>
                    <w:tr2bl w:val="nil"/>
                  </w:tcBorders>
                  <w:tcMar>
                    <w:left w:w="0" w:type="dxa"/>
                    <w:right w:w="0" w:type="dxa"/>
                  </w:tcMar>
                  <w:vAlign w:val="center"/>
                </w:tcPr>
                <w:p w14:paraId="6C2DBEA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给水</w:t>
                  </w:r>
                </w:p>
              </w:tc>
              <w:tc>
                <w:tcPr>
                  <w:tcW w:w="4578" w:type="dxa"/>
                  <w:gridSpan w:val="2"/>
                  <w:tcBorders>
                    <w:tl2br w:val="nil"/>
                    <w:tr2bl w:val="nil"/>
                  </w:tcBorders>
                  <w:tcMar>
                    <w:left w:w="0" w:type="dxa"/>
                    <w:right w:w="0" w:type="dxa"/>
                  </w:tcMar>
                  <w:vAlign w:val="center"/>
                </w:tcPr>
                <w:p w14:paraId="7A17555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市政供水</w:t>
                  </w:r>
                </w:p>
              </w:tc>
              <w:tc>
                <w:tcPr>
                  <w:tcW w:w="722" w:type="dxa"/>
                  <w:tcBorders>
                    <w:tl2br w:val="nil"/>
                    <w:tr2bl w:val="nil"/>
                  </w:tcBorders>
                  <w:tcMar>
                    <w:left w:w="0" w:type="dxa"/>
                    <w:right w:w="0" w:type="dxa"/>
                  </w:tcMar>
                  <w:vAlign w:val="center"/>
                </w:tcPr>
                <w:p w14:paraId="56B23CC4">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r w14:paraId="5C64D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078" w:type="dxa"/>
                  <w:vMerge w:val="continue"/>
                  <w:tcBorders>
                    <w:tl2br w:val="nil"/>
                    <w:tr2bl w:val="nil"/>
                  </w:tcBorders>
                  <w:tcMar>
                    <w:left w:w="0" w:type="dxa"/>
                    <w:right w:w="0" w:type="dxa"/>
                  </w:tcMar>
                  <w:vAlign w:val="center"/>
                </w:tcPr>
                <w:p w14:paraId="7F806FE6">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5" w:type="dxa"/>
                  <w:gridSpan w:val="2"/>
                  <w:tcBorders>
                    <w:tl2br w:val="nil"/>
                    <w:tr2bl w:val="nil"/>
                  </w:tcBorders>
                  <w:tcMar>
                    <w:left w:w="0" w:type="dxa"/>
                    <w:right w:w="0" w:type="dxa"/>
                  </w:tcMar>
                  <w:vAlign w:val="center"/>
                </w:tcPr>
                <w:p w14:paraId="77E02FD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排水</w:t>
                  </w:r>
                </w:p>
              </w:tc>
              <w:tc>
                <w:tcPr>
                  <w:tcW w:w="4578" w:type="dxa"/>
                  <w:gridSpan w:val="2"/>
                  <w:tcBorders>
                    <w:tl2br w:val="nil"/>
                    <w:tr2bl w:val="nil"/>
                  </w:tcBorders>
                  <w:tcMar>
                    <w:left w:w="0" w:type="dxa"/>
                    <w:right w:w="0" w:type="dxa"/>
                  </w:tcMar>
                  <w:vAlign w:val="center"/>
                </w:tcPr>
                <w:p w14:paraId="393D798B">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雨污分流；</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生活污水经厂区化粪池（20m</w:t>
                  </w:r>
                  <w:r>
                    <w:rPr>
                      <w:rFonts w:hint="eastAsia" w:ascii="Times New Roman" w:hAnsi="Times New Roman" w:cs="宋体"/>
                      <w:color w:val="000000" w:themeColor="text1"/>
                      <w:kern w:val="0"/>
                      <w:sz w:val="21"/>
                      <w:szCs w:val="21"/>
                      <w:u w:val="none" w:color="auto"/>
                      <w:vertAlign w:val="superscript"/>
                      <w:lang w:val="en-US" w:eastAsia="zh-CN" w:bidi="zh-CN"/>
                      <w14:textFill>
                        <w14:solidFill>
                          <w14:schemeClr w14:val="tx1"/>
                        </w14:solidFill>
                      </w14:textFill>
                    </w:rPr>
                    <w:t>3</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）处理</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进入许昌市鸿瀚环境技术管理有限公司</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。冷却水废水经排污管道</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进入许昌市鸿瀚环境技术管理有限公司。</w:t>
                  </w:r>
                </w:p>
              </w:tc>
              <w:tc>
                <w:tcPr>
                  <w:tcW w:w="722" w:type="dxa"/>
                  <w:tcBorders>
                    <w:tl2br w:val="nil"/>
                    <w:tr2bl w:val="nil"/>
                  </w:tcBorders>
                  <w:tcMar>
                    <w:left w:w="0" w:type="dxa"/>
                    <w:right w:w="0" w:type="dxa"/>
                  </w:tcMar>
                  <w:vAlign w:val="center"/>
                </w:tcPr>
                <w:p w14:paraId="6E770504">
                  <w:pPr>
                    <w:widowControl w:val="0"/>
                    <w:wordWrap/>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依托现有</w:t>
                  </w:r>
                </w:p>
              </w:tc>
            </w:tr>
            <w:tr w14:paraId="05868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CAEF491">
                  <w:pPr>
                    <w:widowControl w:val="0"/>
                    <w:wordWrap/>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5" w:type="dxa"/>
                  <w:gridSpan w:val="2"/>
                  <w:tcBorders>
                    <w:tl2br w:val="nil"/>
                    <w:tr2bl w:val="nil"/>
                  </w:tcBorders>
                  <w:tcMar>
                    <w:left w:w="0" w:type="dxa"/>
                    <w:right w:w="0" w:type="dxa"/>
                  </w:tcMar>
                  <w:vAlign w:val="center"/>
                </w:tcPr>
                <w:p w14:paraId="3C3E516E">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电力</w:t>
                  </w:r>
                </w:p>
              </w:tc>
              <w:tc>
                <w:tcPr>
                  <w:tcW w:w="4578" w:type="dxa"/>
                  <w:gridSpan w:val="2"/>
                  <w:tcBorders>
                    <w:tl2br w:val="nil"/>
                    <w:tr2bl w:val="nil"/>
                  </w:tcBorders>
                  <w:tcMar>
                    <w:left w:w="0" w:type="dxa"/>
                    <w:right w:w="0" w:type="dxa"/>
                  </w:tcMar>
                  <w:vAlign w:val="center"/>
                </w:tcPr>
                <w:p w14:paraId="0143577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市政电网</w:t>
                  </w:r>
                </w:p>
              </w:tc>
              <w:tc>
                <w:tcPr>
                  <w:tcW w:w="722" w:type="dxa"/>
                  <w:tcBorders>
                    <w:tl2br w:val="nil"/>
                    <w:tr2bl w:val="nil"/>
                  </w:tcBorders>
                  <w:tcMar>
                    <w:left w:w="0" w:type="dxa"/>
                    <w:right w:w="0" w:type="dxa"/>
                  </w:tcMar>
                  <w:vAlign w:val="center"/>
                </w:tcPr>
                <w:p w14:paraId="47AB83A0">
                  <w:pPr>
                    <w:widowControl w:val="0"/>
                    <w:wordWrap/>
                    <w:adjustRightInd/>
                    <w:snapToGrid/>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r>
            <w:tr w14:paraId="13BAD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restart"/>
                  <w:tcBorders>
                    <w:tl2br w:val="nil"/>
                    <w:tr2bl w:val="nil"/>
                  </w:tcBorders>
                  <w:tcMar>
                    <w:left w:w="0" w:type="dxa"/>
                    <w:right w:w="0" w:type="dxa"/>
                  </w:tcMar>
                  <w:vAlign w:val="center"/>
                </w:tcPr>
                <w:p w14:paraId="4B98233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t>环保工程</w:t>
                  </w:r>
                </w:p>
              </w:tc>
              <w:tc>
                <w:tcPr>
                  <w:tcW w:w="443" w:type="dxa"/>
                  <w:vMerge w:val="restart"/>
                  <w:tcBorders>
                    <w:tl2br w:val="nil"/>
                    <w:tr2bl w:val="nil"/>
                  </w:tcBorders>
                  <w:tcMar>
                    <w:left w:w="0" w:type="dxa"/>
                    <w:right w:w="0" w:type="dxa"/>
                  </w:tcMar>
                  <w:vAlign w:val="center"/>
                </w:tcPr>
                <w:p w14:paraId="303413B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废气</w:t>
                  </w:r>
                </w:p>
              </w:tc>
              <w:tc>
                <w:tcPr>
                  <w:tcW w:w="1302" w:type="dxa"/>
                  <w:tcBorders>
                    <w:tl2br w:val="nil"/>
                    <w:tr2bl w:val="nil"/>
                  </w:tcBorders>
                  <w:tcMar>
                    <w:left w:w="0" w:type="dxa"/>
                    <w:right w:w="0" w:type="dxa"/>
                  </w:tcMar>
                  <w:vAlign w:val="center"/>
                </w:tcPr>
                <w:p w14:paraId="6065AC6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吹塑废气</w:t>
                  </w:r>
                </w:p>
              </w:tc>
              <w:tc>
                <w:tcPr>
                  <w:tcW w:w="4578" w:type="dxa"/>
                  <w:gridSpan w:val="2"/>
                  <w:tcBorders>
                    <w:tl2br w:val="nil"/>
                    <w:tr2bl w:val="nil"/>
                  </w:tcBorders>
                  <w:tcMar>
                    <w:left w:w="0" w:type="dxa"/>
                    <w:right w:w="0" w:type="dxa"/>
                  </w:tcMar>
                  <w:vAlign w:val="center"/>
                </w:tcPr>
                <w:p w14:paraId="6EB8B316">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吹塑车间二次密闭，</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集气罩收集，进入二级活性炭装置处理后由15m高排气筒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c>
                <w:tcPr>
                  <w:tcW w:w="722" w:type="dxa"/>
                  <w:vMerge w:val="restart"/>
                  <w:tcBorders>
                    <w:tl2br w:val="nil"/>
                    <w:tr2bl w:val="nil"/>
                  </w:tcBorders>
                  <w:tcMar>
                    <w:left w:w="0" w:type="dxa"/>
                    <w:right w:w="0" w:type="dxa"/>
                  </w:tcMar>
                  <w:vAlign w:val="center"/>
                </w:tcPr>
                <w:p w14:paraId="5574205E">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新建</w:t>
                  </w:r>
                </w:p>
              </w:tc>
            </w:tr>
            <w:tr w14:paraId="30C2C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598D4AA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15526F08">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1302" w:type="dxa"/>
                  <w:tcBorders>
                    <w:tl2br w:val="nil"/>
                    <w:tr2bl w:val="nil"/>
                  </w:tcBorders>
                  <w:tcMar>
                    <w:left w:w="0" w:type="dxa"/>
                    <w:right w:w="0" w:type="dxa"/>
                  </w:tcMar>
                  <w:vAlign w:val="center"/>
                </w:tcPr>
                <w:p w14:paraId="6CF5CC2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危废暂存间废气</w:t>
                  </w:r>
                </w:p>
              </w:tc>
              <w:tc>
                <w:tcPr>
                  <w:tcW w:w="4578" w:type="dxa"/>
                  <w:gridSpan w:val="2"/>
                  <w:tcBorders>
                    <w:tl2br w:val="nil"/>
                    <w:tr2bl w:val="nil"/>
                  </w:tcBorders>
                  <w:tcMar>
                    <w:left w:w="0" w:type="dxa"/>
                    <w:right w:w="0" w:type="dxa"/>
                  </w:tcMar>
                  <w:vAlign w:val="center"/>
                </w:tcPr>
                <w:p w14:paraId="737CD665">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负压收集，与吹塑废气进入二级活性炭装置处理后由15m高排气筒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w:t>
                  </w:r>
                </w:p>
              </w:tc>
              <w:tc>
                <w:tcPr>
                  <w:tcW w:w="722" w:type="dxa"/>
                  <w:vMerge w:val="continue"/>
                  <w:tcBorders>
                    <w:tl2br w:val="nil"/>
                    <w:tr2bl w:val="nil"/>
                  </w:tcBorders>
                  <w:tcMar>
                    <w:left w:w="0" w:type="dxa"/>
                    <w:right w:w="0" w:type="dxa"/>
                  </w:tcMar>
                  <w:vAlign w:val="center"/>
                </w:tcPr>
                <w:p w14:paraId="361B07FE">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372FB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33A77C45">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46DDD0FA">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1302" w:type="dxa"/>
                  <w:tcBorders>
                    <w:tl2br w:val="nil"/>
                    <w:tr2bl w:val="nil"/>
                  </w:tcBorders>
                  <w:tcMar>
                    <w:left w:w="0" w:type="dxa"/>
                    <w:right w:w="0" w:type="dxa"/>
                  </w:tcMar>
                  <w:vAlign w:val="center"/>
                </w:tcPr>
                <w:p w14:paraId="5627446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粉碎粉尘</w:t>
                  </w:r>
                </w:p>
              </w:tc>
              <w:tc>
                <w:tcPr>
                  <w:tcW w:w="4578" w:type="dxa"/>
                  <w:gridSpan w:val="2"/>
                  <w:tcBorders>
                    <w:tl2br w:val="nil"/>
                    <w:tr2bl w:val="nil"/>
                  </w:tcBorders>
                  <w:tcMar>
                    <w:left w:w="0" w:type="dxa"/>
                    <w:right w:w="0" w:type="dxa"/>
                  </w:tcMar>
                  <w:vAlign w:val="center"/>
                </w:tcPr>
                <w:p w14:paraId="4498C5A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产生量少，车间二次密闭，无组织排放</w:t>
                  </w:r>
                </w:p>
              </w:tc>
              <w:tc>
                <w:tcPr>
                  <w:tcW w:w="722" w:type="dxa"/>
                  <w:vMerge w:val="continue"/>
                  <w:tcBorders>
                    <w:tl2br w:val="nil"/>
                    <w:tr2bl w:val="nil"/>
                  </w:tcBorders>
                  <w:tcMar>
                    <w:left w:w="0" w:type="dxa"/>
                    <w:right w:w="0" w:type="dxa"/>
                  </w:tcMar>
                  <w:vAlign w:val="center"/>
                </w:tcPr>
                <w:p w14:paraId="617F703F">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397C8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7155AD9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4B28CE79">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p>
              </w:tc>
              <w:tc>
                <w:tcPr>
                  <w:tcW w:w="1302" w:type="dxa"/>
                  <w:tcBorders>
                    <w:tl2br w:val="nil"/>
                    <w:tr2bl w:val="nil"/>
                  </w:tcBorders>
                  <w:tcMar>
                    <w:left w:w="0" w:type="dxa"/>
                    <w:right w:w="0" w:type="dxa"/>
                  </w:tcMar>
                  <w:vAlign w:val="center"/>
                </w:tcPr>
                <w:p w14:paraId="2D302FC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化妆废气</w:t>
                  </w:r>
                </w:p>
              </w:tc>
              <w:tc>
                <w:tcPr>
                  <w:tcW w:w="4578" w:type="dxa"/>
                  <w:gridSpan w:val="2"/>
                  <w:tcBorders>
                    <w:tl2br w:val="nil"/>
                    <w:tr2bl w:val="nil"/>
                  </w:tcBorders>
                  <w:tcMar>
                    <w:left w:w="0" w:type="dxa"/>
                    <w:right w:w="0" w:type="dxa"/>
                  </w:tcMar>
                  <w:vAlign w:val="center"/>
                </w:tcPr>
                <w:p w14:paraId="113FE88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产生量少，化妆间二次密闭，无组织排放</w:t>
                  </w:r>
                </w:p>
              </w:tc>
              <w:tc>
                <w:tcPr>
                  <w:tcW w:w="722" w:type="dxa"/>
                  <w:vMerge w:val="continue"/>
                  <w:tcBorders>
                    <w:tl2br w:val="nil"/>
                    <w:tr2bl w:val="nil"/>
                  </w:tcBorders>
                  <w:tcMar>
                    <w:left w:w="0" w:type="dxa"/>
                    <w:right w:w="0" w:type="dxa"/>
                  </w:tcMar>
                  <w:vAlign w:val="center"/>
                </w:tcPr>
                <w:p w14:paraId="14E2166C">
                  <w:pPr>
                    <w:widowControl w:val="0"/>
                    <w:wordWrap/>
                    <w:adjustRightInd/>
                    <w:snapToGrid/>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r>
            <w:tr w14:paraId="069C5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1F14F0D">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restart"/>
                  <w:tcBorders>
                    <w:tl2br w:val="nil"/>
                    <w:tr2bl w:val="nil"/>
                  </w:tcBorders>
                  <w:tcMar>
                    <w:left w:w="0" w:type="dxa"/>
                    <w:right w:w="0" w:type="dxa"/>
                  </w:tcMar>
                  <w:vAlign w:val="center"/>
                </w:tcPr>
                <w:p w14:paraId="7D48303F">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废水</w:t>
                  </w:r>
                </w:p>
              </w:tc>
              <w:tc>
                <w:tcPr>
                  <w:tcW w:w="1302" w:type="dxa"/>
                  <w:tcBorders>
                    <w:tl2br w:val="nil"/>
                    <w:tr2bl w:val="nil"/>
                  </w:tcBorders>
                  <w:tcMar>
                    <w:left w:w="0" w:type="dxa"/>
                    <w:right w:w="0" w:type="dxa"/>
                  </w:tcMar>
                  <w:vAlign w:val="center"/>
                </w:tcPr>
                <w:p w14:paraId="0A0F3A08">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4578" w:type="dxa"/>
                  <w:gridSpan w:val="2"/>
                  <w:tcBorders>
                    <w:tl2br w:val="nil"/>
                    <w:tr2bl w:val="nil"/>
                  </w:tcBorders>
                  <w:tcMar>
                    <w:left w:w="0" w:type="dxa"/>
                    <w:right w:w="0" w:type="dxa"/>
                  </w:tcMar>
                  <w:vAlign w:val="center"/>
                </w:tcPr>
                <w:p w14:paraId="74F57599">
                  <w:pPr>
                    <w:widowControl w:val="0"/>
                    <w:wordWrap/>
                    <w:adjustRightInd w:val="0"/>
                    <w:snapToGrid w:val="0"/>
                    <w:spacing w:beforeAutospacing="0" w:afterAutospacing="0" w:line="360" w:lineRule="exact"/>
                    <w:ind w:left="0" w:leftChars="0" w:right="0"/>
                    <w:jc w:val="both"/>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依托厂院西南侧和东南侧办公楼化粪池（20m</w:t>
                  </w:r>
                  <w:r>
                    <w:rPr>
                      <w:rFonts w:hint="eastAsia" w:ascii="Times New Roman" w:hAnsi="Times New Roman" w:cs="宋体"/>
                      <w:color w:val="000000" w:themeColor="text1"/>
                      <w:kern w:val="0"/>
                      <w:sz w:val="21"/>
                      <w:szCs w:val="21"/>
                      <w:u w:val="none" w:color="auto"/>
                      <w:vertAlign w:val="superscript"/>
                      <w:lang w:val="en-US" w:eastAsia="zh-CN" w:bidi="zh-CN"/>
                      <w14:textFill>
                        <w14:solidFill>
                          <w14:schemeClr w14:val="tx1"/>
                        </w14:solidFill>
                      </w14:textFill>
                    </w:rPr>
                    <w:t>3</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）处理</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进入许昌市鸿瀚环境技术管理有限公司</w:t>
                  </w:r>
                </w:p>
              </w:tc>
              <w:tc>
                <w:tcPr>
                  <w:tcW w:w="722" w:type="dxa"/>
                  <w:vMerge w:val="restart"/>
                  <w:tcBorders>
                    <w:tl2br w:val="nil"/>
                    <w:tr2bl w:val="nil"/>
                  </w:tcBorders>
                  <w:tcMar>
                    <w:left w:w="0" w:type="dxa"/>
                    <w:right w:w="0" w:type="dxa"/>
                  </w:tcMar>
                  <w:vAlign w:val="center"/>
                </w:tcPr>
                <w:p w14:paraId="4B3B22F2">
                  <w:pPr>
                    <w:widowControl w:val="0"/>
                    <w:wordWrap/>
                    <w:adjustRightInd/>
                    <w:snapToGrid/>
                    <w:spacing w:beforeAutospacing="0" w:afterAutospacing="0" w:line="360" w:lineRule="exact"/>
                    <w:ind w:left="0" w:leftChars="0" w:right="0"/>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依托现有</w:t>
                  </w:r>
                </w:p>
              </w:tc>
            </w:tr>
            <w:tr w14:paraId="7DDC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5A12D045">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443" w:type="dxa"/>
                  <w:vMerge w:val="continue"/>
                  <w:tcBorders>
                    <w:tl2br w:val="nil"/>
                    <w:tr2bl w:val="nil"/>
                  </w:tcBorders>
                  <w:tcMar>
                    <w:left w:w="0" w:type="dxa"/>
                    <w:right w:w="0" w:type="dxa"/>
                  </w:tcMar>
                  <w:vAlign w:val="center"/>
                </w:tcPr>
                <w:p w14:paraId="162EC961">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302" w:type="dxa"/>
                  <w:tcBorders>
                    <w:tl2br w:val="nil"/>
                    <w:tr2bl w:val="nil"/>
                  </w:tcBorders>
                  <w:tcMar>
                    <w:left w:w="0" w:type="dxa"/>
                    <w:right w:w="0" w:type="dxa"/>
                  </w:tcMar>
                  <w:vAlign w:val="center"/>
                </w:tcPr>
                <w:p w14:paraId="0D7963BC">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冷却水废水</w:t>
                  </w:r>
                </w:p>
              </w:tc>
              <w:tc>
                <w:tcPr>
                  <w:tcW w:w="4578" w:type="dxa"/>
                  <w:gridSpan w:val="2"/>
                  <w:tcBorders>
                    <w:tl2br w:val="nil"/>
                    <w:tr2bl w:val="nil"/>
                  </w:tcBorders>
                  <w:tcMar>
                    <w:left w:w="0" w:type="dxa"/>
                    <w:right w:w="0" w:type="dxa"/>
                  </w:tcMar>
                  <w:vAlign w:val="center"/>
                </w:tcPr>
                <w:p w14:paraId="60BCC657">
                  <w:pPr>
                    <w:widowControl w:val="0"/>
                    <w:wordWrap/>
                    <w:adjustRightInd w:val="0"/>
                    <w:snapToGrid w:val="0"/>
                    <w:spacing w:beforeAutospacing="0" w:afterAutospacing="0" w:line="360" w:lineRule="exact"/>
                    <w:ind w:left="0" w:leftChars="0" w:right="0"/>
                    <w:jc w:val="both"/>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经排污管道</w:t>
                  </w:r>
                  <w:r>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t>进入许昌市鸿瀚环境技术管理有限公司。</w:t>
                  </w:r>
                </w:p>
              </w:tc>
              <w:tc>
                <w:tcPr>
                  <w:tcW w:w="722" w:type="dxa"/>
                  <w:vMerge w:val="continue"/>
                  <w:tcBorders>
                    <w:tl2br w:val="nil"/>
                    <w:tr2bl w:val="nil"/>
                  </w:tcBorders>
                  <w:tcMar>
                    <w:left w:w="0" w:type="dxa"/>
                    <w:right w:w="0" w:type="dxa"/>
                  </w:tcMar>
                  <w:vAlign w:val="center"/>
                </w:tcPr>
                <w:p w14:paraId="1E81229F">
                  <w:pPr>
                    <w:widowControl w:val="0"/>
                    <w:wordWrap/>
                    <w:adjustRightInd/>
                    <w:snapToGrid/>
                    <w:spacing w:beforeAutospacing="0" w:afterAutospacing="0" w:line="360" w:lineRule="exact"/>
                    <w:ind w:left="0" w:leftChars="0" w:right="0"/>
                    <w:jc w:val="center"/>
                    <w:textAlignment w:val="auto"/>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pPr>
                </w:p>
              </w:tc>
            </w:tr>
            <w:tr w14:paraId="372CD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dxa"/>
                  <w:vMerge w:val="continue"/>
                  <w:tcBorders>
                    <w:tl2br w:val="nil"/>
                    <w:tr2bl w:val="nil"/>
                  </w:tcBorders>
                  <w:tcMar>
                    <w:left w:w="0" w:type="dxa"/>
                    <w:right w:w="0" w:type="dxa"/>
                  </w:tcMar>
                  <w:vAlign w:val="center"/>
                </w:tcPr>
                <w:p w14:paraId="3EB82CCA">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745" w:type="dxa"/>
                  <w:gridSpan w:val="2"/>
                  <w:tcBorders>
                    <w:tl2br w:val="nil"/>
                    <w:tr2bl w:val="nil"/>
                  </w:tcBorders>
                  <w:tcMar>
                    <w:left w:w="0" w:type="dxa"/>
                    <w:right w:w="0" w:type="dxa"/>
                  </w:tcMar>
                  <w:vAlign w:val="center"/>
                </w:tcPr>
                <w:p w14:paraId="6B4E6902">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噪声</w:t>
                  </w:r>
                </w:p>
              </w:tc>
              <w:tc>
                <w:tcPr>
                  <w:tcW w:w="4578" w:type="dxa"/>
                  <w:gridSpan w:val="2"/>
                  <w:tcBorders>
                    <w:tl2br w:val="nil"/>
                    <w:tr2bl w:val="nil"/>
                  </w:tcBorders>
                  <w:tcMar>
                    <w:left w:w="0" w:type="dxa"/>
                    <w:right w:w="0" w:type="dxa"/>
                  </w:tcMar>
                  <w:vAlign w:val="center"/>
                </w:tcPr>
                <w:p w14:paraId="421AB8A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设备减振、厂房隔声</w:t>
                  </w:r>
                </w:p>
              </w:tc>
              <w:tc>
                <w:tcPr>
                  <w:tcW w:w="722" w:type="dxa"/>
                  <w:tcBorders>
                    <w:tl2br w:val="nil"/>
                    <w:tr2bl w:val="nil"/>
                  </w:tcBorders>
                  <w:tcMar>
                    <w:left w:w="0" w:type="dxa"/>
                    <w:right w:w="0" w:type="dxa"/>
                  </w:tcMar>
                  <w:vAlign w:val="center"/>
                </w:tcPr>
                <w:p w14:paraId="12C448C1">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新建</w:t>
                  </w:r>
                </w:p>
              </w:tc>
            </w:tr>
            <w:tr w14:paraId="38468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1078" w:type="dxa"/>
                  <w:vMerge w:val="continue"/>
                  <w:tcBorders>
                    <w:tl2br w:val="nil"/>
                    <w:tr2bl w:val="nil"/>
                  </w:tcBorders>
                  <w:tcMar>
                    <w:left w:w="0" w:type="dxa"/>
                    <w:right w:w="0" w:type="dxa"/>
                  </w:tcMar>
                  <w:vAlign w:val="center"/>
                </w:tcPr>
                <w:p w14:paraId="5BB3A2CD">
                  <w:pPr>
                    <w:widowControl w:val="0"/>
                    <w:wordWrap/>
                    <w:adjustRightInd/>
                    <w:snapToGrid/>
                    <w:spacing w:beforeAutospacing="0" w:afterAutospacing="0" w:line="360" w:lineRule="exact"/>
                    <w:jc w:val="center"/>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745" w:type="dxa"/>
                  <w:gridSpan w:val="2"/>
                  <w:vMerge w:val="restart"/>
                  <w:tcBorders>
                    <w:tl2br w:val="nil"/>
                    <w:tr2bl w:val="nil"/>
                  </w:tcBorders>
                  <w:tcMar>
                    <w:left w:w="0" w:type="dxa"/>
                    <w:right w:w="0" w:type="dxa"/>
                  </w:tcMar>
                  <w:vAlign w:val="center"/>
                </w:tcPr>
                <w:p w14:paraId="2F2560C1">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固废</w:t>
                  </w:r>
                </w:p>
              </w:tc>
              <w:tc>
                <w:tcPr>
                  <w:tcW w:w="1894" w:type="dxa"/>
                  <w:tcBorders>
                    <w:tl2br w:val="nil"/>
                    <w:tr2bl w:val="nil"/>
                  </w:tcBorders>
                  <w:tcMar>
                    <w:left w:w="0" w:type="dxa"/>
                    <w:right w:w="0" w:type="dxa"/>
                  </w:tcMar>
                  <w:vAlign w:val="center"/>
                </w:tcPr>
                <w:p w14:paraId="16365972">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生活垃圾</w:t>
                  </w:r>
                </w:p>
              </w:tc>
              <w:tc>
                <w:tcPr>
                  <w:tcW w:w="2684" w:type="dxa"/>
                  <w:tcBorders>
                    <w:tl2br w:val="nil"/>
                    <w:tr2bl w:val="nil"/>
                  </w:tcBorders>
                  <w:tcMar>
                    <w:left w:w="0" w:type="dxa"/>
                    <w:right w:w="0" w:type="dxa"/>
                  </w:tcMar>
                  <w:vAlign w:val="center"/>
                </w:tcPr>
                <w:p w14:paraId="45B1D105">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环卫部门定期清运</w:t>
                  </w:r>
                </w:p>
              </w:tc>
              <w:tc>
                <w:tcPr>
                  <w:tcW w:w="722" w:type="dxa"/>
                  <w:vMerge w:val="restart"/>
                  <w:tcBorders>
                    <w:tl2br w:val="nil"/>
                    <w:tr2bl w:val="nil"/>
                  </w:tcBorders>
                  <w:tcMar>
                    <w:left w:w="0" w:type="dxa"/>
                    <w:right w:w="0" w:type="dxa"/>
                  </w:tcMar>
                  <w:vAlign w:val="center"/>
                </w:tcPr>
                <w:p w14:paraId="5437E70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新建</w:t>
                  </w:r>
                </w:p>
              </w:tc>
            </w:tr>
            <w:tr w14:paraId="607B6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1117030">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0"/>
                      <w:szCs w:val="20"/>
                      <w:u w:val="none" w:color="auto"/>
                      <w14:textFill>
                        <w14:solidFill>
                          <w14:schemeClr w14:val="tx1"/>
                        </w14:solidFill>
                      </w14:textFill>
                    </w:rPr>
                  </w:pPr>
                </w:p>
              </w:tc>
              <w:tc>
                <w:tcPr>
                  <w:tcW w:w="1745" w:type="dxa"/>
                  <w:gridSpan w:val="2"/>
                  <w:vMerge w:val="continue"/>
                  <w:tcBorders>
                    <w:tl2br w:val="nil"/>
                    <w:tr2bl w:val="nil"/>
                  </w:tcBorders>
                  <w:tcMar>
                    <w:left w:w="0" w:type="dxa"/>
                    <w:right w:w="0" w:type="dxa"/>
                  </w:tcMar>
                  <w:vAlign w:val="center"/>
                </w:tcPr>
                <w:p w14:paraId="2A5942E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p>
              </w:tc>
              <w:tc>
                <w:tcPr>
                  <w:tcW w:w="1894" w:type="dxa"/>
                  <w:tcBorders>
                    <w:tl2br w:val="nil"/>
                    <w:tr2bl w:val="nil"/>
                  </w:tcBorders>
                  <w:tcMar>
                    <w:left w:w="0" w:type="dxa"/>
                    <w:right w:w="0" w:type="dxa"/>
                  </w:tcMar>
                  <w:vAlign w:val="center"/>
                </w:tcPr>
                <w:p w14:paraId="07048A1D">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一般固废暂存间</w:t>
                  </w:r>
                </w:p>
              </w:tc>
              <w:tc>
                <w:tcPr>
                  <w:tcW w:w="2684" w:type="dxa"/>
                  <w:tcBorders>
                    <w:tl2br w:val="nil"/>
                    <w:tr2bl w:val="nil"/>
                  </w:tcBorders>
                  <w:tcMar>
                    <w:left w:w="0" w:type="dxa"/>
                    <w:right w:w="0" w:type="dxa"/>
                  </w:tcMar>
                  <w:vAlign w:val="center"/>
                </w:tcPr>
                <w:p w14:paraId="3C287B40">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10m</w:t>
                  </w:r>
                  <w:r>
                    <w:rPr>
                      <w:rFonts w:hint="eastAsia" w:ascii="Times New Roman" w:hAnsi="Times New Roman" w:cs="Times New Roman"/>
                      <w:bCs/>
                      <w:color w:val="000000" w:themeColor="text1"/>
                      <w:sz w:val="21"/>
                      <w:szCs w:val="21"/>
                      <w:vertAlign w:val="superscript"/>
                      <w:lang w:val="en-US" w:eastAsia="zh-CN"/>
                      <w14:textFill>
                        <w14:solidFill>
                          <w14:schemeClr w14:val="tx1"/>
                        </w14:solidFill>
                      </w14:textFill>
                    </w:rPr>
                    <w:t>2</w:t>
                  </w:r>
                </w:p>
              </w:tc>
              <w:tc>
                <w:tcPr>
                  <w:tcW w:w="722" w:type="dxa"/>
                  <w:vMerge w:val="continue"/>
                  <w:tcBorders>
                    <w:tl2br w:val="nil"/>
                    <w:tr2bl w:val="nil"/>
                  </w:tcBorders>
                  <w:tcMar>
                    <w:left w:w="0" w:type="dxa"/>
                    <w:right w:w="0" w:type="dxa"/>
                  </w:tcMar>
                  <w:vAlign w:val="center"/>
                </w:tcPr>
                <w:p w14:paraId="77EBA51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r>
            <w:tr w14:paraId="1DD94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8" w:type="dxa"/>
                  <w:vMerge w:val="continue"/>
                  <w:tcBorders>
                    <w:tl2br w:val="nil"/>
                    <w:tr2bl w:val="nil"/>
                  </w:tcBorders>
                  <w:tcMar>
                    <w:left w:w="0" w:type="dxa"/>
                    <w:right w:w="0" w:type="dxa"/>
                  </w:tcMar>
                  <w:vAlign w:val="center"/>
                </w:tcPr>
                <w:p w14:paraId="02AE93C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p>
              </w:tc>
              <w:tc>
                <w:tcPr>
                  <w:tcW w:w="1745" w:type="dxa"/>
                  <w:gridSpan w:val="2"/>
                  <w:vMerge w:val="continue"/>
                  <w:tcBorders>
                    <w:tl2br w:val="nil"/>
                    <w:tr2bl w:val="nil"/>
                  </w:tcBorders>
                  <w:tcMar>
                    <w:left w:w="0" w:type="dxa"/>
                    <w:right w:w="0" w:type="dxa"/>
                  </w:tcMar>
                  <w:vAlign w:val="center"/>
                </w:tcPr>
                <w:p w14:paraId="12A31905">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themeColor="text1"/>
                      <w:sz w:val="21"/>
                      <w:szCs w:val="21"/>
                      <w:lang w:val="en-US" w:eastAsia="zh-CN"/>
                      <w14:textFill>
                        <w14:solidFill>
                          <w14:schemeClr w14:val="tx1"/>
                        </w14:solidFill>
                      </w14:textFill>
                    </w:rPr>
                  </w:pPr>
                </w:p>
              </w:tc>
              <w:tc>
                <w:tcPr>
                  <w:tcW w:w="1894" w:type="dxa"/>
                  <w:tcBorders>
                    <w:tl2br w:val="nil"/>
                    <w:tr2bl w:val="nil"/>
                  </w:tcBorders>
                  <w:tcMar>
                    <w:left w:w="0" w:type="dxa"/>
                    <w:right w:w="0" w:type="dxa"/>
                  </w:tcMar>
                  <w:vAlign w:val="center"/>
                </w:tcPr>
                <w:p w14:paraId="3E56623E">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危废间</w:t>
                  </w:r>
                </w:p>
              </w:tc>
              <w:tc>
                <w:tcPr>
                  <w:tcW w:w="2684" w:type="dxa"/>
                  <w:tcBorders>
                    <w:tl2br w:val="nil"/>
                    <w:tr2bl w:val="nil"/>
                  </w:tcBorders>
                  <w:tcMar>
                    <w:left w:w="0" w:type="dxa"/>
                    <w:right w:w="0" w:type="dxa"/>
                  </w:tcMar>
                  <w:vAlign w:val="center"/>
                </w:tcPr>
                <w:p w14:paraId="03204010">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10m</w:t>
                  </w:r>
                  <w:r>
                    <w:rPr>
                      <w:rFonts w:hint="eastAsia" w:ascii="Times New Roman" w:hAnsi="Times New Roman" w:cs="Times New Roman"/>
                      <w:bCs/>
                      <w:color w:val="000000" w:themeColor="text1"/>
                      <w:sz w:val="21"/>
                      <w:szCs w:val="21"/>
                      <w:vertAlign w:val="superscript"/>
                      <w:lang w:val="en-US" w:eastAsia="zh-CN"/>
                      <w14:textFill>
                        <w14:solidFill>
                          <w14:schemeClr w14:val="tx1"/>
                        </w14:solidFill>
                      </w14:textFill>
                    </w:rPr>
                    <w:t>2</w:t>
                  </w:r>
                </w:p>
              </w:tc>
              <w:tc>
                <w:tcPr>
                  <w:tcW w:w="722" w:type="dxa"/>
                  <w:vMerge w:val="continue"/>
                  <w:tcBorders>
                    <w:tl2br w:val="nil"/>
                    <w:tr2bl w:val="nil"/>
                  </w:tcBorders>
                  <w:tcMar>
                    <w:left w:w="0" w:type="dxa"/>
                    <w:right w:w="0" w:type="dxa"/>
                  </w:tcMar>
                  <w:vAlign w:val="center"/>
                </w:tcPr>
                <w:p w14:paraId="552AC774">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bCs/>
                      <w:color w:val="000000" w:themeColor="text1"/>
                      <w:sz w:val="21"/>
                      <w:szCs w:val="21"/>
                      <w:lang w:val="en-US" w:eastAsia="zh-CN"/>
                      <w14:textFill>
                        <w14:solidFill>
                          <w14:schemeClr w14:val="tx1"/>
                        </w14:solidFill>
                      </w14:textFill>
                    </w:rPr>
                  </w:pPr>
                </w:p>
              </w:tc>
            </w:tr>
          </w:tbl>
          <w:p w14:paraId="60967CF2">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eastAsia="zh-CN"/>
                <w14:textFill>
                  <w14:solidFill>
                    <w14:schemeClr w14:val="tx1"/>
                  </w14:solidFill>
                </w14:textFill>
              </w:rPr>
              <w:t>三</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项目主要设备等事项</w:t>
            </w:r>
          </w:p>
          <w:p w14:paraId="0651D5D0">
            <w:pPr>
              <w:widowControl w:val="0"/>
              <w:wordWrap/>
              <w:autoSpaceDE w:val="0"/>
              <w:autoSpaceDN w:val="0"/>
              <w:adjustRightInd/>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项目主要设备详细见表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721FC593">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2-2</w:t>
            </w:r>
            <w:r>
              <w:rPr>
                <w:rFonts w:hint="default" w:ascii="Times New Roman" w:hAnsi="Times New Roman" w:eastAsia="黑体" w:cs="Times New Roman"/>
                <w:b w:val="0"/>
                <w:bCs w:val="0"/>
                <w:color w:val="000000" w:themeColor="text1"/>
                <w:sz w:val="24"/>
                <w:szCs w:val="24"/>
                <w:u w:val="none" w:color="auto"/>
                <w14:textFill>
                  <w14:solidFill>
                    <w14:schemeClr w14:val="tx1"/>
                  </w14:solidFill>
                </w14:textFill>
              </w:rPr>
              <w:t xml:space="preserve">  </w:t>
            </w:r>
            <w:r>
              <w:rPr>
                <w:rFonts w:hint="eastAsia" w:ascii="Times New Roman" w:hAnsi="Times New Roman" w:eastAsia="黑体" w:cs="Times New Roman"/>
                <w:b w:val="0"/>
                <w:bCs w:val="0"/>
                <w:color w:val="000000" w:themeColor="text1"/>
                <w:sz w:val="24"/>
                <w:szCs w:val="24"/>
                <w:u w:val="none" w:color="auto"/>
                <w14:textFill>
                  <w14:solidFill>
                    <w14:schemeClr w14:val="tx1"/>
                  </w14:solidFill>
                </w14:textFill>
              </w:rPr>
              <w:t>项目主要设备一览表</w:t>
            </w:r>
          </w:p>
          <w:tbl>
            <w:tblPr>
              <w:tblStyle w:val="23"/>
              <w:tblW w:w="5000" w:type="pct"/>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0" w:type="dxa"/>
                <w:bottom w:w="0" w:type="dxa"/>
                <w:right w:w="0" w:type="dxa"/>
              </w:tblCellMar>
            </w:tblPr>
            <w:tblGrid>
              <w:gridCol w:w="814"/>
              <w:gridCol w:w="1265"/>
              <w:gridCol w:w="3988"/>
              <w:gridCol w:w="1059"/>
              <w:gridCol w:w="997"/>
            </w:tblGrid>
            <w:tr w14:paraId="01EC073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23" w:hRule="atLeast"/>
                <w:tblHeader/>
                <w:jc w:val="center"/>
              </w:trPr>
              <w:tc>
                <w:tcPr>
                  <w:tcW w:w="814" w:type="dxa"/>
                  <w:tcBorders>
                    <w:tl2br w:val="nil"/>
                    <w:tr2bl w:val="nil"/>
                  </w:tcBorders>
                  <w:vAlign w:val="center"/>
                </w:tcPr>
                <w:p w14:paraId="74DDA492">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265" w:type="dxa"/>
                  <w:tcBorders>
                    <w:tl2br w:val="nil"/>
                    <w:tr2bl w:val="nil"/>
                  </w:tcBorders>
                  <w:vAlign w:val="center"/>
                </w:tcPr>
                <w:p w14:paraId="5C75EB98">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设备名称</w:t>
                  </w:r>
                </w:p>
              </w:tc>
              <w:tc>
                <w:tcPr>
                  <w:tcW w:w="3988" w:type="dxa"/>
                  <w:tcBorders>
                    <w:tl2br w:val="nil"/>
                    <w:tr2bl w:val="nil"/>
                  </w:tcBorders>
                  <w:vAlign w:val="center"/>
                </w:tcPr>
                <w:p w14:paraId="402BF21F">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lang w:val="en-US" w:eastAsia="zh-CN"/>
                      <w14:textFill>
                        <w14:solidFill>
                          <w14:schemeClr w14:val="tx1"/>
                        </w14:solidFill>
                      </w14:textFill>
                    </w:rPr>
                    <w:t>型号</w:t>
                  </w:r>
                </w:p>
              </w:tc>
              <w:tc>
                <w:tcPr>
                  <w:tcW w:w="1059" w:type="dxa"/>
                  <w:tcBorders>
                    <w:tl2br w:val="nil"/>
                    <w:tr2bl w:val="nil"/>
                  </w:tcBorders>
                  <w:vAlign w:val="center"/>
                </w:tcPr>
                <w:p w14:paraId="36D280CE">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数量</w:t>
                  </w:r>
                </w:p>
              </w:tc>
              <w:tc>
                <w:tcPr>
                  <w:tcW w:w="997" w:type="dxa"/>
                  <w:tcBorders>
                    <w:tl2br w:val="nil"/>
                    <w:tr2bl w:val="nil"/>
                  </w:tcBorders>
                  <w:vAlign w:val="center"/>
                </w:tcPr>
                <w:p w14:paraId="2D235CAA">
                  <w:pPr>
                    <w:widowControl w:val="0"/>
                    <w:wordWrap/>
                    <w:autoSpaceDE w:val="0"/>
                    <w:autoSpaceDN w:val="0"/>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备注</w:t>
                  </w:r>
                </w:p>
              </w:tc>
            </w:tr>
            <w:tr w14:paraId="0880BF96">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402" w:hRule="atLeast"/>
                <w:jc w:val="center"/>
              </w:trPr>
              <w:tc>
                <w:tcPr>
                  <w:tcW w:w="814" w:type="dxa"/>
                  <w:tcBorders>
                    <w:tl2br w:val="nil"/>
                    <w:tr2bl w:val="nil"/>
                  </w:tcBorders>
                  <w:vAlign w:val="center"/>
                </w:tcPr>
                <w:p w14:paraId="14BAAF8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w:t>
                  </w:r>
                </w:p>
              </w:tc>
              <w:tc>
                <w:tcPr>
                  <w:tcW w:w="1265" w:type="dxa"/>
                  <w:tcBorders>
                    <w:tl2br w:val="nil"/>
                    <w:tr2bl w:val="nil"/>
                  </w:tcBorders>
                  <w:vAlign w:val="center"/>
                </w:tcPr>
                <w:p w14:paraId="364D8F19">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混料机</w:t>
                  </w:r>
                </w:p>
              </w:tc>
              <w:tc>
                <w:tcPr>
                  <w:tcW w:w="3988" w:type="dxa"/>
                  <w:tcBorders>
                    <w:tl2br w:val="nil"/>
                    <w:tr2bl w:val="nil"/>
                  </w:tcBorders>
                  <w:vAlign w:val="top"/>
                </w:tcPr>
                <w:p w14:paraId="5B964099">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059" w:type="dxa"/>
                  <w:tcBorders>
                    <w:tl2br w:val="nil"/>
                    <w:tr2bl w:val="nil"/>
                  </w:tcBorders>
                  <w:vAlign w:val="top"/>
                </w:tcPr>
                <w:p w14:paraId="3C53DAC6">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2台</w:t>
                  </w:r>
                </w:p>
              </w:tc>
              <w:tc>
                <w:tcPr>
                  <w:tcW w:w="997" w:type="dxa"/>
                  <w:tcBorders>
                    <w:tl2br w:val="nil"/>
                    <w:tr2bl w:val="nil"/>
                  </w:tcBorders>
                  <w:vAlign w:val="center"/>
                </w:tcPr>
                <w:p w14:paraId="7FC1B9A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物料混合</w:t>
                  </w:r>
                </w:p>
              </w:tc>
            </w:tr>
            <w:tr w14:paraId="602411B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402" w:hRule="atLeast"/>
                <w:jc w:val="center"/>
              </w:trPr>
              <w:tc>
                <w:tcPr>
                  <w:tcW w:w="814" w:type="dxa"/>
                  <w:tcBorders>
                    <w:tl2br w:val="nil"/>
                    <w:tr2bl w:val="nil"/>
                  </w:tcBorders>
                  <w:vAlign w:val="center"/>
                </w:tcPr>
                <w:p w14:paraId="3A50B23F">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p>
              </w:tc>
              <w:tc>
                <w:tcPr>
                  <w:tcW w:w="1265" w:type="dxa"/>
                  <w:tcBorders>
                    <w:tl2br w:val="nil"/>
                    <w:tr2bl w:val="nil"/>
                  </w:tcBorders>
                  <w:vAlign w:val="center"/>
                </w:tcPr>
                <w:p w14:paraId="468C2D6F">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粉碎机</w:t>
                  </w:r>
                </w:p>
              </w:tc>
              <w:tc>
                <w:tcPr>
                  <w:tcW w:w="3988" w:type="dxa"/>
                  <w:tcBorders>
                    <w:tl2br w:val="nil"/>
                    <w:tr2bl w:val="nil"/>
                  </w:tcBorders>
                  <w:vAlign w:val="top"/>
                </w:tcPr>
                <w:p w14:paraId="653236FD">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台州市路桥天马机械厂，18.5kW</w:t>
                  </w:r>
                </w:p>
              </w:tc>
              <w:tc>
                <w:tcPr>
                  <w:tcW w:w="1059" w:type="dxa"/>
                  <w:tcBorders>
                    <w:tl2br w:val="nil"/>
                    <w:tr2bl w:val="nil"/>
                  </w:tcBorders>
                  <w:vAlign w:val="top"/>
                </w:tcPr>
                <w:p w14:paraId="5256339A">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997" w:type="dxa"/>
                  <w:tcBorders>
                    <w:tl2br w:val="nil"/>
                    <w:tr2bl w:val="nil"/>
                  </w:tcBorders>
                  <w:vAlign w:val="center"/>
                </w:tcPr>
                <w:p w14:paraId="41BF928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粉碎</w:t>
                  </w:r>
                </w:p>
              </w:tc>
            </w:tr>
            <w:tr w14:paraId="5138515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108" w:hRule="atLeast"/>
                <w:jc w:val="center"/>
              </w:trPr>
              <w:tc>
                <w:tcPr>
                  <w:tcW w:w="814" w:type="dxa"/>
                  <w:tcBorders>
                    <w:tl2br w:val="nil"/>
                    <w:tr2bl w:val="nil"/>
                  </w:tcBorders>
                  <w:vAlign w:val="center"/>
                </w:tcPr>
                <w:p w14:paraId="261A5DC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w:t>
                  </w:r>
                </w:p>
              </w:tc>
              <w:tc>
                <w:tcPr>
                  <w:tcW w:w="1265" w:type="dxa"/>
                  <w:tcBorders>
                    <w:tl2br w:val="nil"/>
                    <w:tr2bl w:val="nil"/>
                  </w:tcBorders>
                  <w:vAlign w:val="center"/>
                </w:tcPr>
                <w:p w14:paraId="7B946D05">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吹塑机</w:t>
                  </w:r>
                </w:p>
              </w:tc>
              <w:tc>
                <w:tcPr>
                  <w:tcW w:w="3988" w:type="dxa"/>
                  <w:tcBorders>
                    <w:tl2br w:val="nil"/>
                    <w:tr2bl w:val="nil"/>
                  </w:tcBorders>
                  <w:vAlign w:val="center"/>
                </w:tcPr>
                <w:p w14:paraId="503A2EA8">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台州市黄岩华泰机械有限公司  HT-80</w:t>
                  </w:r>
                </w:p>
              </w:tc>
              <w:tc>
                <w:tcPr>
                  <w:tcW w:w="1059" w:type="dxa"/>
                  <w:tcBorders>
                    <w:tl2br w:val="nil"/>
                    <w:tr2bl w:val="nil"/>
                  </w:tcBorders>
                  <w:vAlign w:val="center"/>
                </w:tcPr>
                <w:p w14:paraId="03CDF2F6">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997" w:type="dxa"/>
                  <w:tcBorders>
                    <w:tl2br w:val="nil"/>
                    <w:tr2bl w:val="nil"/>
                  </w:tcBorders>
                  <w:vAlign w:val="center"/>
                </w:tcPr>
                <w:p w14:paraId="46F76CAA">
                  <w:pPr>
                    <w:widowControl w:val="0"/>
                    <w:wordWrap/>
                    <w:autoSpaceDE w:val="0"/>
                    <w:autoSpaceDN w:val="0"/>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吹塑</w:t>
                  </w:r>
                </w:p>
              </w:tc>
            </w:tr>
            <w:tr w14:paraId="2BE793C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12" w:hRule="atLeast"/>
                <w:jc w:val="center"/>
              </w:trPr>
              <w:tc>
                <w:tcPr>
                  <w:tcW w:w="814" w:type="dxa"/>
                  <w:tcBorders>
                    <w:tl2br w:val="nil"/>
                    <w:tr2bl w:val="nil"/>
                  </w:tcBorders>
                  <w:vAlign w:val="center"/>
                </w:tcPr>
                <w:p w14:paraId="1A7172C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w:t>
                  </w:r>
                </w:p>
              </w:tc>
              <w:tc>
                <w:tcPr>
                  <w:tcW w:w="1265" w:type="dxa"/>
                  <w:tcBorders>
                    <w:tl2br w:val="nil"/>
                    <w:tr2bl w:val="nil"/>
                  </w:tcBorders>
                  <w:vAlign w:val="center"/>
                </w:tcPr>
                <w:p w14:paraId="2DD90ADE">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空压机</w:t>
                  </w:r>
                </w:p>
              </w:tc>
              <w:tc>
                <w:tcPr>
                  <w:tcW w:w="3988" w:type="dxa"/>
                  <w:tcBorders>
                    <w:tl2br w:val="nil"/>
                    <w:tr2bl w:val="nil"/>
                  </w:tcBorders>
                  <w:vAlign w:val="center"/>
                </w:tcPr>
                <w:p w14:paraId="13E2582B">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厦门东亚机械工业股份有限公司7.9kW/(m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.min)</w:t>
                  </w:r>
                </w:p>
              </w:tc>
              <w:tc>
                <w:tcPr>
                  <w:tcW w:w="1059" w:type="dxa"/>
                  <w:tcBorders>
                    <w:tl2br w:val="nil"/>
                    <w:tr2bl w:val="nil"/>
                  </w:tcBorders>
                  <w:vAlign w:val="center"/>
                </w:tcPr>
                <w:p w14:paraId="494DD0CB">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1台</w:t>
                  </w:r>
                </w:p>
              </w:tc>
              <w:tc>
                <w:tcPr>
                  <w:tcW w:w="997" w:type="dxa"/>
                  <w:tcBorders>
                    <w:tl2br w:val="nil"/>
                    <w:tr2bl w:val="nil"/>
                  </w:tcBorders>
                  <w:vAlign w:val="center"/>
                </w:tcPr>
                <w:p w14:paraId="62C067BE">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提供动力</w:t>
                  </w:r>
                </w:p>
              </w:tc>
            </w:tr>
            <w:tr w14:paraId="11BAF1E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12" w:hRule="atLeast"/>
                <w:jc w:val="center"/>
              </w:trPr>
              <w:tc>
                <w:tcPr>
                  <w:tcW w:w="814" w:type="dxa"/>
                  <w:tcBorders>
                    <w:tl2br w:val="nil"/>
                    <w:tr2bl w:val="nil"/>
                  </w:tcBorders>
                  <w:vAlign w:val="center"/>
                </w:tcPr>
                <w:p w14:paraId="52BCAF12">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5</w:t>
                  </w:r>
                </w:p>
              </w:tc>
              <w:tc>
                <w:tcPr>
                  <w:tcW w:w="1265" w:type="dxa"/>
                  <w:tcBorders>
                    <w:tl2br w:val="nil"/>
                    <w:tr2bl w:val="nil"/>
                  </w:tcBorders>
                  <w:vAlign w:val="center"/>
                </w:tcPr>
                <w:p w14:paraId="6700A5D0">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化妆台</w:t>
                  </w:r>
                </w:p>
              </w:tc>
              <w:tc>
                <w:tcPr>
                  <w:tcW w:w="3988" w:type="dxa"/>
                  <w:tcBorders>
                    <w:tl2br w:val="nil"/>
                    <w:tr2bl w:val="nil"/>
                  </w:tcBorders>
                  <w:vAlign w:val="center"/>
                </w:tcPr>
                <w:p w14:paraId="01F8B6A7">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059" w:type="dxa"/>
                  <w:tcBorders>
                    <w:tl2br w:val="nil"/>
                    <w:tr2bl w:val="nil"/>
                  </w:tcBorders>
                  <w:vAlign w:val="top"/>
                </w:tcPr>
                <w:p w14:paraId="5E88059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1座</w:t>
                  </w:r>
                </w:p>
              </w:tc>
              <w:tc>
                <w:tcPr>
                  <w:tcW w:w="997" w:type="dxa"/>
                  <w:tcBorders>
                    <w:tl2br w:val="nil"/>
                    <w:tr2bl w:val="nil"/>
                  </w:tcBorders>
                  <w:vAlign w:val="center"/>
                </w:tcPr>
                <w:p w14:paraId="3C527CA0">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化妆</w:t>
                  </w:r>
                </w:p>
              </w:tc>
            </w:tr>
            <w:tr w14:paraId="2053ACE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0" w:type="dxa"/>
                  <w:bottom w:w="0" w:type="dxa"/>
                  <w:right w:w="0" w:type="dxa"/>
                </w:tblCellMar>
              </w:tblPrEx>
              <w:trPr>
                <w:trHeight w:val="312" w:hRule="atLeast"/>
                <w:jc w:val="center"/>
              </w:trPr>
              <w:tc>
                <w:tcPr>
                  <w:tcW w:w="814" w:type="dxa"/>
                  <w:tcBorders>
                    <w:tl2br w:val="nil"/>
                    <w:tr2bl w:val="nil"/>
                  </w:tcBorders>
                  <w:vAlign w:val="center"/>
                </w:tcPr>
                <w:p w14:paraId="6D4E9BA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6</w:t>
                  </w:r>
                </w:p>
              </w:tc>
              <w:tc>
                <w:tcPr>
                  <w:tcW w:w="1265" w:type="dxa"/>
                  <w:tcBorders>
                    <w:tl2br w:val="nil"/>
                    <w:tr2bl w:val="nil"/>
                  </w:tcBorders>
                  <w:vAlign w:val="center"/>
                </w:tcPr>
                <w:p w14:paraId="7F9C7FD0">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冷却水槽</w:t>
                  </w:r>
                </w:p>
              </w:tc>
              <w:tc>
                <w:tcPr>
                  <w:tcW w:w="3988" w:type="dxa"/>
                  <w:tcBorders>
                    <w:tl2br w:val="nil"/>
                    <w:tr2bl w:val="nil"/>
                  </w:tcBorders>
                  <w:vAlign w:val="center"/>
                </w:tcPr>
                <w:p w14:paraId="58F2F9E4">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20m</w:t>
                  </w:r>
                  <w:r>
                    <w:rPr>
                      <w:rFonts w:hint="eastAsia"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/h</w:t>
                  </w:r>
                </w:p>
              </w:tc>
              <w:tc>
                <w:tcPr>
                  <w:tcW w:w="1059" w:type="dxa"/>
                  <w:tcBorders>
                    <w:tl2br w:val="nil"/>
                    <w:tr2bl w:val="nil"/>
                  </w:tcBorders>
                  <w:vAlign w:val="top"/>
                </w:tcPr>
                <w:p w14:paraId="67F2259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1座</w:t>
                  </w:r>
                </w:p>
              </w:tc>
              <w:tc>
                <w:tcPr>
                  <w:tcW w:w="997" w:type="dxa"/>
                  <w:tcBorders>
                    <w:tl2br w:val="nil"/>
                    <w:tr2bl w:val="nil"/>
                  </w:tcBorders>
                  <w:vAlign w:val="center"/>
                </w:tcPr>
                <w:p w14:paraId="7FC7C1BB">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吹塑冷却</w:t>
                  </w:r>
                </w:p>
              </w:tc>
            </w:tr>
          </w:tbl>
          <w:p w14:paraId="0422088A">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经对照《产业结构调整目录（</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2024</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年本）》，项目采用的设备均不属于鼓励类、限制类、淘汰类内容，为允许类。</w:t>
            </w:r>
            <w:r>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t>主要生产设备产能匹配性如下：</w:t>
            </w:r>
          </w:p>
          <w:p w14:paraId="2B336B77">
            <w:pPr>
              <w:keepNext w:val="0"/>
              <w:keepLines w:val="0"/>
              <w:pageBreakBefore w:val="0"/>
              <w:widowControl w:val="0"/>
              <w:numPr>
                <w:ilvl w:val="0"/>
                <w:numId w:val="31"/>
              </w:numPr>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pPr>
            <w:r>
              <w:rPr>
                <w:rFonts w:hint="eastAsia" w:ascii="Times New Roman" w:hAnsi="Times New Roman" w:eastAsia="宋体" w:cs="宋体"/>
                <w:bCs/>
                <w:color w:val="000000" w:themeColor="text1"/>
                <w:sz w:val="24"/>
                <w:szCs w:val="24"/>
                <w:u w:val="none" w:color="auto"/>
                <w:lang w:val="en-US" w:eastAsia="zh-CN"/>
                <w14:textFill>
                  <w14:solidFill>
                    <w14:schemeClr w14:val="tx1"/>
                  </w14:solidFill>
                </w14:textFill>
              </w:rPr>
              <w:t>混料</w:t>
            </w:r>
            <w:r>
              <w:rPr>
                <w:rFonts w:hint="eastAsia" w:ascii="Times New Roman" w:hAnsi="Times New Roman" w:cs="宋体"/>
                <w:bCs/>
                <w:color w:val="000000" w:themeColor="text1"/>
                <w:sz w:val="24"/>
                <w:szCs w:val="24"/>
                <w:u w:val="none" w:color="auto"/>
                <w:lang w:val="en-US" w:eastAsia="zh-CN"/>
                <w14:textFill>
                  <w14:solidFill>
                    <w14:schemeClr w14:val="tx1"/>
                  </w14:solidFill>
                </w14:textFill>
              </w:rPr>
              <w:t>机：可</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混料</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0.06</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t/h物料，项目聚丙烯和色母使用量为10.01t/a，</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每天混料1h，200d可混料12t，满足原料混料要求。</w:t>
            </w:r>
          </w:p>
          <w:p w14:paraId="73D8AA49">
            <w:pPr>
              <w:keepNext w:val="0"/>
              <w:keepLines w:val="0"/>
              <w:pageBreakBefore w:val="0"/>
              <w:widowControl w:val="0"/>
              <w:numPr>
                <w:ilvl w:val="0"/>
                <w:numId w:val="31"/>
              </w:numPr>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粉碎机</w:t>
            </w:r>
            <w:r>
              <w:rPr>
                <w:rFonts w:hint="eastAsia" w:ascii="Times New Roman" w:hAnsi="Times New Roman" w:eastAsia="宋体" w:cs="Times New Roman"/>
                <w:bCs/>
                <w:color w:val="000000" w:themeColor="text1"/>
                <w:sz w:val="24"/>
                <w:szCs w:val="24"/>
                <w:u w:val="none" w:color="auto"/>
                <w:lang w:eastAsia="zh-CN"/>
                <w14:textFill>
                  <w14:solidFill>
                    <w14:schemeClr w14:val="tx1"/>
                  </w14:solidFill>
                </w14:textFill>
              </w:rPr>
              <w:t>：</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项目</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不合格品和修整余料很少，约为0.1001t/a</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，粉碎机粉碎量为0.01t/h，可满足生产需求。</w:t>
            </w:r>
          </w:p>
          <w:p w14:paraId="186154D7">
            <w:pPr>
              <w:keepNext w:val="0"/>
              <w:keepLines w:val="0"/>
              <w:pageBreakBefore w:val="0"/>
              <w:widowControl w:val="0"/>
              <w:numPr>
                <w:ilvl w:val="0"/>
                <w:numId w:val="31"/>
              </w:numPr>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吹塑机：项目一台吹塑机</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10</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min可生产1件模特头，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吹塑机生产过程需使用冷却水冷却</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2台吹塑机连续工作1h可生产</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12</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件模特头，</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吹塑机每天工作6h，200天产能最大达到生产14400个模特头</w:t>
            </w:r>
            <w:r>
              <w:rPr>
                <w:rFonts w:hint="eastAsia" w:ascii="Times New Roman" w:hAnsi="Times New Roman" w:eastAsia="宋体" w:cs="Times New Roman"/>
                <w:bCs/>
                <w:color w:val="000000" w:themeColor="text1"/>
                <w:sz w:val="24"/>
                <w:szCs w:val="24"/>
                <w:u w:val="none" w:color="auto"/>
                <w:lang w:val="en-US" w:eastAsia="zh-CN"/>
                <w14:textFill>
                  <w14:solidFill>
                    <w14:schemeClr w14:val="tx1"/>
                  </w14:solidFill>
                </w14:textFill>
              </w:rPr>
              <w:t>，可达到产能10000件模特头的生产要求。</w:t>
            </w:r>
          </w:p>
          <w:p w14:paraId="5E843088">
            <w:pPr>
              <w:widowControl w:val="0"/>
              <w:wordWrap/>
              <w:autoSpaceDE w:val="0"/>
              <w:autoSpaceDN w:val="0"/>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val="en-US" w:eastAsia="zh-CN"/>
                <w14:textFill>
                  <w14:solidFill>
                    <w14:schemeClr w14:val="tx1"/>
                  </w14:solidFill>
                </w14:textFill>
              </w:rPr>
              <w:t>四</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产品方案</w:t>
            </w:r>
          </w:p>
          <w:p w14:paraId="68A74A84">
            <w:pPr>
              <w:widowControl w:val="0"/>
              <w:wordWrap/>
              <w:autoSpaceDE w:val="0"/>
              <w:autoSpaceDN w:val="0"/>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项目产品方案</w:t>
            </w:r>
            <w:r>
              <w:rPr>
                <w:rFonts w:hint="eastAsia" w:ascii="Times New Roman" w:hAnsi="Times New Roman" w:eastAsia="宋体" w:cs="Times New Roman"/>
                <w:color w:val="000000" w:themeColor="text1"/>
                <w:sz w:val="24"/>
                <w:szCs w:val="24"/>
                <w:u w:val="none" w:color="auto"/>
                <w14:textFill>
                  <w14:solidFill>
                    <w14:schemeClr w14:val="tx1"/>
                  </w14:solidFill>
                </w14:textFill>
              </w:rPr>
              <w:t>见下表</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5534D94A">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表2-3  项目产品方案</w:t>
            </w:r>
          </w:p>
          <w:tbl>
            <w:tblPr>
              <w:tblStyle w:val="23"/>
              <w:tblW w:w="81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4"/>
              <w:gridCol w:w="1926"/>
              <w:gridCol w:w="2143"/>
              <w:gridCol w:w="3307"/>
            </w:tblGrid>
            <w:tr w14:paraId="2A629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tblHeader/>
                <w:jc w:val="center"/>
              </w:trPr>
              <w:tc>
                <w:tcPr>
                  <w:tcW w:w="754" w:type="dxa"/>
                  <w:tcBorders>
                    <w:tl2br w:val="nil"/>
                    <w:tr2bl w:val="nil"/>
                  </w:tcBorders>
                  <w:vAlign w:val="center"/>
                </w:tcPr>
                <w:p w14:paraId="1820CE27">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926" w:type="dxa"/>
                  <w:tcBorders>
                    <w:tl2br w:val="nil"/>
                    <w:tr2bl w:val="nil"/>
                  </w:tcBorders>
                  <w:vAlign w:val="center"/>
                </w:tcPr>
                <w:p w14:paraId="791FF372">
                  <w:pPr>
                    <w:widowControl w:val="0"/>
                    <w:wordWrap/>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t>产品类别</w:t>
                  </w:r>
                </w:p>
              </w:tc>
              <w:tc>
                <w:tcPr>
                  <w:tcW w:w="2143" w:type="dxa"/>
                  <w:tcBorders>
                    <w:tl2br w:val="nil"/>
                    <w:tr2bl w:val="nil"/>
                  </w:tcBorders>
                  <w:vAlign w:val="center"/>
                </w:tcPr>
                <w:p w14:paraId="4D411D63">
                  <w:pPr>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val="0"/>
                      <w:color w:val="000000" w:themeColor="text1"/>
                      <w:sz w:val="21"/>
                      <w:szCs w:val="21"/>
                      <w:u w:val="none" w:color="auto"/>
                      <w:lang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年产量</w:t>
                  </w:r>
                </w:p>
              </w:tc>
              <w:tc>
                <w:tcPr>
                  <w:tcW w:w="3307" w:type="dxa"/>
                  <w:tcBorders>
                    <w:tl2br w:val="nil"/>
                    <w:tr2bl w:val="nil"/>
                  </w:tcBorders>
                  <w:vAlign w:val="center"/>
                </w:tcPr>
                <w:p w14:paraId="07459994">
                  <w:pPr>
                    <w:widowControl w:val="0"/>
                    <w:wordWrap/>
                    <w:adjustRightInd/>
                    <w:snapToGrid/>
                    <w:spacing w:beforeAutospacing="0" w:afterAutospacing="0" w:line="360" w:lineRule="exact"/>
                    <w:ind w:left="0" w:leftChars="0" w:right="0" w:firstLine="0" w:firstLineChars="0"/>
                    <w:jc w:val="center"/>
                    <w:textAlignment w:val="auto"/>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u w:val="none" w:color="auto"/>
                      <w:lang w:val="en-US" w:eastAsia="zh-CN"/>
                      <w14:textFill>
                        <w14:solidFill>
                          <w14:schemeClr w14:val="tx1"/>
                        </w14:solidFill>
                      </w14:textFill>
                    </w:rPr>
                    <w:t>备注</w:t>
                  </w:r>
                </w:p>
              </w:tc>
            </w:tr>
            <w:tr w14:paraId="458B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754" w:type="dxa"/>
                  <w:tcBorders>
                    <w:tl2br w:val="nil"/>
                    <w:tr2bl w:val="nil"/>
                  </w:tcBorders>
                  <w:vAlign w:val="center"/>
                </w:tcPr>
                <w:p w14:paraId="2595C5BE">
                  <w:pPr>
                    <w:pStyle w:val="66"/>
                    <w:widowControl w:val="0"/>
                    <w:wordWrap/>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t>1</w:t>
                  </w:r>
                </w:p>
              </w:tc>
              <w:tc>
                <w:tcPr>
                  <w:tcW w:w="1926" w:type="dxa"/>
                  <w:tcBorders>
                    <w:tl2br w:val="nil"/>
                    <w:tr2bl w:val="nil"/>
                  </w:tcBorders>
                  <w:vAlign w:val="center"/>
                </w:tcPr>
                <w:p w14:paraId="5A557A84">
                  <w:pPr>
                    <w:pStyle w:val="66"/>
                    <w:widowControl w:val="0"/>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模特头</w:t>
                  </w:r>
                </w:p>
              </w:tc>
              <w:tc>
                <w:tcPr>
                  <w:tcW w:w="2143" w:type="dxa"/>
                  <w:tcBorders>
                    <w:tl2br w:val="nil"/>
                    <w:tr2bl w:val="nil"/>
                  </w:tcBorders>
                  <w:vAlign w:val="center"/>
                </w:tcPr>
                <w:p w14:paraId="02A852E1">
                  <w:pPr>
                    <w:pStyle w:val="66"/>
                    <w:widowControl w:val="0"/>
                    <w:wordWrap/>
                    <w:adjustRightInd/>
                    <w:snapToGrid/>
                    <w:spacing w:beforeAutospacing="0" w:afterAutospacing="0" w:line="360" w:lineRule="exact"/>
                    <w:ind w:left="0" w:leftChars="0" w:right="0"/>
                    <w:textAlignment w:val="auto"/>
                    <w:rPr>
                      <w:rFonts w:hint="default" w:ascii="Times New Roman" w:hAnsi="Times New Roman" w:eastAsia="宋体" w:cs="宋体"/>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10000头/a</w:t>
                  </w:r>
                </w:p>
              </w:tc>
              <w:tc>
                <w:tcPr>
                  <w:tcW w:w="3307" w:type="dxa"/>
                  <w:tcBorders>
                    <w:tl2br w:val="nil"/>
                    <w:tr2bl w:val="nil"/>
                  </w:tcBorders>
                  <w:vAlign w:val="center"/>
                </w:tcPr>
                <w:p w14:paraId="00259629">
                  <w:pPr>
                    <w:pStyle w:val="66"/>
                    <w:widowControl w:val="0"/>
                    <w:wordWrap/>
                    <w:adjustRightInd/>
                    <w:snapToGrid/>
                    <w:spacing w:beforeAutospacing="0" w:afterAutospacing="0" w:line="360" w:lineRule="exact"/>
                    <w:ind w:left="0" w:leftChars="0" w:right="0"/>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单个重1kg，用于假发行业模特头</w:t>
                  </w:r>
                </w:p>
              </w:tc>
            </w:tr>
          </w:tbl>
          <w:p w14:paraId="4F822949">
            <w:pPr>
              <w:widowControl w:val="0"/>
              <w:wordWrap/>
              <w:autoSpaceDE w:val="0"/>
              <w:autoSpaceDN w:val="0"/>
              <w:snapToGrid/>
              <w:spacing w:beforeAutospacing="0" w:afterAutospacing="0" w:line="520" w:lineRule="exact"/>
              <w:ind w:firstLine="482" w:firstLineChars="200"/>
              <w:textAlignment w:val="auto"/>
              <w:rPr>
                <w:rFonts w:hint="default" w:ascii="Times New Roman" w:hAnsi="Times New Roman" w:eastAsia="宋体" w:cs="Times New Roman"/>
                <w:b/>
                <w:color w:val="000000" w:themeColor="text1"/>
                <w:sz w:val="24"/>
                <w:szCs w:val="24"/>
                <w:u w:val="none" w:color="auto"/>
                <w14:textFill>
                  <w14:solidFill>
                    <w14:schemeClr w14:val="tx1"/>
                  </w14:solidFill>
                </w14:textFill>
              </w:rPr>
            </w:pPr>
            <w:r>
              <w:rPr>
                <w:rFonts w:hint="eastAsia" w:ascii="Times New Roman" w:hAnsi="Times New Roman" w:cs="Times New Roman"/>
                <w:b/>
                <w:color w:val="000000" w:themeColor="text1"/>
                <w:sz w:val="24"/>
                <w:szCs w:val="24"/>
                <w:u w:val="none" w:color="auto"/>
                <w:lang w:val="en-US" w:eastAsia="zh-CN"/>
                <w14:textFill>
                  <w14:solidFill>
                    <w14:schemeClr w14:val="tx1"/>
                  </w14:solidFill>
                </w14:textFill>
              </w:rPr>
              <w:t>五</w:t>
            </w:r>
            <w:r>
              <w:rPr>
                <w:rFonts w:hint="eastAsia" w:ascii="Times New Roman" w:hAnsi="Times New Roman" w:eastAsia="宋体" w:cs="Times New Roman"/>
                <w:b/>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color w:val="000000" w:themeColor="text1"/>
                <w:sz w:val="24"/>
                <w:szCs w:val="24"/>
                <w:u w:val="none" w:color="auto"/>
                <w14:textFill>
                  <w14:solidFill>
                    <w14:schemeClr w14:val="tx1"/>
                  </w14:solidFill>
                </w14:textFill>
              </w:rPr>
              <w:t>原辅材料及能源消耗</w:t>
            </w:r>
          </w:p>
          <w:p w14:paraId="45F9E945">
            <w:pPr>
              <w:widowControl w:val="0"/>
              <w:wordWrap/>
              <w:autoSpaceDE w:val="0"/>
              <w:autoSpaceDN w:val="0"/>
              <w:snapToGrid/>
              <w:spacing w:beforeAutospacing="0" w:afterAutospacing="0" w:line="520" w:lineRule="exact"/>
              <w:ind w:firstLine="472" w:firstLineChars="197"/>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eastAsia" w:ascii="Times New Roman" w:hAnsi="Times New Roman" w:cs="Times New Roman"/>
                <w:color w:val="000000" w:themeColor="text1"/>
                <w:sz w:val="24"/>
                <w:szCs w:val="24"/>
                <w:u w:val="none" w:color="auto"/>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u w:val="none" w:color="auto"/>
                <w14:textFill>
                  <w14:solidFill>
                    <w14:schemeClr w14:val="tx1"/>
                  </w14:solidFill>
                </w14:textFill>
              </w:rPr>
              <w:t>所需的主要原辅材料见表</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14:paraId="3F99CD4A">
            <w:pPr>
              <w:widowControl w:val="0"/>
              <w:wordWrap/>
              <w:autoSpaceDE w:val="0"/>
              <w:autoSpaceDN w:val="0"/>
              <w:adjustRightInd/>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表2-4  项目主要原辅材料及能源消耗</w:t>
            </w:r>
          </w:p>
          <w:tbl>
            <w:tblPr>
              <w:tblStyle w:val="23"/>
              <w:tblW w:w="81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242"/>
              <w:gridCol w:w="1123"/>
              <w:gridCol w:w="1432"/>
              <w:gridCol w:w="3465"/>
            </w:tblGrid>
            <w:tr w14:paraId="262BC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vAlign w:val="center"/>
                </w:tcPr>
                <w:p w14:paraId="2D4BBA18">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序号</w:t>
                  </w:r>
                </w:p>
              </w:tc>
              <w:tc>
                <w:tcPr>
                  <w:tcW w:w="1242" w:type="dxa"/>
                  <w:vAlign w:val="center"/>
                </w:tcPr>
                <w:p w14:paraId="3FFBBB3F">
                  <w:pPr>
                    <w:wordWrap/>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名称</w:t>
                  </w:r>
                </w:p>
              </w:tc>
              <w:tc>
                <w:tcPr>
                  <w:tcW w:w="1123" w:type="dxa"/>
                  <w:vAlign w:val="center"/>
                </w:tcPr>
                <w:p w14:paraId="5FC4301A">
                  <w:pPr>
                    <w:wordWrap/>
                    <w:adjustRightInd/>
                    <w:snapToGrid/>
                    <w:spacing w:beforeAutospacing="0" w:afterAutospacing="0" w:line="360" w:lineRule="exact"/>
                    <w:jc w:val="center"/>
                    <w:textAlignment w:val="auto"/>
                    <w:rPr>
                      <w:rFonts w:hint="default"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单位</w:t>
                  </w:r>
                </w:p>
              </w:tc>
              <w:tc>
                <w:tcPr>
                  <w:tcW w:w="1432" w:type="dxa"/>
                  <w:vAlign w:val="center"/>
                </w:tcPr>
                <w:p w14:paraId="2E79D684">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数量</w:t>
                  </w:r>
                </w:p>
              </w:tc>
              <w:tc>
                <w:tcPr>
                  <w:tcW w:w="3465" w:type="dxa"/>
                  <w:vAlign w:val="center"/>
                </w:tcPr>
                <w:p w14:paraId="291526C5">
                  <w:pPr>
                    <w:wordWrap/>
                    <w:adjustRightInd/>
                    <w:snapToGrid/>
                    <w:spacing w:beforeAutospacing="0" w:afterAutospacing="0" w:line="360" w:lineRule="exact"/>
                    <w:jc w:val="center"/>
                    <w:textAlignment w:val="auto"/>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b/>
                      <w:bCs w:val="0"/>
                      <w:color w:val="000000" w:themeColor="text1"/>
                      <w:sz w:val="21"/>
                      <w:szCs w:val="21"/>
                      <w:u w:val="none" w:color="auto"/>
                      <w14:textFill>
                        <w14:solidFill>
                          <w14:schemeClr w14:val="tx1"/>
                        </w14:solidFill>
                      </w14:textFill>
                    </w:rPr>
                    <w:t>备注</w:t>
                  </w:r>
                </w:p>
              </w:tc>
            </w:tr>
            <w:tr w14:paraId="085AC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vAlign w:val="center"/>
                </w:tcPr>
                <w:p w14:paraId="436D42BC">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1</w:t>
                  </w:r>
                </w:p>
              </w:tc>
              <w:tc>
                <w:tcPr>
                  <w:tcW w:w="1242" w:type="dxa"/>
                  <w:vAlign w:val="center"/>
                </w:tcPr>
                <w:p w14:paraId="6BE59B94">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聚丙烯</w:t>
                  </w:r>
                </w:p>
              </w:tc>
              <w:tc>
                <w:tcPr>
                  <w:tcW w:w="1123" w:type="dxa"/>
                  <w:vAlign w:val="center"/>
                </w:tcPr>
                <w:p w14:paraId="33C057FC">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t/a</w:t>
                  </w:r>
                </w:p>
              </w:tc>
              <w:tc>
                <w:tcPr>
                  <w:tcW w:w="1432" w:type="dxa"/>
                  <w:vAlign w:val="center"/>
                </w:tcPr>
                <w:p w14:paraId="07D2C38C">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10</w:t>
                  </w:r>
                </w:p>
              </w:tc>
              <w:tc>
                <w:tcPr>
                  <w:tcW w:w="3465" w:type="dxa"/>
                  <w:vAlign w:val="center"/>
                </w:tcPr>
                <w:p w14:paraId="1DC5E1D9">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袋装，粒料，无再生原料</w:t>
                  </w:r>
                </w:p>
              </w:tc>
            </w:tr>
            <w:tr w14:paraId="5AF1E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2" w:type="dxa"/>
                  <w:vAlign w:val="center"/>
                </w:tcPr>
                <w:p w14:paraId="3C76BF71">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w:t>
                  </w:r>
                </w:p>
              </w:tc>
              <w:tc>
                <w:tcPr>
                  <w:tcW w:w="1242" w:type="dxa"/>
                  <w:vAlign w:val="center"/>
                </w:tcPr>
                <w:p w14:paraId="465F8672">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色母</w:t>
                  </w:r>
                </w:p>
              </w:tc>
              <w:tc>
                <w:tcPr>
                  <w:tcW w:w="1123" w:type="dxa"/>
                  <w:vAlign w:val="center"/>
                </w:tcPr>
                <w:p w14:paraId="1D1BF9FA">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t/a</w:t>
                  </w:r>
                </w:p>
              </w:tc>
              <w:tc>
                <w:tcPr>
                  <w:tcW w:w="1432" w:type="dxa"/>
                  <w:vAlign w:val="center"/>
                </w:tcPr>
                <w:p w14:paraId="5F41A95F">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0.01</w:t>
                  </w:r>
                </w:p>
              </w:tc>
              <w:tc>
                <w:tcPr>
                  <w:tcW w:w="3465" w:type="dxa"/>
                  <w:vAlign w:val="center"/>
                </w:tcPr>
                <w:p w14:paraId="6D44D00E">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袋装，粒料</w:t>
                  </w:r>
                </w:p>
              </w:tc>
            </w:tr>
            <w:tr w14:paraId="70378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2" w:type="dxa"/>
                  <w:vAlign w:val="center"/>
                </w:tcPr>
                <w:p w14:paraId="17E6CCCA">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w:t>
                  </w:r>
                </w:p>
              </w:tc>
              <w:tc>
                <w:tcPr>
                  <w:tcW w:w="1242" w:type="dxa"/>
                  <w:vAlign w:val="center"/>
                </w:tcPr>
                <w:p w14:paraId="79A9B972">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化妆颜料</w:t>
                  </w:r>
                </w:p>
              </w:tc>
              <w:tc>
                <w:tcPr>
                  <w:tcW w:w="1123" w:type="dxa"/>
                  <w:vAlign w:val="center"/>
                </w:tcPr>
                <w:p w14:paraId="00917282">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kg/a</w:t>
                  </w:r>
                </w:p>
              </w:tc>
              <w:tc>
                <w:tcPr>
                  <w:tcW w:w="1432" w:type="dxa"/>
                  <w:vAlign w:val="center"/>
                </w:tcPr>
                <w:p w14:paraId="0101BA2F">
                  <w:pPr>
                    <w:pStyle w:val="66"/>
                    <w:wordWrap/>
                    <w:adjustRightInd/>
                    <w:snapToGrid/>
                    <w:spacing w:beforeAutospacing="0" w:afterAutospacing="0" w:line="360" w:lineRule="exact"/>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10</w:t>
                  </w:r>
                </w:p>
              </w:tc>
              <w:tc>
                <w:tcPr>
                  <w:tcW w:w="3465" w:type="dxa"/>
                  <w:vAlign w:val="center"/>
                </w:tcPr>
                <w:p w14:paraId="314CC80B">
                  <w:pPr>
                    <w:pStyle w:val="66"/>
                    <w:wordWrap/>
                    <w:adjustRightInd/>
                    <w:snapToGrid/>
                    <w:spacing w:beforeAutospacing="0" w:afterAutospacing="0" w:line="360" w:lineRule="exact"/>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瓶装，每瓶约1kg，5种颜料，用模特头眼、眉、唇化妆</w:t>
                  </w:r>
                </w:p>
              </w:tc>
            </w:tr>
            <w:tr w14:paraId="621DF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72" w:type="dxa"/>
                  <w:vAlign w:val="center"/>
                </w:tcPr>
                <w:p w14:paraId="24F674DE">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4</w:t>
                  </w:r>
                </w:p>
              </w:tc>
              <w:tc>
                <w:tcPr>
                  <w:tcW w:w="1242" w:type="dxa"/>
                  <w:vAlign w:val="center"/>
                </w:tcPr>
                <w:p w14:paraId="200623A2">
                  <w:pPr>
                    <w:pStyle w:val="66"/>
                    <w:wordWrap/>
                    <w:adjustRightInd/>
                    <w:snapToGrid/>
                    <w:spacing w:beforeAutospacing="0" w:afterAutospacing="0" w:line="360" w:lineRule="exact"/>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包装箱</w:t>
                  </w:r>
                </w:p>
              </w:tc>
              <w:tc>
                <w:tcPr>
                  <w:tcW w:w="1123" w:type="dxa"/>
                  <w:vAlign w:val="center"/>
                </w:tcPr>
                <w:p w14:paraId="1A7C17E0">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t>个/年</w:t>
                  </w:r>
                </w:p>
              </w:tc>
              <w:tc>
                <w:tcPr>
                  <w:tcW w:w="1432" w:type="dxa"/>
                  <w:vAlign w:val="center"/>
                </w:tcPr>
                <w:p w14:paraId="49152917">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10000</w:t>
                  </w:r>
                </w:p>
              </w:tc>
              <w:tc>
                <w:tcPr>
                  <w:tcW w:w="3465" w:type="dxa"/>
                  <w:vAlign w:val="center"/>
                </w:tcPr>
                <w:p w14:paraId="6F2547F2">
                  <w:pPr>
                    <w:pStyle w:val="66"/>
                    <w:wordWrap/>
                    <w:adjustRightInd/>
                    <w:snapToGrid/>
                    <w:spacing w:beforeAutospacing="0" w:afterAutospacing="0" w:line="360" w:lineRule="exact"/>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r>
            <w:tr w14:paraId="528D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872" w:type="dxa"/>
                  <w:vAlign w:val="center"/>
                </w:tcPr>
                <w:p w14:paraId="0C3ADD66">
                  <w:pPr>
                    <w:wordWrap/>
                    <w:adjustRightInd/>
                    <w:snapToGrid/>
                    <w:spacing w:beforeAutospacing="0" w:afterAutospacing="0" w:line="360" w:lineRule="exact"/>
                    <w:ind w:left="0" w:leftChars="0" w:right="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5</w:t>
                  </w:r>
                </w:p>
              </w:tc>
              <w:tc>
                <w:tcPr>
                  <w:tcW w:w="1242" w:type="dxa"/>
                  <w:vAlign w:val="top"/>
                </w:tcPr>
                <w:p w14:paraId="7C72E47E">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电</w:t>
                  </w:r>
                </w:p>
              </w:tc>
              <w:tc>
                <w:tcPr>
                  <w:tcW w:w="1123" w:type="dxa"/>
                  <w:vAlign w:val="top"/>
                </w:tcPr>
                <w:p w14:paraId="0087C50D">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u w:val="none"/>
                      <w:lang w:val="en-US" w:eastAsia="zh-CN"/>
                      <w14:textFill>
                        <w14:solidFill>
                          <w14:schemeClr w14:val="tx1"/>
                        </w14:solidFill>
                      </w14:textFill>
                    </w:rPr>
                    <w:t>kW/a</w:t>
                  </w:r>
                </w:p>
              </w:tc>
              <w:tc>
                <w:tcPr>
                  <w:tcW w:w="1432" w:type="dxa"/>
                  <w:vAlign w:val="top"/>
                </w:tcPr>
                <w:p w14:paraId="4EF38B94">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10万</w:t>
                  </w:r>
                </w:p>
              </w:tc>
              <w:tc>
                <w:tcPr>
                  <w:tcW w:w="3465" w:type="dxa"/>
                  <w:vAlign w:val="top"/>
                </w:tcPr>
                <w:p w14:paraId="2B975A45">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u w:val="none" w:color="auto"/>
                      <w14:textFill>
                        <w14:solidFill>
                          <w14:schemeClr w14:val="tx1"/>
                        </w14:solidFill>
                      </w14:textFill>
                    </w:rPr>
                    <w:t>市政电网</w:t>
                  </w:r>
                </w:p>
              </w:tc>
            </w:tr>
            <w:tr w14:paraId="05E13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872" w:type="dxa"/>
                  <w:vAlign w:val="center"/>
                </w:tcPr>
                <w:p w14:paraId="16BB1A8C">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6</w:t>
                  </w:r>
                </w:p>
              </w:tc>
              <w:tc>
                <w:tcPr>
                  <w:tcW w:w="1242" w:type="dxa"/>
                  <w:vAlign w:val="top"/>
                </w:tcPr>
                <w:p w14:paraId="586651C3">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水</w:t>
                  </w:r>
                </w:p>
              </w:tc>
              <w:tc>
                <w:tcPr>
                  <w:tcW w:w="1123" w:type="dxa"/>
                  <w:vAlign w:val="top"/>
                </w:tcPr>
                <w:p w14:paraId="19AB8678">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m</w:t>
                  </w:r>
                  <w:r>
                    <w:rPr>
                      <w:rFonts w:hint="eastAsia" w:ascii="Times New Roman" w:hAnsi="Times New Roman" w:eastAsia="宋体" w:cs="Times New Roman"/>
                      <w:bCs/>
                      <w:color w:val="000000" w:themeColor="text1"/>
                      <w:sz w:val="21"/>
                      <w:szCs w:val="21"/>
                      <w:u w:val="none" w:color="auto"/>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/a</w:t>
                  </w:r>
                </w:p>
              </w:tc>
              <w:tc>
                <w:tcPr>
                  <w:tcW w:w="1432" w:type="dxa"/>
                  <w:vAlign w:val="top"/>
                </w:tcPr>
                <w:p w14:paraId="3F81F18F">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465</w:t>
                  </w:r>
                </w:p>
              </w:tc>
              <w:tc>
                <w:tcPr>
                  <w:tcW w:w="3465" w:type="dxa"/>
                  <w:vAlign w:val="center"/>
                </w:tcPr>
                <w:p w14:paraId="6296E6A3">
                  <w:pPr>
                    <w:wordWrap/>
                    <w:adjustRightInd/>
                    <w:snapToGrid/>
                    <w:spacing w:beforeAutospacing="0" w:afterAutospacing="0" w:line="360" w:lineRule="exact"/>
                    <w:jc w:val="center"/>
                    <w:textAlignment w:val="auto"/>
                    <w:rPr>
                      <w:rFonts w:hint="eastAsia" w:ascii="Times New Roman" w:hAnsi="Times New Roman" w:eastAsia="宋体" w:cs="Times New Roman"/>
                      <w:bCs/>
                      <w:color w:val="000000" w:themeColor="text1"/>
                      <w:sz w:val="21"/>
                      <w:szCs w:val="21"/>
                      <w:u w:val="none" w:color="auto"/>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供水管网</w:t>
                  </w:r>
                </w:p>
              </w:tc>
            </w:tr>
          </w:tbl>
          <w:p w14:paraId="1949390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center"/>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表2-5  主要原辅材料理化性质</w:t>
            </w:r>
          </w:p>
          <w:tbl>
            <w:tblPr>
              <w:tblStyle w:val="24"/>
              <w:tblW w:w="80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172"/>
              <w:gridCol w:w="6196"/>
            </w:tblGrid>
            <w:tr w14:paraId="506BC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14:paraId="205AC59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lang w:val="en-US" w:eastAsia="zh-CN"/>
                      <w14:textFill>
                        <w14:solidFill>
                          <w14:schemeClr w14:val="tx1"/>
                        </w14:solidFill>
                      </w14:textFill>
                    </w:rPr>
                    <w:t>序号</w:t>
                  </w:r>
                </w:p>
              </w:tc>
              <w:tc>
                <w:tcPr>
                  <w:tcW w:w="1172" w:type="dxa"/>
                </w:tcPr>
                <w:p w14:paraId="68774A3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lang w:val="en-US" w:eastAsia="zh-CN"/>
                      <w14:textFill>
                        <w14:solidFill>
                          <w14:schemeClr w14:val="tx1"/>
                        </w14:solidFill>
                      </w14:textFill>
                    </w:rPr>
                    <w:t>名称</w:t>
                  </w:r>
                </w:p>
              </w:tc>
              <w:tc>
                <w:tcPr>
                  <w:tcW w:w="6196" w:type="dxa"/>
                </w:tcPr>
                <w:p w14:paraId="489153F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u w:val="none"/>
                      <w:lang w:val="en-US" w:eastAsia="zh-CN"/>
                      <w14:textFill>
                        <w14:solidFill>
                          <w14:schemeClr w14:val="tx1"/>
                        </w14:solidFill>
                      </w14:textFill>
                    </w:rPr>
                    <w:t>理化性质</w:t>
                  </w:r>
                </w:p>
              </w:tc>
            </w:tr>
            <w:tr w14:paraId="2A7B8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9" w:type="dxa"/>
                  <w:vAlign w:val="center"/>
                </w:tcPr>
                <w:p w14:paraId="6C264D05">
                  <w:pPr>
                    <w:pStyle w:val="66"/>
                    <w:keepNext w:val="0"/>
                    <w:keepLines w:val="0"/>
                    <w:pageBreakBefore w:val="0"/>
                    <w:kinsoku/>
                    <w:wordWrap/>
                    <w:overflowPunct/>
                    <w:topLinePunct w:val="0"/>
                    <w:autoSpaceDE w:val="0"/>
                    <w:autoSpaceDN w:val="0"/>
                    <w:bidi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u w:val="none"/>
                      <w:lang w:val="en-US" w:eastAsia="zh-CN"/>
                      <w14:textFill>
                        <w14:solidFill>
                          <w14:schemeClr w14:val="tx1"/>
                        </w14:solidFill>
                      </w14:textFill>
                    </w:rPr>
                    <w:t>1</w:t>
                  </w:r>
                </w:p>
              </w:tc>
              <w:tc>
                <w:tcPr>
                  <w:tcW w:w="1172" w:type="dxa"/>
                  <w:vAlign w:val="center"/>
                </w:tcPr>
                <w:p w14:paraId="2DC879D9">
                  <w:pPr>
                    <w:wordWrap/>
                    <w:adjustRightInd/>
                    <w:snapToGrid/>
                    <w:spacing w:beforeAutospacing="0" w:afterAutospacing="0" w:line="360" w:lineRule="exact"/>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聚丙烯颗粒</w:t>
                  </w:r>
                </w:p>
              </w:tc>
              <w:tc>
                <w:tcPr>
                  <w:tcW w:w="6196" w:type="dxa"/>
                </w:tcPr>
                <w:p w14:paraId="75E3FAAD">
                  <w:pPr>
                    <w:wordWrap/>
                    <w:adjustRightInd/>
                    <w:snapToGrid/>
                    <w:spacing w:beforeAutospacing="0" w:afterAutospacing="0" w:line="360" w:lineRule="exact"/>
                    <w:jc w:val="both"/>
                    <w:textAlignment w:val="auto"/>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通常呈白色蜡状固体，无毒、无味，外观透明且质地轻盈。其化学式为(C</w:t>
                  </w:r>
                  <w:r>
                    <w:rPr>
                      <w:rFonts w:hint="eastAsia" w:ascii="Times New Roman" w:hAnsi="Times New Roman" w:eastAsia="宋体" w:cs="Times New Roman"/>
                      <w:bCs/>
                      <w:color w:val="000000" w:themeColor="text1"/>
                      <w:sz w:val="21"/>
                      <w:szCs w:val="21"/>
                      <w:u w:val="none" w:color="auto"/>
                      <w:vertAlign w:val="subscript"/>
                      <w14:textFill>
                        <w14:solidFill>
                          <w14:schemeClr w14:val="tx1"/>
                        </w14:solidFill>
                      </w14:textFill>
                    </w:rPr>
                    <w:t>3</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H</w:t>
                  </w:r>
                  <w:r>
                    <w:rPr>
                      <w:rFonts w:hint="eastAsia" w:ascii="Times New Roman" w:hAnsi="Times New Roman" w:eastAsia="宋体" w:cs="Times New Roman"/>
                      <w:bCs/>
                      <w:color w:val="000000" w:themeColor="text1"/>
                      <w:sz w:val="21"/>
                      <w:szCs w:val="21"/>
                      <w:u w:val="none" w:color="auto"/>
                      <w:vertAlign w:val="subscript"/>
                      <w14:textFill>
                        <w14:solidFill>
                          <w14:schemeClr w14:val="tx1"/>
                        </w14:solidFill>
                      </w14:textFill>
                    </w:rPr>
                    <w:t>6</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n</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，密度为0.89～0.92g/cm</w:t>
                  </w:r>
                  <w:r>
                    <w:rPr>
                      <w:rFonts w:hint="eastAsia" w:ascii="Times New Roman" w:hAnsi="Times New Roman" w:eastAsia="宋体" w:cs="Times New Roman"/>
                      <w:bCs/>
                      <w:color w:val="000000" w:themeColor="text1"/>
                      <w:sz w:val="21"/>
                      <w:szCs w:val="21"/>
                      <w:u w:val="none" w:color="auto"/>
                      <w:vertAlign w:val="superscript"/>
                      <w14:textFill>
                        <w14:solidFill>
                          <w14:schemeClr w14:val="tx1"/>
                        </w14:solidFill>
                      </w14:textFill>
                    </w:rPr>
                    <w:t>3</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；熔点为164~176℃，在155℃左右软化，分解温度为350℃。</w:t>
                  </w:r>
                </w:p>
              </w:tc>
            </w:tr>
            <w:tr w14:paraId="5B979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4A06DEA7">
                  <w:pPr>
                    <w:pStyle w:val="66"/>
                    <w:keepNext w:val="0"/>
                    <w:keepLines w:val="0"/>
                    <w:pageBreakBefore w:val="0"/>
                    <w:kinsoku/>
                    <w:wordWrap/>
                    <w:overflowPunct/>
                    <w:topLinePunct w:val="0"/>
                    <w:autoSpaceDE w:val="0"/>
                    <w:autoSpaceDN w:val="0"/>
                    <w:bidi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u w:val="none"/>
                      <w:lang w:val="en-US" w:eastAsia="zh-CN" w:bidi="zh-CN"/>
                      <w14:textFill>
                        <w14:solidFill>
                          <w14:schemeClr w14:val="tx1"/>
                        </w14:solidFill>
                      </w14:textFill>
                    </w:rPr>
                    <w:t>2</w:t>
                  </w:r>
                </w:p>
              </w:tc>
              <w:tc>
                <w:tcPr>
                  <w:tcW w:w="1172" w:type="dxa"/>
                  <w:vAlign w:val="center"/>
                </w:tcPr>
                <w:p w14:paraId="6548E0FE">
                  <w:pPr>
                    <w:pStyle w:val="66"/>
                    <w:keepNext w:val="0"/>
                    <w:keepLines w:val="0"/>
                    <w:pageBreakBefore w:val="0"/>
                    <w:kinsoku/>
                    <w:wordWrap/>
                    <w:overflowPunct/>
                    <w:topLinePunct w:val="0"/>
                    <w:autoSpaceDE w:val="0"/>
                    <w:autoSpaceDN w:val="0"/>
                    <w:bidi w:val="0"/>
                    <w:spacing w:beforeAutospacing="0" w:afterAutospacing="0" w:line="360" w:lineRule="exact"/>
                    <w:ind w:left="0" w:leftChars="0" w:right="0" w:rightChars="0"/>
                    <w:jc w:val="center"/>
                    <w:textAlignment w:val="auto"/>
                    <w:rPr>
                      <w:rFonts w:hint="eastAsia" w:ascii="Times New Roman" w:hAnsi="Times New Roman" w:eastAsia="宋体" w:cs="Times New Roman"/>
                      <w:b w:val="0"/>
                      <w:bCs w:val="0"/>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kern w:val="0"/>
                      <w:sz w:val="21"/>
                      <w:szCs w:val="21"/>
                      <w:u w:val="none"/>
                      <w:lang w:val="en-US" w:eastAsia="zh-CN" w:bidi="zh-CN"/>
                      <w14:textFill>
                        <w14:solidFill>
                          <w14:schemeClr w14:val="tx1"/>
                        </w14:solidFill>
                      </w14:textFill>
                    </w:rPr>
                    <w:t>色母</w:t>
                  </w:r>
                </w:p>
              </w:tc>
              <w:tc>
                <w:tcPr>
                  <w:tcW w:w="6196" w:type="dxa"/>
                  <w:vAlign w:val="center"/>
                </w:tcPr>
                <w:p w14:paraId="28F8EB47">
                  <w:pPr>
                    <w:wordWrap/>
                    <w:adjustRightInd/>
                    <w:snapToGrid/>
                    <w:spacing w:beforeAutospacing="0" w:afterAutospacing="0" w:line="360" w:lineRule="exact"/>
                    <w:jc w:val="both"/>
                    <w:textAlignment w:val="auto"/>
                    <w:rPr>
                      <w:rFonts w:hint="eastAsia"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color="auto"/>
                      <w14:textFill>
                        <w14:solidFill>
                          <w14:schemeClr w14:val="tx1"/>
                        </w14:solidFill>
                      </w14:textFill>
                    </w:rPr>
                    <w:t>色母是一种新型高分子材料专用色剂。色母由颜料或染料、载体</w:t>
                  </w:r>
                  <w:r>
                    <w:rPr>
                      <w:rFonts w:hint="eastAsia" w:ascii="Times New Roman" w:hAnsi="Times New Roman" w:eastAsia="宋体" w:cs="Times New Roman"/>
                      <w:bCs/>
                      <w:color w:val="000000" w:themeColor="text1"/>
                      <w:sz w:val="21"/>
                      <w:szCs w:val="21"/>
                      <w:u w:val="none" w:color="auto"/>
                      <w:lang w:eastAsia="zh-CN"/>
                      <w14:textFill>
                        <w14:solidFill>
                          <w14:schemeClr w14:val="tx1"/>
                        </w14:solidFill>
                      </w14:textFill>
                    </w:rPr>
                    <w:t>（</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PP</w:t>
                  </w:r>
                  <w:r>
                    <w:rPr>
                      <w:rFonts w:hint="eastAsia" w:ascii="Times New Roman" w:hAnsi="Times New Roman" w:eastAsia="宋体" w:cs="Times New Roman"/>
                      <w:bCs/>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和添加剂三种基本要素所组成</w:t>
                  </w:r>
                  <w:r>
                    <w:rPr>
                      <w:rFonts w:hint="eastAsia" w:ascii="Times New Roman" w:hAnsi="Times New Roman" w:eastAsia="宋体" w:cs="Times New Roman"/>
                      <w:bCs/>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加工时用，少量色母料和未着色树脂掺混，就可达到设计颜料浓度的着色树脂或制品。</w:t>
                  </w:r>
                  <w:r>
                    <w:rPr>
                      <w:rFonts w:hint="eastAsia" w:ascii="Times New Roman" w:hAnsi="Times New Roman" w:eastAsia="宋体" w:cs="Times New Roman"/>
                      <w:bCs/>
                      <w:color w:val="000000" w:themeColor="text1"/>
                      <w:sz w:val="21"/>
                      <w:szCs w:val="21"/>
                      <w:u w:val="none" w:color="auto"/>
                      <w:lang w:val="en-US" w:eastAsia="zh-CN"/>
                      <w14:textFill>
                        <w14:solidFill>
                          <w14:schemeClr w14:val="tx1"/>
                        </w14:solidFill>
                      </w14:textFill>
                    </w:rPr>
                    <w:t>固体小颗粒。</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密度在</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0.92</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0.97</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g/cm</w:t>
                  </w:r>
                  <w:r>
                    <w:rPr>
                      <w:rFonts w:hint="eastAsia" w:ascii="Times New Roman" w:hAnsi="Times New Roman" w:eastAsia="宋体" w:cs="Times New Roman"/>
                      <w:bCs/>
                      <w:color w:val="000000" w:themeColor="text1"/>
                      <w:sz w:val="21"/>
                      <w:szCs w:val="21"/>
                      <w:u w:val="none" w:color="auto"/>
                      <w:vertAlign w:val="superscript"/>
                      <w14:textFill>
                        <w14:solidFill>
                          <w14:schemeClr w14:val="tx1"/>
                        </w14:solidFill>
                      </w14:textFill>
                    </w:rPr>
                    <w:t>3</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；高温可分解，分解温度为</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300</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以上</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；熔点为</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160</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w:t>
                  </w:r>
                  <w:r>
                    <w:rPr>
                      <w:rFonts w:hint="eastAsia" w:ascii="Times New Roman" w:hAnsi="Times New Roman" w:cs="Times New Roman"/>
                      <w:bCs/>
                      <w:color w:val="000000" w:themeColor="text1"/>
                      <w:sz w:val="21"/>
                      <w:szCs w:val="21"/>
                      <w:u w:val="none" w:color="auto"/>
                      <w:lang w:val="en-US" w:eastAsia="zh-CN"/>
                      <w14:textFill>
                        <w14:solidFill>
                          <w14:schemeClr w14:val="tx1"/>
                        </w14:solidFill>
                      </w14:textFill>
                    </w:rPr>
                    <w:t>250</w:t>
                  </w:r>
                  <w:r>
                    <w:rPr>
                      <w:rFonts w:hint="eastAsia" w:ascii="Times New Roman" w:hAnsi="Times New Roman" w:eastAsia="宋体" w:cs="Times New Roman"/>
                      <w:bCs/>
                      <w:color w:val="000000" w:themeColor="text1"/>
                      <w:sz w:val="21"/>
                      <w:szCs w:val="21"/>
                      <w:u w:val="none" w:color="auto"/>
                      <w14:textFill>
                        <w14:solidFill>
                          <w14:schemeClr w14:val="tx1"/>
                        </w14:solidFill>
                      </w14:textFill>
                    </w:rPr>
                    <w:t>℃。</w:t>
                  </w:r>
                </w:p>
              </w:tc>
            </w:tr>
            <w:tr w14:paraId="67AE5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454CC4B3">
                  <w:pPr>
                    <w:pStyle w:val="66"/>
                    <w:keepNext w:val="0"/>
                    <w:keepLines w:val="0"/>
                    <w:pageBreakBefore w:val="0"/>
                    <w:kinsoku/>
                    <w:wordWrap/>
                    <w:overflowPunct/>
                    <w:topLinePunct w:val="0"/>
                    <w:autoSpaceDE w:val="0"/>
                    <w:autoSpaceDN w:val="0"/>
                    <w:bidi w:val="0"/>
                    <w:spacing w:beforeAutospacing="0" w:afterAutospacing="0" w:line="360" w:lineRule="exact"/>
                    <w:ind w:left="0" w:leftChars="0" w:right="0" w:rightChars="0"/>
                    <w:jc w:val="center"/>
                    <w:textAlignment w:val="auto"/>
                    <w:rPr>
                      <w:rFonts w:hint="default" w:ascii="Times New Roman" w:hAnsi="Times New Roman" w:eastAsia="宋体" w:cs="Times New Roman"/>
                      <w:b w:val="0"/>
                      <w:bCs w:val="0"/>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u w:val="none"/>
                      <w:lang w:val="en-US" w:eastAsia="zh-CN"/>
                      <w14:textFill>
                        <w14:solidFill>
                          <w14:schemeClr w14:val="tx1"/>
                        </w14:solidFill>
                      </w14:textFill>
                    </w:rPr>
                    <w:t>3</w:t>
                  </w:r>
                </w:p>
              </w:tc>
              <w:tc>
                <w:tcPr>
                  <w:tcW w:w="1172" w:type="dxa"/>
                  <w:vAlign w:val="center"/>
                </w:tcPr>
                <w:p w14:paraId="7C32C042">
                  <w:pPr>
                    <w:pStyle w:val="66"/>
                    <w:keepNext w:val="0"/>
                    <w:keepLines w:val="0"/>
                    <w:pageBreakBefore w:val="0"/>
                    <w:kinsoku/>
                    <w:wordWrap/>
                    <w:overflowPunct/>
                    <w:topLinePunct w:val="0"/>
                    <w:autoSpaceDE w:val="0"/>
                    <w:autoSpaceDN w:val="0"/>
                    <w:bidi w:val="0"/>
                    <w:spacing w:beforeAutospacing="0" w:afterAutospacing="0" w:line="360" w:lineRule="exact"/>
                    <w:ind w:left="0" w:leftChars="0" w:right="0" w:rightChars="0"/>
                    <w:jc w:val="center"/>
                    <w:textAlignment w:val="auto"/>
                    <w:rPr>
                      <w:rFonts w:hint="default"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仿宋_GB2312"/>
                      <w:b w:val="0"/>
                      <w:bCs w:val="0"/>
                      <w:color w:val="000000" w:themeColor="text1"/>
                      <w:sz w:val="21"/>
                      <w:szCs w:val="21"/>
                      <w:u w:val="none"/>
                      <w:lang w:val="en-US" w:eastAsia="zh-CN"/>
                      <w14:textFill>
                        <w14:solidFill>
                          <w14:schemeClr w14:val="tx1"/>
                        </w14:solidFill>
                      </w14:textFill>
                    </w:rPr>
                    <w:t>水性</w:t>
                  </w:r>
                  <w:r>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t>化妆</w:t>
                  </w:r>
                  <w:r>
                    <w:rPr>
                      <w:rFonts w:hint="eastAsia" w:ascii="Times New Roman" w:hAnsi="Times New Roman" w:cs="Times New Roman"/>
                      <w:bCs/>
                      <w:color w:val="000000" w:themeColor="text1"/>
                      <w:kern w:val="0"/>
                      <w:sz w:val="21"/>
                      <w:szCs w:val="21"/>
                      <w:u w:val="none" w:color="auto"/>
                      <w:lang w:val="en-US" w:eastAsia="zh-CN" w:bidi="zh-CN"/>
                      <w14:textFill>
                        <w14:solidFill>
                          <w14:schemeClr w14:val="tx1"/>
                        </w14:solidFill>
                      </w14:textFill>
                    </w:rPr>
                    <w:t>颜料</w:t>
                  </w:r>
                </w:p>
              </w:tc>
              <w:tc>
                <w:tcPr>
                  <w:tcW w:w="6196" w:type="dxa"/>
                </w:tcPr>
                <w:p w14:paraId="6519843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pPr>
                  <w:r>
                    <w:rPr>
                      <w:rFonts w:hint="eastAsia" w:ascii="Times New Roman" w:hAnsi="Times New Roman" w:cs="Times New Roman"/>
                      <w:bCs/>
                      <w:color w:val="000000" w:themeColor="text1"/>
                      <w:kern w:val="0"/>
                      <w:sz w:val="21"/>
                      <w:szCs w:val="21"/>
                      <w:u w:val="none" w:color="auto"/>
                      <w:lang w:val="en-US" w:eastAsia="zh-CN" w:bidi="zh-CN"/>
                      <w14:textFill>
                        <w14:solidFill>
                          <w14:schemeClr w14:val="tx1"/>
                        </w14:solidFill>
                      </w14:textFill>
                    </w:rPr>
                    <w:t>丙烯水性颜料，以水作为稀释剂，</w:t>
                  </w:r>
                  <w:r>
                    <w:rPr>
                      <w:rFonts w:hint="eastAsia" w:ascii="Times New Roman" w:hAnsi="Times New Roman" w:eastAsia="宋体" w:cs="Times New Roman"/>
                      <w:bCs/>
                      <w:color w:val="000000" w:themeColor="text1"/>
                      <w:kern w:val="0"/>
                      <w:sz w:val="21"/>
                      <w:szCs w:val="21"/>
                      <w:u w:val="none" w:color="auto"/>
                      <w:lang w:val="en-US" w:eastAsia="zh-CN" w:bidi="zh-CN"/>
                      <w14:textFill>
                        <w14:solidFill>
                          <w14:schemeClr w14:val="tx1"/>
                        </w14:solidFill>
                      </w14:textFill>
                    </w:rPr>
                    <w:t>主要成分为</w:t>
                  </w:r>
                  <w:r>
                    <w:rPr>
                      <w:rFonts w:hint="eastAsia" w:ascii="Times New Roman" w:hAnsi="Times New Roman" w:eastAsia="宋体" w:cs="Times New Roman"/>
                      <w:bCs/>
                      <w:color w:val="000000" w:themeColor="text1"/>
                      <w:kern w:val="0"/>
                      <w:sz w:val="21"/>
                      <w:szCs w:val="21"/>
                      <w:u w:val="none" w:color="auto"/>
                      <w:lang w:val="zh-CN" w:eastAsia="zh-CN" w:bidi="zh-CN"/>
                      <w14:textFill>
                        <w14:solidFill>
                          <w14:schemeClr w14:val="tx1"/>
                        </w14:solidFill>
                      </w14:textFill>
                    </w:rPr>
                    <w:t>丙烯酸酯、甲基丙烯酸酯和丙烯酸。</w:t>
                  </w:r>
                </w:p>
              </w:tc>
            </w:tr>
          </w:tbl>
          <w:p w14:paraId="20599F24">
            <w:pPr>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jc w:val="both"/>
              <w:textAlignment w:val="auto"/>
              <w:rPr>
                <w:rFonts w:hint="default" w:ascii="Times New Roman" w:hAnsi="Times New Roman" w:eastAsia="宋体" w:cs="Times New Roman"/>
                <w:b/>
                <w:bCs/>
                <w:color w:val="000000" w:themeColor="text1"/>
                <w:sz w:val="24"/>
                <w:szCs w:val="24"/>
                <w:u w:val="none" w:color="auto"/>
                <w:lang w:val="zh-CN" w:eastAsia="zh-CN"/>
                <w14:textFill>
                  <w14:solidFill>
                    <w14:schemeClr w14:val="tx1"/>
                  </w14:solidFill>
                </w14:textFill>
              </w:rPr>
            </w:pP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六</w:t>
            </w:r>
            <w:r>
              <w:rPr>
                <w:rFonts w:hint="eastAsia" w:ascii="Times New Roman" w:hAnsi="Times New Roman" w:eastAsia="宋体" w:cs="Times New Roman"/>
                <w:b/>
                <w:bCs/>
                <w:color w:val="000000" w:themeColor="text1"/>
                <w:sz w:val="24"/>
                <w:szCs w:val="24"/>
                <w:u w:val="none" w:color="auto"/>
                <w:lang w:val="zh-CN" w:eastAsia="zh-CN"/>
                <w14:textFill>
                  <w14:solidFill>
                    <w14:schemeClr w14:val="tx1"/>
                  </w14:solidFill>
                </w14:textFill>
              </w:rPr>
              <w:t>、</w:t>
            </w:r>
            <w:r>
              <w:rPr>
                <w:rFonts w:hint="default" w:ascii="Times New Roman" w:hAnsi="Times New Roman" w:eastAsia="宋体" w:cs="Times New Roman"/>
                <w:b/>
                <w:bCs/>
                <w:color w:val="000000" w:themeColor="text1"/>
                <w:sz w:val="24"/>
                <w:szCs w:val="24"/>
                <w:u w:val="none" w:color="auto"/>
                <w:lang w:val="zh-CN" w:eastAsia="zh-CN"/>
                <w14:textFill>
                  <w14:solidFill>
                    <w14:schemeClr w14:val="tx1"/>
                  </w14:solidFill>
                </w14:textFill>
              </w:rPr>
              <w:t>工作制度及劳动定员</w:t>
            </w:r>
          </w:p>
          <w:p w14:paraId="7F25E293">
            <w:pPr>
              <w:keepNext w:val="0"/>
              <w:keepLines w:val="0"/>
              <w:pageBreakBefore w:val="0"/>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项目劳动总定员为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15</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人，年工作时间为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200</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天</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。一班制，每班</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工作</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小时，</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员工均不在厂区食宿。</w:t>
            </w:r>
          </w:p>
          <w:p w14:paraId="4F7E88C0">
            <w:pPr>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textAlignment w:val="auto"/>
              <w:rPr>
                <w:rFonts w:hint="default" w:ascii="Times New Roman" w:hAnsi="Times New Roman" w:eastAsia="宋体" w:cs="Times New Roman"/>
                <w:b/>
                <w:bCs/>
                <w:color w:val="000000" w:themeColor="text1"/>
                <w:sz w:val="24"/>
                <w:szCs w:val="24"/>
                <w:u w:val="none" w:color="auto"/>
                <w14:textFill>
                  <w14:solidFill>
                    <w14:schemeClr w14:val="tx1"/>
                  </w14:solidFill>
                </w14:textFill>
              </w:rPr>
            </w:pPr>
            <w:r>
              <w:rPr>
                <w:rFonts w:hint="eastAsia" w:ascii="Times New Roman" w:hAnsi="Times New Roman" w:cs="Times New Roman"/>
                <w:b/>
                <w:bCs/>
                <w:color w:val="000000" w:themeColor="text1"/>
                <w:sz w:val="24"/>
                <w:szCs w:val="24"/>
                <w:u w:val="none" w:color="auto"/>
                <w:lang w:val="en-US" w:eastAsia="zh-CN"/>
                <w14:textFill>
                  <w14:solidFill>
                    <w14:schemeClr w14:val="tx1"/>
                  </w14:solidFill>
                </w14:textFill>
              </w:rPr>
              <w:t>七</w:t>
            </w:r>
            <w:r>
              <w:rPr>
                <w:rFonts w:hint="eastAsia" w:ascii="Times New Roman" w:hAnsi="Times New Roman" w:eastAsia="宋体" w:cs="Times New Roman"/>
                <w:b/>
                <w:bCs/>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公用工程</w:t>
            </w:r>
          </w:p>
          <w:p w14:paraId="5E1B0F5D">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zh-CN"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zh-CN" w:eastAsia="zh-CN" w:bidi="zh-CN"/>
                <w14:textFill>
                  <w14:solidFill>
                    <w14:schemeClr w14:val="tx1"/>
                  </w14:solidFill>
                </w14:textFill>
              </w:rPr>
              <w:t>（1）</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用</w:t>
            </w:r>
            <w:r>
              <w:rPr>
                <w:rFonts w:hint="eastAsia" w:ascii="Times New Roman" w:hAnsi="Times New Roman" w:eastAsia="宋体" w:cs="Times New Roman"/>
                <w:color w:val="000000" w:themeColor="text1"/>
                <w:sz w:val="24"/>
                <w:szCs w:val="24"/>
                <w:u w:val="none" w:color="auto"/>
                <w:lang w:val="zh-CN" w:eastAsia="zh-CN" w:bidi="zh-CN"/>
                <w14:textFill>
                  <w14:solidFill>
                    <w14:schemeClr w14:val="tx1"/>
                  </w14:solidFill>
                </w14:textFill>
              </w:rPr>
              <w:t>水</w:t>
            </w:r>
          </w:p>
          <w:p w14:paraId="3D67E57D">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项目用水由</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城镇自来水</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提供，</w:t>
            </w:r>
            <w:r>
              <w:rPr>
                <w:rFonts w:hint="eastAsia" w:ascii="Times New Roman" w:hAnsi="Times New Roman" w:eastAsia="宋体" w:cs="Times New Roman"/>
                <w:color w:val="000000" w:themeColor="text1"/>
                <w:sz w:val="24"/>
                <w:szCs w:val="24"/>
                <w:u w:val="none" w:color="auto"/>
                <w:lang w:val="zh-CN" w:eastAsia="zh-CN"/>
                <w14:textFill>
                  <w14:solidFill>
                    <w14:schemeClr w14:val="tx1"/>
                  </w14:solidFill>
                </w14:textFill>
              </w:rPr>
              <w:t>生产</w:t>
            </w:r>
            <w:r>
              <w:rPr>
                <w:rFonts w:hint="default" w:ascii="Times New Roman" w:hAnsi="Times New Roman" w:eastAsia="宋体" w:cs="Times New Roman"/>
                <w:color w:val="000000" w:themeColor="text1"/>
                <w:sz w:val="24"/>
                <w:szCs w:val="24"/>
                <w:u w:val="none" w:color="auto"/>
                <w:lang w:val="zh-CN" w:eastAsia="zh-CN"/>
                <w14:textFill>
                  <w14:solidFill>
                    <w14:schemeClr w14:val="tx1"/>
                  </w14:solidFill>
                </w14:textFill>
              </w:rPr>
              <w:t>运营过程中用水主要为</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员工生活用水和吹塑冷却循环用水。</w:t>
            </w:r>
          </w:p>
          <w:p w14:paraId="0A40C345">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①生活用水</w:t>
            </w:r>
          </w:p>
          <w:p w14:paraId="5A46BA7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本项目劳动定员</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15人</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员工不在厂区食宿，根据河南省地方标准《工业与城镇生活用水定额》（</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DB41/T385-2020）及结合当地实际情况，生活用水</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定额按50L/人·d计，则生活用水量为0.75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d</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、225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p>
          <w:p w14:paraId="2F5B37A9">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660" w:leftChars="0" w:right="0" w:rightChars="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②</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吹塑冷却循环用水</w:t>
            </w:r>
          </w:p>
          <w:p w14:paraId="642A906E">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righ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本项目吹塑冷却循环水冷却方式为非接触式间接冷却，定期外排，每3 个月外排1次。项目冷却循环水主要用于设备冷却，项目设置水槽使用自来水循环冷却，根据企业提供资料，循环水总的循环量</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/h。根据《工业循环冷却水处理设计规范》(GB/T50050-2017)第5.06章节，开式系统的补充水量计算公式如下：</w:t>
            </w:r>
          </w:p>
          <w:p w14:paraId="20C19538">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Qm=Qe+Qb+Qw</w:t>
            </w:r>
          </w:p>
          <w:p w14:paraId="71B94612">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Qm=Qe*N/</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N-1</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w:t>
            </w:r>
          </w:p>
          <w:p w14:paraId="4DA3A9CF">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Qe=k*Δt*Qt</w:t>
            </w:r>
          </w:p>
          <w:p w14:paraId="379FD8DA">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式中：Qe：--蒸发水量(m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w:t>
            </w:r>
          </w:p>
          <w:p w14:paraId="013C57E9">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Qt：--循环冷却水量(m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w:t>
            </w:r>
          </w:p>
          <w:p w14:paraId="7AB1B63D">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Qb：--排污水量(m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w:t>
            </w:r>
          </w:p>
          <w:p w14:paraId="5E81780E">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Qw--风吹损失水量(m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/h)，风水损失量以循环冷却水量0.1%计；</w:t>
            </w:r>
          </w:p>
          <w:p w14:paraId="5EDD623B">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Qm--补充水量(m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w:t>
            </w:r>
          </w:p>
          <w:p w14:paraId="748E191E">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N-设计浓缩倍数，4倍；</w:t>
            </w:r>
          </w:p>
          <w:p w14:paraId="76CFADD0">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Δt--循环冷却水进、出冷却塔温差5(°C)；</w:t>
            </w:r>
          </w:p>
          <w:p w14:paraId="44457C2F">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k-蒸发损失系数，本项目k取值0.0015。</w:t>
            </w:r>
          </w:p>
          <w:p w14:paraId="39B0148F">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Chars="0" w:firstLine="480" w:firstLineChars="200"/>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项目循环水能力</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/h，蒸发损失水量Qe=0.0015×5×</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0.15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/h，补充水量Qm=0.</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15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/h×4/(4-1)=</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0.2</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/h，风吹损失量Qw=</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×0.1%=</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0.02</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/h，排水水量Qb=Qm-Qe-Qw=</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0.2</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0.15</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0.02</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0.03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/h。</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设备冷却时间为4h。</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冷却循环新鲜</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水用量</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0.8</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/d，</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240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/a。</w:t>
            </w:r>
          </w:p>
          <w:p w14:paraId="336FBB98">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0" w:firstLineChars="200"/>
              <w:textAlignment w:val="auto"/>
              <w:rPr>
                <w:rFonts w:hint="default" w:ascii="Times New Roman" w:hAnsi="Times New Roman" w:eastAsia="宋体"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14:textFill>
                  <w14:solidFill>
                    <w14:schemeClr w14:val="tx1"/>
                  </w14:solidFill>
                </w14:textFill>
              </w:rPr>
              <w:t>（2）排水</w:t>
            </w:r>
          </w:p>
          <w:p w14:paraId="5CE834C4">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全厂采用</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雨污分流</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的原则，其中雨水排入</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市政雨水管网</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p>
          <w:p w14:paraId="1059E328">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①生活污</w:t>
            </w:r>
            <w:r>
              <w:rPr>
                <w:rFonts w:hint="eastAsia" w:ascii="Times New Roman" w:hAnsi="Times New Roman" w:eastAsia="宋体" w:cs="Times New Roman"/>
                <w:color w:val="000000" w:themeColor="text1"/>
                <w:sz w:val="24"/>
                <w:szCs w:val="24"/>
                <w:u w:val="none" w:color="auto"/>
                <w:lang w:eastAsia="zh-CN"/>
                <w14:textFill>
                  <w14:solidFill>
                    <w14:schemeClr w14:val="tx1"/>
                  </w14:solidFill>
                </w14:textFill>
              </w:rPr>
              <w:t>水</w:t>
            </w:r>
          </w:p>
          <w:p w14:paraId="2B757A75">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生活用水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225</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排放系数取0.8</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，则生活污水排放量为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d、180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/a，经</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化粪池</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处理后</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市政污水管网排入</w:t>
            </w:r>
            <w:r>
              <w:rPr>
                <w:rFonts w:hint="eastAsia" w:ascii="Times New Roman" w:hAnsi="Times New Roman"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538D60E9">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②</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冷却水废水</w:t>
            </w:r>
          </w:p>
          <w:p w14:paraId="303099DB">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项目循环水能力</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/h，蒸发损失水量Qe=0.0015×5×</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/h，补充水量Qm=</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/h×4/(4-1)=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/h，风吹损失量Qw=</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/h，排水水量Qb=Qm-Qe-Qw=</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每日设备冷却4h，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则年排水量为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d、36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/a。冷却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水废水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为自来水，水质较为洁净，</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市政污水管网排入</w:t>
            </w:r>
            <w:r>
              <w:rPr>
                <w:rFonts w:hint="eastAsia" w:ascii="Times New Roman" w:hAnsi="Times New Roman"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2A7A1F61">
            <w:pPr>
              <w:pStyle w:val="20"/>
              <w:shd w:val="clear" w:color="auto" w:fill="FFFFFF"/>
              <w:wordWrap/>
              <w:autoSpaceDE w:val="0"/>
              <w:autoSpaceDN w:val="0"/>
              <w:adjustRightInd/>
              <w:snapToGrid/>
              <w:spacing w:before="0" w:beforeAutospacing="0" w:after="0" w:afterAutospacing="0" w:line="520" w:lineRule="exact"/>
              <w:ind w:firstLine="480" w:firstLineChars="200"/>
              <w:jc w:val="both"/>
              <w:textAlignment w:val="auto"/>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项目水平衡图见图</w:t>
            </w: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t>2-1。</w:t>
            </w:r>
          </w:p>
          <w:p w14:paraId="345020FA">
            <w:pPr>
              <w:pStyle w:val="20"/>
              <w:keepNext w:val="0"/>
              <w:keepLines w:val="0"/>
              <w:pageBreakBefore w:val="0"/>
              <w:widowControl/>
              <w:shd w:val="clear" w:color="auto" w:fill="FFFFFF"/>
              <w:kinsoku/>
              <w:wordWrap/>
              <w:overflowPunct/>
              <w:topLinePunct w:val="0"/>
              <w:autoSpaceDE w:val="0"/>
              <w:autoSpaceDN w:val="0"/>
              <w:bidi w:val="0"/>
              <w:adjustRightInd/>
              <w:snapToGrid/>
              <w:spacing w:before="0" w:beforeAutospacing="0" w:after="0" w:afterAutospacing="0" w:line="240" w:lineRule="auto"/>
              <w:ind w:firstLine="0" w:firstLineChars="0"/>
              <w:jc w:val="both"/>
              <w:textAlignment w:val="auto"/>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color="auto"/>
                <w:lang w:val="en-US" w:eastAsia="zh-CN"/>
                <w14:textFill>
                  <w14:solidFill>
                    <w14:schemeClr w14:val="tx1"/>
                  </w14:solidFill>
                </w14:textFill>
              </w:rPr>
              <w:drawing>
                <wp:inline distT="0" distB="0" distL="114300" distR="114300">
                  <wp:extent cx="5161915" cy="1651000"/>
                  <wp:effectExtent l="0" t="0" r="635" b="6350"/>
                  <wp:docPr id="53" name="图片 53" descr="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页-1"/>
                          <pic:cNvPicPr>
                            <a:picLocks noChangeAspect="1"/>
                          </pic:cNvPicPr>
                        </pic:nvPicPr>
                        <pic:blipFill>
                          <a:blip r:embed="rId24"/>
                          <a:stretch>
                            <a:fillRect/>
                          </a:stretch>
                        </pic:blipFill>
                        <pic:spPr>
                          <a:xfrm>
                            <a:off x="0" y="0"/>
                            <a:ext cx="5161915" cy="1651000"/>
                          </a:xfrm>
                          <a:prstGeom prst="rect">
                            <a:avLst/>
                          </a:prstGeom>
                        </pic:spPr>
                      </pic:pic>
                    </a:graphicData>
                  </a:graphic>
                </wp:inline>
              </w:drawing>
            </w:r>
          </w:p>
          <w:p w14:paraId="2F1355BF">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2-1</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 xml:space="preserve">  本项目水平衡示意图（m</w:t>
            </w:r>
            <w:r>
              <w:rPr>
                <w:rFonts w:hint="default" w:ascii="Times New Roman" w:hAnsi="Times New Roman" w:eastAsia="黑体" w:cs="Times New Roman"/>
                <w:b w:val="0"/>
                <w:bCs w:val="0"/>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d</w:t>
            </w:r>
            <w:r>
              <w:rPr>
                <w:rFonts w:hint="default"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w:t>
            </w:r>
          </w:p>
          <w:p w14:paraId="63E8FAD0">
            <w:pPr>
              <w:widowControl w:val="0"/>
              <w:numPr>
                <w:ilvl w:val="0"/>
                <w:numId w:val="32"/>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宋体"/>
                <w:b/>
                <w:bCs/>
                <w:color w:val="000000" w:themeColor="text1"/>
                <w:sz w:val="24"/>
                <w:szCs w:val="24"/>
                <w:u w:val="none" w:color="auto"/>
                <w:lang w:val="zh-CN" w:eastAsia="zh-CN"/>
                <w14:textFill>
                  <w14:solidFill>
                    <w14:schemeClr w14:val="tx1"/>
                  </w14:solidFill>
                </w14:textFill>
              </w:rPr>
            </w:pPr>
            <w:r>
              <w:rPr>
                <w:rFonts w:hint="eastAsia" w:ascii="Times New Roman" w:hAnsi="Times New Roman" w:eastAsia="宋体" w:cs="宋体"/>
                <w:b/>
                <w:bCs/>
                <w:color w:val="000000" w:themeColor="text1"/>
                <w:sz w:val="24"/>
                <w:szCs w:val="24"/>
                <w:u w:val="none" w:color="auto"/>
                <w:lang w:val="zh-CN" w:eastAsia="zh-CN"/>
                <w14:textFill>
                  <w14:solidFill>
                    <w14:schemeClr w14:val="tx1"/>
                  </w14:solidFill>
                </w14:textFill>
              </w:rPr>
              <w:t>厂区平面布局</w:t>
            </w:r>
          </w:p>
          <w:p w14:paraId="45A5EB0C">
            <w:pPr>
              <w:widowControl w:val="0"/>
              <w:numPr>
                <w:ilvl w:val="0"/>
                <w:numId w:val="0"/>
              </w:numPr>
              <w:wordWrap/>
              <w:adjustRightInd/>
              <w:snapToGrid/>
              <w:spacing w:beforeAutospacing="0" w:afterAutospacing="0" w:line="520" w:lineRule="exact"/>
              <w:ind w:right="0" w:rightChars="0" w:firstLine="480" w:firstLineChars="200"/>
              <w:jc w:val="both"/>
              <w:textAlignment w:val="auto"/>
              <w:outlineLvl w:val="9"/>
              <w:rPr>
                <w:rFonts w:hint="default" w:ascii="Times New Roman" w:hAnsi="Times New Roman" w:cs="Times New Roman"/>
                <w:color w:val="000000" w:themeColor="text1"/>
                <w:sz w:val="20"/>
                <w:szCs w:val="20"/>
                <w:u w:val="none" w:color="auto"/>
                <w14:textFill>
                  <w14:solidFill>
                    <w14:schemeClr w14:val="tx1"/>
                  </w14:solidFill>
                </w14:textFill>
              </w:rPr>
            </w:pPr>
            <w:r>
              <w:rPr>
                <w:rFonts w:hint="eastAsia" w:ascii="Times New Roman" w:hAnsi="Times New Roman" w:eastAsia="宋体" w:cs="宋体"/>
                <w:color w:val="000000" w:themeColor="text1"/>
                <w:sz w:val="24"/>
                <w:szCs w:val="24"/>
                <w:u w:val="none" w:color="auto"/>
                <w:lang w:val="en-US" w:eastAsia="zh-CN"/>
                <w14:textFill>
                  <w14:solidFill>
                    <w14:schemeClr w14:val="tx1"/>
                  </w14:solidFill>
                </w14:textFill>
              </w:rPr>
              <w:t>根据项目平面布置图，本项目办公区与生产区分离，布局较为合理，物流顺畅，卫生条件和交通运输均满足企业需求</w:t>
            </w:r>
            <w:r>
              <w:rPr>
                <w:rFonts w:hint="eastAsia" w:ascii="Times New Roman" w:hAnsi="Times New Roman" w:cs="宋体"/>
                <w:color w:val="000000" w:themeColor="text1"/>
                <w:sz w:val="24"/>
                <w:szCs w:val="24"/>
                <w:u w:val="none" w:color="auto"/>
                <w:lang w:val="en-US" w:eastAsia="zh-CN"/>
                <w14:textFill>
                  <w14:solidFill>
                    <w14:schemeClr w14:val="tx1"/>
                  </w14:solidFill>
                </w14:textFill>
              </w:rPr>
              <w:t>。</w:t>
            </w:r>
          </w:p>
        </w:tc>
      </w:tr>
      <w:tr w14:paraId="5DE680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615" w:hRule="atLeast"/>
        </w:trPr>
        <w:tc>
          <w:tcPr>
            <w:tcW w:w="734" w:type="dxa"/>
            <w:tcBorders>
              <w:top w:val="single" w:color="auto" w:sz="4" w:space="0"/>
              <w:left w:val="single" w:color="auto" w:sz="4" w:space="0"/>
              <w:bottom w:val="single" w:color="auto" w:sz="4" w:space="0"/>
              <w:right w:val="single" w:color="000000" w:sz="4" w:space="0"/>
            </w:tcBorders>
            <w:vAlign w:val="center"/>
          </w:tcPr>
          <w:p w14:paraId="00E6755E">
            <w:pPr>
              <w:widowControl w:val="0"/>
              <w:wordWrap/>
              <w:adjustRightInd/>
              <w:snapToGrid/>
              <w:spacing w:beforeAutospacing="0" w:afterAutospacing="0" w:line="360" w:lineRule="auto"/>
              <w:ind w:left="0" w:leftChars="0" w:right="0"/>
              <w:jc w:val="center"/>
              <w:textAlignment w:val="auto"/>
              <w:outlineLvl w:val="9"/>
              <w:rPr>
                <w:rFonts w:hint="eastAsia"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工艺流程和产排污环节</w:t>
            </w:r>
          </w:p>
        </w:tc>
        <w:tc>
          <w:tcPr>
            <w:tcW w:w="8148" w:type="dxa"/>
            <w:tcBorders>
              <w:top w:val="single" w:color="auto" w:sz="4" w:space="0"/>
              <w:left w:val="single" w:color="000000" w:sz="4" w:space="0"/>
              <w:bottom w:val="single" w:color="auto" w:sz="4" w:space="0"/>
              <w:right w:val="single" w:color="auto" w:sz="4" w:space="0"/>
            </w:tcBorders>
            <w:vAlign w:val="center"/>
          </w:tcPr>
          <w:p w14:paraId="450EB6C8">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b/>
                <w:bCs/>
                <w:sz w:val="24"/>
                <w:szCs w:val="24"/>
                <w:u w:val="none" w:color="auto"/>
                <w:lang w:val="en-US" w:eastAsia="zh-CN"/>
              </w:rPr>
              <w:t>一、施工期工艺流程和产排污环节</w:t>
            </w:r>
          </w:p>
          <w:p w14:paraId="5B6697DB">
            <w:pPr>
              <w:pStyle w:val="8"/>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项目</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租赁现有车间</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进行建设，仅涉及</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厂房改造和</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设备安装，</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无土建工程。因此无施工期工艺流程和产排污环节。</w:t>
            </w:r>
          </w:p>
          <w:p w14:paraId="0EC3091E">
            <w:pPr>
              <w:widowControl w:val="0"/>
              <w:numPr>
                <w:ilvl w:val="0"/>
                <w:numId w:val="0"/>
              </w:numPr>
              <w:wordWrap/>
              <w:adjustRightInd/>
              <w:snapToGrid/>
              <w:spacing w:beforeAutospacing="0" w:afterAutospacing="0" w:line="520" w:lineRule="exact"/>
              <w:ind w:leftChars="0" w:right="0" w:firstLine="482" w:firstLineChars="200"/>
              <w:jc w:val="both"/>
              <w:textAlignment w:val="auto"/>
              <w:outlineLvl w:val="9"/>
              <w:rPr>
                <w:rFonts w:hint="eastAsia" w:ascii="Times New Roman" w:hAnsi="Times New Roman" w:eastAsia="宋体" w:cs="Times New Roman"/>
                <w:b/>
                <w:bCs/>
                <w:sz w:val="24"/>
                <w:szCs w:val="24"/>
                <w:u w:val="none" w:color="auto"/>
                <w:lang w:val="zh-CN" w:eastAsia="zh-CN"/>
              </w:rPr>
            </w:pPr>
            <w:r>
              <w:rPr>
                <w:rFonts w:hint="eastAsia" w:ascii="Times New Roman" w:hAnsi="Times New Roman" w:cs="Times New Roman"/>
                <w:b/>
                <w:bCs/>
                <w:sz w:val="24"/>
                <w:szCs w:val="24"/>
                <w:u w:val="none" w:color="auto"/>
                <w:lang w:val="en-US" w:eastAsia="zh-CN"/>
              </w:rPr>
              <w:t>二</w:t>
            </w:r>
            <w:r>
              <w:rPr>
                <w:rFonts w:hint="eastAsia" w:ascii="Times New Roman" w:hAnsi="Times New Roman" w:cs="Times New Roman"/>
                <w:b/>
                <w:bCs/>
                <w:sz w:val="24"/>
                <w:szCs w:val="24"/>
                <w:u w:val="none" w:color="auto"/>
                <w:lang w:val="zh-CN" w:eastAsia="zh-CN"/>
              </w:rPr>
              <w:t>、</w:t>
            </w:r>
            <w:r>
              <w:rPr>
                <w:rFonts w:hint="eastAsia" w:ascii="Times New Roman" w:hAnsi="Times New Roman" w:eastAsia="宋体" w:cs="Times New Roman"/>
                <w:b/>
                <w:bCs/>
                <w:sz w:val="24"/>
                <w:szCs w:val="24"/>
                <w:u w:val="none" w:color="auto"/>
                <w:lang w:val="en-US" w:eastAsia="zh-CN"/>
              </w:rPr>
              <w:t>运营期工艺流程和产排污环节</w:t>
            </w:r>
          </w:p>
          <w:p w14:paraId="3E867194">
            <w:pPr>
              <w:widowControl w:val="0"/>
              <w:wordWrap/>
              <w:adjustRightInd/>
              <w:snapToGrid/>
              <w:spacing w:beforeAutospacing="0" w:afterAutospacing="0" w:line="520" w:lineRule="exact"/>
              <w:ind w:left="0" w:leftChars="0" w:right="0" w:firstLine="480" w:firstLineChars="200"/>
              <w:jc w:val="both"/>
              <w:textAlignment w:val="auto"/>
              <w:outlineLvl w:val="9"/>
              <w:rPr>
                <w:rFonts w:hint="eastAsia" w:ascii="Times New Roman" w:hAnsi="Times New Roman" w:eastAsia="宋体" w:cs="Times New Roman"/>
                <w:sz w:val="24"/>
                <w:szCs w:val="24"/>
                <w:u w:val="none" w:color="auto"/>
                <w:lang w:val="en-US" w:eastAsia="zh-CN"/>
              </w:rPr>
            </w:pPr>
            <w:r>
              <w:rPr>
                <w:rFonts w:hint="eastAsia" w:ascii="Times New Roman" w:hAnsi="Times New Roman" w:cs="Times New Roman"/>
                <w:sz w:val="24"/>
                <w:szCs w:val="24"/>
                <w:u w:val="none" w:color="auto"/>
                <w:lang w:val="en-US" w:eastAsia="zh-CN"/>
              </w:rPr>
              <w:t>1、</w:t>
            </w:r>
            <w:r>
              <w:rPr>
                <w:rFonts w:hint="eastAsia" w:ascii="Times New Roman" w:hAnsi="Times New Roman" w:eastAsia="宋体" w:cs="Times New Roman"/>
                <w:sz w:val="24"/>
                <w:szCs w:val="24"/>
                <w:u w:val="none" w:color="auto"/>
                <w:lang w:val="zh-CN" w:eastAsia="zh-CN"/>
              </w:rPr>
              <w:t>项目工艺流程及产污环节如</w:t>
            </w:r>
            <w:r>
              <w:rPr>
                <w:rFonts w:hint="eastAsia" w:ascii="Times New Roman" w:hAnsi="Times New Roman" w:cs="Times New Roman"/>
                <w:sz w:val="24"/>
                <w:szCs w:val="24"/>
                <w:u w:val="none" w:color="auto"/>
                <w:lang w:val="zh-CN" w:eastAsia="zh-CN"/>
              </w:rPr>
              <w:t>下</w:t>
            </w:r>
            <w:r>
              <w:rPr>
                <w:rFonts w:hint="eastAsia" w:ascii="Times New Roman" w:hAnsi="Times New Roman" w:eastAsia="宋体" w:cs="Times New Roman"/>
                <w:sz w:val="24"/>
                <w:szCs w:val="24"/>
                <w:u w:val="none" w:color="auto"/>
                <w:lang w:val="zh-CN" w:eastAsia="zh-CN"/>
              </w:rPr>
              <w:t>图</w:t>
            </w:r>
            <w:r>
              <w:rPr>
                <w:rFonts w:hint="eastAsia" w:ascii="Times New Roman" w:hAnsi="Times New Roman" w:eastAsia="宋体" w:cs="Times New Roman"/>
                <w:sz w:val="24"/>
                <w:szCs w:val="24"/>
                <w:u w:val="none" w:color="auto"/>
                <w:lang w:val="en-US" w:eastAsia="zh-CN"/>
              </w:rPr>
              <w:t>所示。</w:t>
            </w:r>
          </w:p>
          <w:p w14:paraId="7BA29C50">
            <w:pPr>
              <w:pStyle w:val="2"/>
              <w:widowControl w:val="0"/>
              <w:wordWrap/>
              <w:autoSpaceDE w:val="0"/>
              <w:autoSpaceDN w:val="0"/>
              <w:adjustRightInd/>
              <w:snapToGrid/>
              <w:spacing w:beforeAutospacing="0" w:afterAutospacing="0"/>
              <w:ind w:left="0" w:leftChars="0" w:right="0" w:firstLine="0" w:firstLineChars="0"/>
              <w:jc w:val="center"/>
              <w:textAlignment w:val="auto"/>
              <w:rPr>
                <w:rFonts w:hint="eastAsia" w:ascii="Times New Roman" w:hAnsi="Times New Roman" w:cs="Times New Roman"/>
                <w:sz w:val="20"/>
                <w:szCs w:val="20"/>
                <w:u w:val="none" w:color="auto"/>
                <w:lang w:val="zh-CN" w:eastAsia="zh-CN"/>
              </w:rPr>
            </w:pPr>
            <w:r>
              <w:rPr>
                <w:rFonts w:hint="eastAsia" w:ascii="Times New Roman" w:hAnsi="Times New Roman" w:cs="Times New Roman"/>
                <w:sz w:val="20"/>
                <w:szCs w:val="20"/>
                <w:u w:val="none" w:color="auto"/>
                <w:lang w:val="zh-CN" w:eastAsia="zh-CN"/>
              </w:rPr>
              <w:drawing>
                <wp:inline distT="0" distB="0" distL="114300" distR="114300">
                  <wp:extent cx="4892040" cy="2320290"/>
                  <wp:effectExtent l="0" t="0" r="3810" b="3810"/>
                  <wp:docPr id="12" name="图片 12" descr="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页-2"/>
                          <pic:cNvPicPr>
                            <a:picLocks noChangeAspect="1"/>
                          </pic:cNvPicPr>
                        </pic:nvPicPr>
                        <pic:blipFill>
                          <a:blip r:embed="rId25"/>
                          <a:stretch>
                            <a:fillRect/>
                          </a:stretch>
                        </pic:blipFill>
                        <pic:spPr>
                          <a:xfrm>
                            <a:off x="0" y="0"/>
                            <a:ext cx="4892040" cy="2320290"/>
                          </a:xfrm>
                          <a:prstGeom prst="rect">
                            <a:avLst/>
                          </a:prstGeom>
                        </pic:spPr>
                      </pic:pic>
                    </a:graphicData>
                  </a:graphic>
                </wp:inline>
              </w:drawing>
            </w:r>
          </w:p>
          <w:p w14:paraId="2CE6157B">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zh-CN" w:eastAsia="zh-CN"/>
                <w14:textFill>
                  <w14:solidFill>
                    <w14:schemeClr w14:val="tx1"/>
                  </w14:solidFill>
                </w14:textFill>
              </w:rPr>
              <w:t>图</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2-2  项目生产工艺及产排污流程图</w:t>
            </w:r>
          </w:p>
          <w:p w14:paraId="47003914">
            <w:pPr>
              <w:keepNext w:val="0"/>
              <w:keepLines w:val="0"/>
              <w:pageBreakBefore w:val="0"/>
              <w:widowControl w:val="0"/>
              <w:numPr>
                <w:ilvl w:val="0"/>
                <w:numId w:val="33"/>
              </w:numPr>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混料、粉碎</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将袋装聚丙烯颗粒和少量色母加入混料机混合均匀，粉碎机将不合格品和修整余料粉碎后进入混料机。混料原料和不合格品粉碎后粒径较大，约为0.5cm。该工序污染物为设备噪声、废包装材料、粉碎粉尘。</w:t>
            </w:r>
          </w:p>
          <w:p w14:paraId="246D8AE9">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520" w:lineRule="exact"/>
              <w:ind w:right="0" w:rightChars="0" w:firstLine="480" w:firstLineChars="200"/>
              <w:jc w:val="both"/>
              <w:textAlignment w:val="auto"/>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2）吹塑：吸塑机将混合均匀的物料通过密闭管道吸入，原料在吹塑设备挤出机中通过电加热达到熔融状态，挤出温度160-170℃，熔融物料进入模具内先吹塑成坯的同时马上闭模，在坯内通入压缩空气，使塑料坯吹胀而紧贴在模具内壁上固形得到产品。为防止挤出的塑料胚因热应力起皱现象的出现，挤出机后需对接冷却水槽，通过循环冷却水对模特头胚进行冷却降温。吹塑后人工检查模特头质量，人工使用刀片对模特头多余部分修整，修整余料和不合格</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品（22cm</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18cm</w:t>
            </w:r>
            <w:r>
              <w:rPr>
                <w:rFonts w:hint="default"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42cm）直接回用</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于粉碎（刀片切割为颗粒状）。该工序污染物为加热挥发有机废气（非甲烷总烃）、吹塑机噪声、设备冷却水循环使用，定期排放。</w:t>
            </w:r>
          </w:p>
          <w:p w14:paraId="72285FE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宋体"/>
                <w:color w:val="auto"/>
                <w:kern w:val="0"/>
                <w:sz w:val="24"/>
                <w:szCs w:val="24"/>
                <w:u w:val="none" w:color="auto"/>
                <w:lang w:val="en-US" w:eastAsia="zh-CN" w:bidi="zh-CN"/>
              </w:rPr>
            </w:pP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3</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化妆</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人工</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使用</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刷子</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把</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水性</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化妆</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颜料刷</w:t>
            </w:r>
            <w:r>
              <w:rPr>
                <w:rFonts w:hint="eastAsia" w:ascii="Times New Roman" w:hAnsi="Times New Roman" w:eastAsia="宋体" w:cs="宋体"/>
                <w:color w:val="000000" w:themeColor="text1"/>
                <w:kern w:val="0"/>
                <w:sz w:val="24"/>
                <w:szCs w:val="24"/>
                <w:u w:val="none" w:color="auto"/>
                <w:lang w:val="en-US" w:eastAsia="zh-CN" w:bidi="zh-CN"/>
                <w14:textFill>
                  <w14:solidFill>
                    <w14:schemeClr w14:val="tx1"/>
                  </w14:solidFill>
                </w14:textFill>
              </w:rPr>
              <w:t>至眉、眼和嘴的位置。</w:t>
            </w:r>
            <w:r>
              <w:rPr>
                <w:rFonts w:hint="eastAsia" w:ascii="Times New Roman" w:hAnsi="Times New Roman" w:cs="宋体"/>
                <w:color w:val="000000" w:themeColor="text1"/>
                <w:kern w:val="0"/>
                <w:sz w:val="24"/>
                <w:szCs w:val="24"/>
                <w:u w:val="none" w:color="auto"/>
                <w:lang w:val="en-US" w:eastAsia="zh-CN" w:bidi="zh-CN"/>
                <w14:textFill>
                  <w14:solidFill>
                    <w14:schemeClr w14:val="tx1"/>
                  </w14:solidFill>
                </w14:textFill>
              </w:rPr>
              <w:t>该工序污染物为挥发有机废气（非甲烷总烃）、废化妆颜料瓶。</w:t>
            </w:r>
          </w:p>
          <w:p w14:paraId="3498EF8A">
            <w:pPr>
              <w:pStyle w:val="20"/>
              <w:widowControl/>
              <w:wordWrap/>
              <w:autoSpaceDE w:val="0"/>
              <w:autoSpaceDN w:val="0"/>
              <w:adjustRightInd/>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宋体"/>
                <w:color w:val="auto"/>
                <w:kern w:val="0"/>
                <w:sz w:val="24"/>
                <w:szCs w:val="24"/>
                <w:u w:val="none" w:color="auto"/>
                <w:lang w:val="en-US" w:eastAsia="zh-CN" w:bidi="zh-CN"/>
              </w:rPr>
            </w:pPr>
            <w:r>
              <w:rPr>
                <w:rFonts w:hint="eastAsia" w:ascii="Times New Roman" w:hAnsi="Times New Roman" w:eastAsia="宋体" w:cs="宋体"/>
                <w:color w:val="auto"/>
                <w:kern w:val="0"/>
                <w:sz w:val="24"/>
                <w:szCs w:val="24"/>
                <w:u w:val="none" w:color="auto"/>
                <w:lang w:val="en-US" w:eastAsia="zh-CN" w:bidi="zh-CN"/>
              </w:rPr>
              <w:t>（</w:t>
            </w:r>
            <w:r>
              <w:rPr>
                <w:rFonts w:hint="eastAsia" w:ascii="Times New Roman" w:hAnsi="Times New Roman" w:cs="宋体"/>
                <w:color w:val="auto"/>
                <w:kern w:val="0"/>
                <w:sz w:val="24"/>
                <w:szCs w:val="24"/>
                <w:u w:val="none" w:color="auto"/>
                <w:lang w:val="en-US" w:eastAsia="zh-CN" w:bidi="zh-CN"/>
              </w:rPr>
              <w:t>4</w:t>
            </w:r>
            <w:r>
              <w:rPr>
                <w:rFonts w:hint="eastAsia" w:ascii="Times New Roman" w:hAnsi="Times New Roman" w:eastAsia="宋体" w:cs="宋体"/>
                <w:color w:val="auto"/>
                <w:kern w:val="0"/>
                <w:sz w:val="24"/>
                <w:szCs w:val="24"/>
                <w:u w:val="none" w:color="auto"/>
                <w:lang w:val="en-US" w:eastAsia="zh-CN" w:bidi="zh-CN"/>
              </w:rPr>
              <w:t>）</w:t>
            </w:r>
            <w:r>
              <w:rPr>
                <w:rFonts w:hint="eastAsia" w:ascii="Times New Roman" w:hAnsi="Times New Roman" w:cs="宋体"/>
                <w:color w:val="auto"/>
                <w:kern w:val="0"/>
                <w:sz w:val="24"/>
                <w:szCs w:val="24"/>
                <w:u w:val="none" w:color="auto"/>
                <w:lang w:val="en-US" w:eastAsia="zh-CN" w:bidi="zh-CN"/>
              </w:rPr>
              <w:t>包装：人工将模特头打包至包装箱，仓库储存待售。</w:t>
            </w:r>
          </w:p>
          <w:p w14:paraId="44575262">
            <w:pPr>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宋体"/>
                <w:b/>
                <w:bCs/>
                <w:sz w:val="24"/>
                <w:szCs w:val="20"/>
                <w:u w:val="none" w:color="auto"/>
                <w:lang w:val="en-US" w:eastAsia="zh-CN"/>
              </w:rPr>
            </w:pPr>
            <w:r>
              <w:rPr>
                <w:rFonts w:hint="eastAsia" w:ascii="Times New Roman" w:hAnsi="Times New Roman" w:cs="宋体"/>
                <w:b/>
                <w:bCs/>
                <w:sz w:val="24"/>
                <w:szCs w:val="20"/>
                <w:u w:val="none" w:color="auto"/>
                <w:lang w:val="en-US" w:eastAsia="zh-CN"/>
              </w:rPr>
              <w:t>四</w:t>
            </w:r>
            <w:r>
              <w:rPr>
                <w:rFonts w:hint="eastAsia" w:ascii="Times New Roman" w:hAnsi="Times New Roman" w:eastAsia="宋体" w:cs="宋体"/>
                <w:b/>
                <w:bCs/>
                <w:sz w:val="24"/>
                <w:szCs w:val="20"/>
                <w:u w:val="none" w:color="auto"/>
                <w:lang w:val="en-US" w:eastAsia="zh-CN"/>
              </w:rPr>
              <w:t>、工程运营期主要产污环节见下表。</w:t>
            </w:r>
          </w:p>
          <w:p w14:paraId="034C92CC">
            <w:pPr>
              <w:widowControl w:val="0"/>
              <w:numPr>
                <w:ilvl w:val="0"/>
                <w:numId w:val="0"/>
              </w:numPr>
              <w:wordWrap/>
              <w:autoSpaceDE w:val="0"/>
              <w:autoSpaceDN w:val="0"/>
              <w:adjustRightInd w:val="0"/>
              <w:snapToGrid/>
              <w:spacing w:beforeAutospacing="0" w:afterAutospacing="0" w:line="520" w:lineRule="exact"/>
              <w:ind w:right="0" w:firstLine="0" w:firstLineChars="0"/>
              <w:jc w:val="center"/>
              <w:textAlignment w:val="auto"/>
              <w:outlineLvl w:val="9"/>
              <w:rPr>
                <w:rFonts w:hint="default" w:ascii="Times New Roman" w:hAnsi="Times New Roman" w:eastAsia="黑体" w:cs="Times New Roman"/>
                <w:b w:val="0"/>
                <w:bCs w:val="0"/>
                <w:color w:val="000000"/>
                <w:sz w:val="24"/>
                <w:szCs w:val="24"/>
                <w:u w:val="none" w:color="auto"/>
                <w:lang w:val="en-US" w:eastAsia="zh-CN"/>
              </w:rPr>
            </w:pPr>
            <w:r>
              <w:rPr>
                <w:rFonts w:hint="default" w:ascii="Times New Roman" w:hAnsi="Times New Roman" w:eastAsia="黑体" w:cs="Times New Roman"/>
                <w:b w:val="0"/>
                <w:bCs w:val="0"/>
                <w:color w:val="000000"/>
                <w:sz w:val="24"/>
                <w:szCs w:val="24"/>
                <w:u w:val="none" w:color="auto"/>
                <w:lang w:val="en-US" w:eastAsia="zh-CN"/>
              </w:rPr>
              <w:t>表</w:t>
            </w:r>
            <w:r>
              <w:rPr>
                <w:rFonts w:hint="eastAsia" w:ascii="Times New Roman" w:hAnsi="Times New Roman" w:eastAsia="黑体" w:cs="Times New Roman"/>
                <w:b w:val="0"/>
                <w:bCs w:val="0"/>
                <w:color w:val="000000"/>
                <w:sz w:val="24"/>
                <w:szCs w:val="24"/>
                <w:u w:val="none" w:color="auto"/>
                <w:lang w:val="en-US" w:eastAsia="zh-CN"/>
              </w:rPr>
              <w:t>2-6</w:t>
            </w:r>
            <w:r>
              <w:rPr>
                <w:rFonts w:hint="default" w:ascii="Times New Roman" w:hAnsi="Times New Roman" w:eastAsia="黑体" w:cs="Times New Roman"/>
                <w:b w:val="0"/>
                <w:bCs w:val="0"/>
                <w:color w:val="000000"/>
                <w:sz w:val="24"/>
                <w:szCs w:val="24"/>
                <w:u w:val="none" w:color="auto"/>
                <w:lang w:val="en-US" w:eastAsia="zh-CN"/>
              </w:rPr>
              <w:t xml:space="preserve">  工程污染因素分析汇总一览表</w:t>
            </w:r>
          </w:p>
          <w:tbl>
            <w:tblPr>
              <w:tblStyle w:val="23"/>
              <w:tblW w:w="8126"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646"/>
              <w:gridCol w:w="1633"/>
              <w:gridCol w:w="1788"/>
              <w:gridCol w:w="4059"/>
            </w:tblGrid>
            <w:tr w14:paraId="32F67EF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tcBorders>
                    <w:tl2br w:val="nil"/>
                    <w:tr2bl w:val="nil"/>
                  </w:tcBorders>
                  <w:vAlign w:val="center"/>
                </w:tcPr>
                <w:p w14:paraId="60F9548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类别</w:t>
                  </w:r>
                </w:p>
              </w:tc>
              <w:tc>
                <w:tcPr>
                  <w:tcW w:w="1633" w:type="dxa"/>
                  <w:tcBorders>
                    <w:tl2br w:val="nil"/>
                    <w:tr2bl w:val="nil"/>
                  </w:tcBorders>
                  <w:vAlign w:val="center"/>
                </w:tcPr>
                <w:p w14:paraId="2DD974CF">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产污环节</w:t>
                  </w:r>
                </w:p>
              </w:tc>
              <w:tc>
                <w:tcPr>
                  <w:tcW w:w="1788" w:type="dxa"/>
                  <w:tcBorders>
                    <w:tl2br w:val="nil"/>
                    <w:tr2bl w:val="nil"/>
                  </w:tcBorders>
                  <w:vAlign w:val="center"/>
                </w:tcPr>
                <w:p w14:paraId="2A9422C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主要污染物</w:t>
                  </w:r>
                </w:p>
              </w:tc>
              <w:tc>
                <w:tcPr>
                  <w:tcW w:w="4059" w:type="dxa"/>
                  <w:tcBorders>
                    <w:tl2br w:val="nil"/>
                    <w:tr2bl w:val="nil"/>
                  </w:tcBorders>
                  <w:vAlign w:val="center"/>
                </w:tcPr>
                <w:p w14:paraId="6A48BA9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排放情况</w:t>
                  </w:r>
                </w:p>
              </w:tc>
            </w:tr>
            <w:tr w14:paraId="0F6375F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restart"/>
                  <w:tcBorders>
                    <w:tl2br w:val="nil"/>
                    <w:tr2bl w:val="nil"/>
                  </w:tcBorders>
                  <w:vAlign w:val="center"/>
                </w:tcPr>
                <w:p w14:paraId="3F18D410">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废气</w:t>
                  </w:r>
                </w:p>
              </w:tc>
              <w:tc>
                <w:tcPr>
                  <w:tcW w:w="1633" w:type="dxa"/>
                  <w:tcBorders>
                    <w:tl2br w:val="nil"/>
                    <w:tr2bl w:val="nil"/>
                  </w:tcBorders>
                  <w:vAlign w:val="center"/>
                </w:tcPr>
                <w:p w14:paraId="5C6553CB">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吹塑</w:t>
                  </w:r>
                </w:p>
              </w:tc>
              <w:tc>
                <w:tcPr>
                  <w:tcW w:w="1788" w:type="dxa"/>
                  <w:tcBorders>
                    <w:tl2br w:val="nil"/>
                    <w:tr2bl w:val="nil"/>
                  </w:tcBorders>
                  <w:vAlign w:val="center"/>
                </w:tcPr>
                <w:p w14:paraId="3E3EC20E">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非甲烷总烃</w:t>
                  </w:r>
                </w:p>
              </w:tc>
              <w:tc>
                <w:tcPr>
                  <w:tcW w:w="4059" w:type="dxa"/>
                  <w:tcBorders>
                    <w:tl2br w:val="nil"/>
                    <w:tr2bl w:val="nil"/>
                  </w:tcBorders>
                  <w:vAlign w:val="center"/>
                </w:tcPr>
                <w:p w14:paraId="7045CB9E">
                  <w:pPr>
                    <w:widowControl w:val="0"/>
                    <w:wordWrap/>
                    <w:adjustRightInd/>
                    <w:snapToGrid/>
                    <w:spacing w:beforeAutospacing="0" w:afterAutospacing="0" w:line="360" w:lineRule="exact"/>
                    <w:ind w:left="0" w:leftChars="0" w:right="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吹塑车间二次密闭，集气罩收集后进入二级活性炭装置处理后经15m排气筒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排放</w:t>
                  </w:r>
                </w:p>
              </w:tc>
            </w:tr>
            <w:tr w14:paraId="1FB7743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36B6952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4077C96C">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化妆</w:t>
                  </w:r>
                </w:p>
              </w:tc>
              <w:tc>
                <w:tcPr>
                  <w:tcW w:w="1788" w:type="dxa"/>
                  <w:tcBorders>
                    <w:tl2br w:val="nil"/>
                    <w:tr2bl w:val="nil"/>
                  </w:tcBorders>
                  <w:vAlign w:val="center"/>
                </w:tcPr>
                <w:p w14:paraId="0DF53172">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非甲烷总烃</w:t>
                  </w:r>
                </w:p>
              </w:tc>
              <w:tc>
                <w:tcPr>
                  <w:tcW w:w="4059" w:type="dxa"/>
                  <w:tcBorders>
                    <w:tl2br w:val="nil"/>
                    <w:tr2bl w:val="nil"/>
                  </w:tcBorders>
                  <w:vAlign w:val="center"/>
                </w:tcPr>
                <w:p w14:paraId="13C8BFCA">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产生量少，化妆间二次密闭，无组织排放</w:t>
                  </w:r>
                </w:p>
              </w:tc>
            </w:tr>
            <w:tr w14:paraId="0F946B8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467" w:hRule="atLeast"/>
                <w:jc w:val="center"/>
              </w:trPr>
              <w:tc>
                <w:tcPr>
                  <w:tcW w:w="646" w:type="dxa"/>
                  <w:vMerge w:val="continue"/>
                  <w:tcBorders>
                    <w:tl2br w:val="nil"/>
                    <w:tr2bl w:val="nil"/>
                  </w:tcBorders>
                  <w:vAlign w:val="center"/>
                </w:tcPr>
                <w:p w14:paraId="5E9210B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3247A420">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危废暂存间</w:t>
                  </w:r>
                </w:p>
              </w:tc>
              <w:tc>
                <w:tcPr>
                  <w:tcW w:w="1788" w:type="dxa"/>
                  <w:tcBorders>
                    <w:tl2br w:val="nil"/>
                    <w:tr2bl w:val="nil"/>
                  </w:tcBorders>
                  <w:vAlign w:val="center"/>
                </w:tcPr>
                <w:p w14:paraId="71A02444">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有机废气</w:t>
                  </w:r>
                </w:p>
              </w:tc>
              <w:tc>
                <w:tcPr>
                  <w:tcW w:w="4059" w:type="dxa"/>
                  <w:tcBorders>
                    <w:tl2br w:val="nil"/>
                    <w:tr2bl w:val="nil"/>
                  </w:tcBorders>
                  <w:vAlign w:val="center"/>
                </w:tcPr>
                <w:p w14:paraId="1B9709F3">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负压收集后与吹塑一起进入二级活性炭装置处理后经15m排气筒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排放</w:t>
                  </w:r>
                </w:p>
              </w:tc>
            </w:tr>
            <w:tr w14:paraId="4DB0F91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00" w:hRule="atLeast"/>
                <w:jc w:val="center"/>
              </w:trPr>
              <w:tc>
                <w:tcPr>
                  <w:tcW w:w="646" w:type="dxa"/>
                  <w:vMerge w:val="continue"/>
                  <w:tcBorders>
                    <w:tl2br w:val="nil"/>
                    <w:tr2bl w:val="nil"/>
                  </w:tcBorders>
                  <w:vAlign w:val="center"/>
                </w:tcPr>
                <w:p w14:paraId="156F9147">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765B2ABE">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粉碎</w:t>
                  </w:r>
                </w:p>
              </w:tc>
              <w:tc>
                <w:tcPr>
                  <w:tcW w:w="1788" w:type="dxa"/>
                  <w:tcBorders>
                    <w:tl2br w:val="nil"/>
                    <w:tr2bl w:val="nil"/>
                  </w:tcBorders>
                  <w:vAlign w:val="center"/>
                </w:tcPr>
                <w:p w14:paraId="37CE90C2">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粉尘</w:t>
                  </w:r>
                </w:p>
              </w:tc>
              <w:tc>
                <w:tcPr>
                  <w:tcW w:w="4059" w:type="dxa"/>
                  <w:tcBorders>
                    <w:tl2br w:val="nil"/>
                    <w:tr2bl w:val="nil"/>
                  </w:tcBorders>
                  <w:vAlign w:val="center"/>
                </w:tcPr>
                <w:p w14:paraId="2F7E6182">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粉碎车间二次密闭</w:t>
                  </w:r>
                </w:p>
              </w:tc>
            </w:tr>
            <w:tr w14:paraId="54E1DF4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060" w:hRule="atLeast"/>
                <w:jc w:val="center"/>
              </w:trPr>
              <w:tc>
                <w:tcPr>
                  <w:tcW w:w="646" w:type="dxa"/>
                  <w:vMerge w:val="restart"/>
                  <w:tcBorders>
                    <w:tl2br w:val="nil"/>
                    <w:tr2bl w:val="nil"/>
                  </w:tcBorders>
                  <w:vAlign w:val="center"/>
                </w:tcPr>
                <w:p w14:paraId="642C0720">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废水</w:t>
                  </w:r>
                </w:p>
              </w:tc>
              <w:tc>
                <w:tcPr>
                  <w:tcW w:w="1633" w:type="dxa"/>
                  <w:tcBorders>
                    <w:tl2br w:val="nil"/>
                    <w:tr2bl w:val="nil"/>
                  </w:tcBorders>
                  <w:vAlign w:val="center"/>
                </w:tcPr>
                <w:p w14:paraId="2420A1B7">
                  <w:pPr>
                    <w:widowControl w:val="0"/>
                    <w:wordWrap/>
                    <w:adjustRightInd w:val="0"/>
                    <w:snapToGrid w:val="0"/>
                    <w:spacing w:beforeAutospacing="0" w:afterAutospacing="0" w:line="360" w:lineRule="exact"/>
                    <w:ind w:left="0" w:leftChars="0" w:right="0" w:right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cs="Times New Roman"/>
                      <w:bCs/>
                      <w:color w:val="000000"/>
                      <w:sz w:val="21"/>
                      <w:szCs w:val="21"/>
                      <w:lang w:val="en-US" w:eastAsia="zh-CN"/>
                    </w:rPr>
                    <w:t>职工生活污水</w:t>
                  </w:r>
                </w:p>
              </w:tc>
              <w:tc>
                <w:tcPr>
                  <w:tcW w:w="1788" w:type="dxa"/>
                  <w:tcBorders>
                    <w:tl2br w:val="nil"/>
                    <w:tr2bl w:val="nil"/>
                  </w:tcBorders>
                  <w:vAlign w:val="center"/>
                </w:tcPr>
                <w:p w14:paraId="7D940E54">
                  <w:pPr>
                    <w:widowControl w:val="0"/>
                    <w:wordWrap/>
                    <w:adjustRightInd/>
                    <w:snapToGrid/>
                    <w:spacing w:beforeAutospacing="0" w:afterAutospacing="0" w:line="360" w:lineRule="exact"/>
                    <w:ind w:left="0" w:leftChars="0" w:right="0" w:firstLine="0" w:firstLineChars="0"/>
                    <w:jc w:val="both"/>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pH、</w:t>
                  </w:r>
                  <w:r>
                    <w:rPr>
                      <w:rFonts w:hint="eastAsia" w:ascii="Times New Roman" w:hAnsi="Times New Roman" w:eastAsia="宋体" w:cs="Times New Roman"/>
                      <w:sz w:val="21"/>
                      <w:szCs w:val="21"/>
                      <w:u w:val="none" w:color="auto"/>
                      <w:lang w:val="en-US" w:eastAsia="zh-CN"/>
                    </w:rPr>
                    <w:t>COD、NH</w:t>
                  </w:r>
                  <w:r>
                    <w:rPr>
                      <w:rFonts w:hint="eastAsia" w:ascii="Times New Roman" w:hAnsi="Times New Roman" w:eastAsia="宋体" w:cs="Times New Roman"/>
                      <w:sz w:val="21"/>
                      <w:szCs w:val="21"/>
                      <w:u w:val="none" w:color="auto"/>
                      <w:vertAlign w:val="subscript"/>
                      <w:lang w:val="en-US" w:eastAsia="zh-CN"/>
                    </w:rPr>
                    <w:t>3</w:t>
                  </w:r>
                  <w:r>
                    <w:rPr>
                      <w:rFonts w:hint="eastAsia" w:ascii="Times New Roman" w:hAnsi="Times New Roman" w:eastAsia="宋体" w:cs="Times New Roman"/>
                      <w:sz w:val="21"/>
                      <w:szCs w:val="21"/>
                      <w:u w:val="none" w:color="auto"/>
                      <w:lang w:val="en-US" w:eastAsia="zh-CN"/>
                    </w:rPr>
                    <w:t>-N、SS、BOD</w:t>
                  </w:r>
                  <w:r>
                    <w:rPr>
                      <w:rFonts w:hint="eastAsia" w:ascii="Times New Roman" w:hAnsi="Times New Roman" w:eastAsia="宋体" w:cs="Times New Roman"/>
                      <w:sz w:val="21"/>
                      <w:szCs w:val="21"/>
                      <w:u w:val="none" w:color="auto"/>
                      <w:vertAlign w:val="subscript"/>
                      <w:lang w:val="en-US" w:eastAsia="zh-CN"/>
                    </w:rPr>
                    <w:t>5</w:t>
                  </w:r>
                </w:p>
              </w:tc>
              <w:tc>
                <w:tcPr>
                  <w:tcW w:w="4059" w:type="dxa"/>
                  <w:tcBorders>
                    <w:tl2br w:val="nil"/>
                    <w:tr2bl w:val="nil"/>
                  </w:tcBorders>
                  <w:vAlign w:val="center"/>
                </w:tcPr>
                <w:p w14:paraId="337DF531">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化粪池处理后进入许昌市鸿瀚环境技术管理有限公司。</w:t>
                  </w:r>
                </w:p>
              </w:tc>
            </w:tr>
            <w:tr w14:paraId="165F2D7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05B45FC9">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7369ACF8">
                  <w:pPr>
                    <w:widowControl w:val="0"/>
                    <w:wordWrap/>
                    <w:adjustRightInd w:val="0"/>
                    <w:snapToGrid w:val="0"/>
                    <w:spacing w:beforeAutospacing="0" w:afterAutospacing="0" w:line="360" w:lineRule="exact"/>
                    <w:ind w:left="0" w:leftChars="0" w:right="0" w:rightChars="0"/>
                    <w:jc w:val="center"/>
                    <w:textAlignment w:val="auto"/>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冷却水废水</w:t>
                  </w:r>
                </w:p>
              </w:tc>
              <w:tc>
                <w:tcPr>
                  <w:tcW w:w="1788" w:type="dxa"/>
                  <w:tcBorders>
                    <w:tl2br w:val="nil"/>
                    <w:tr2bl w:val="nil"/>
                  </w:tcBorders>
                  <w:vAlign w:val="center"/>
                </w:tcPr>
                <w:p w14:paraId="7763D72C">
                  <w:pPr>
                    <w:widowControl w:val="0"/>
                    <w:wordWrap/>
                    <w:adjustRightInd/>
                    <w:snapToGrid/>
                    <w:spacing w:beforeAutospacing="0" w:afterAutospacing="0" w:line="360" w:lineRule="exact"/>
                    <w:ind w:left="0" w:leftChars="0" w:right="0" w:firstLine="0" w:firstLineChars="0"/>
                    <w:jc w:val="both"/>
                    <w:textAlignment w:val="auto"/>
                    <w:outlineLvl w:val="9"/>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pH、COD、SS</w:t>
                  </w:r>
                </w:p>
              </w:tc>
              <w:tc>
                <w:tcPr>
                  <w:tcW w:w="4059" w:type="dxa"/>
                  <w:tcBorders>
                    <w:tl2br w:val="nil"/>
                    <w:tr2bl w:val="nil"/>
                  </w:tcBorders>
                  <w:vAlign w:val="center"/>
                </w:tcPr>
                <w:p w14:paraId="2F945C5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经排污管道进入许昌市鸿瀚环境技术管理有限公司。</w:t>
                  </w:r>
                </w:p>
              </w:tc>
            </w:tr>
            <w:tr w14:paraId="67E21CD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tcBorders>
                    <w:tl2br w:val="nil"/>
                    <w:tr2bl w:val="nil"/>
                  </w:tcBorders>
                  <w:vAlign w:val="center"/>
                </w:tcPr>
                <w:p w14:paraId="30D1127C">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噪声</w:t>
                  </w:r>
                </w:p>
              </w:tc>
              <w:tc>
                <w:tcPr>
                  <w:tcW w:w="1633" w:type="dxa"/>
                  <w:tcBorders>
                    <w:tl2br w:val="nil"/>
                    <w:tr2bl w:val="nil"/>
                  </w:tcBorders>
                  <w:vAlign w:val="center"/>
                </w:tcPr>
                <w:p w14:paraId="6D53D39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w:t>
                  </w:r>
                </w:p>
              </w:tc>
              <w:tc>
                <w:tcPr>
                  <w:tcW w:w="1788" w:type="dxa"/>
                  <w:tcBorders>
                    <w:tl2br w:val="nil"/>
                    <w:tr2bl w:val="nil"/>
                  </w:tcBorders>
                  <w:vAlign w:val="center"/>
                </w:tcPr>
                <w:p w14:paraId="53C8D2F2">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设备运行</w:t>
                  </w:r>
                </w:p>
              </w:tc>
              <w:tc>
                <w:tcPr>
                  <w:tcW w:w="4059" w:type="dxa"/>
                  <w:tcBorders>
                    <w:tl2br w:val="nil"/>
                    <w:tr2bl w:val="nil"/>
                  </w:tcBorders>
                  <w:vAlign w:val="center"/>
                </w:tcPr>
                <w:p w14:paraId="51439125">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基础减震，厂房隔声</w:t>
                  </w:r>
                </w:p>
              </w:tc>
            </w:tr>
            <w:tr w14:paraId="35385D6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646" w:type="dxa"/>
                  <w:vMerge w:val="restart"/>
                  <w:tcBorders>
                    <w:tl2br w:val="nil"/>
                    <w:tr2bl w:val="nil"/>
                  </w:tcBorders>
                  <w:vAlign w:val="center"/>
                </w:tcPr>
                <w:p w14:paraId="3924EFAF">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固体</w:t>
                  </w:r>
                </w:p>
                <w:p w14:paraId="7416E3F6">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废物</w:t>
                  </w:r>
                </w:p>
              </w:tc>
              <w:tc>
                <w:tcPr>
                  <w:tcW w:w="1633" w:type="dxa"/>
                  <w:tcBorders>
                    <w:tl2br w:val="nil"/>
                    <w:tr2bl w:val="nil"/>
                  </w:tcBorders>
                  <w:vAlign w:val="center"/>
                </w:tcPr>
                <w:p w14:paraId="0C8E0245">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职工生活</w:t>
                  </w:r>
                </w:p>
              </w:tc>
              <w:tc>
                <w:tcPr>
                  <w:tcW w:w="1788" w:type="dxa"/>
                  <w:tcBorders>
                    <w:tl2br w:val="nil"/>
                    <w:tr2bl w:val="nil"/>
                  </w:tcBorders>
                  <w:vAlign w:val="center"/>
                </w:tcPr>
                <w:p w14:paraId="22DD06AD">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生活垃圾</w:t>
                  </w:r>
                </w:p>
              </w:tc>
              <w:tc>
                <w:tcPr>
                  <w:tcW w:w="4059" w:type="dxa"/>
                  <w:tcBorders>
                    <w:tl2br w:val="nil"/>
                    <w:tr2bl w:val="nil"/>
                  </w:tcBorders>
                  <w:vAlign w:val="center"/>
                </w:tcPr>
                <w:p w14:paraId="39A0DCDB">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宋体"/>
                      <w:sz w:val="21"/>
                      <w:szCs w:val="21"/>
                      <w:u w:val="none" w:color="auto"/>
                      <w:lang w:val="en-US" w:eastAsia="zh-CN"/>
                    </w:rPr>
                  </w:pPr>
                  <w:r>
                    <w:rPr>
                      <w:rFonts w:hint="eastAsia" w:ascii="Times New Roman" w:hAnsi="Times New Roman" w:eastAsia="宋体" w:cs="宋体"/>
                      <w:sz w:val="21"/>
                      <w:szCs w:val="21"/>
                      <w:u w:val="none" w:color="auto"/>
                      <w:lang w:val="en-US" w:eastAsia="zh-CN"/>
                    </w:rPr>
                    <w:t>收集后由环卫部门定期清运</w:t>
                  </w:r>
                </w:p>
              </w:tc>
            </w:tr>
            <w:tr w14:paraId="067B6AF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6F2B55DA">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5EBB6D0C">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废包装材料</w:t>
                  </w:r>
                </w:p>
              </w:tc>
              <w:tc>
                <w:tcPr>
                  <w:tcW w:w="1788" w:type="dxa"/>
                  <w:tcBorders>
                    <w:tl2br w:val="nil"/>
                    <w:tr2bl w:val="nil"/>
                  </w:tcBorders>
                  <w:vAlign w:val="center"/>
                </w:tcPr>
                <w:p w14:paraId="35FF986B">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混料</w:t>
                  </w:r>
                </w:p>
              </w:tc>
              <w:tc>
                <w:tcPr>
                  <w:tcW w:w="4059" w:type="dxa"/>
                  <w:vMerge w:val="restart"/>
                  <w:tcBorders>
                    <w:tl2br w:val="nil"/>
                    <w:tr2bl w:val="nil"/>
                  </w:tcBorders>
                  <w:vAlign w:val="center"/>
                </w:tcPr>
                <w:p w14:paraId="1A3739EC">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收集后外售综合利用</w:t>
                  </w:r>
                </w:p>
              </w:tc>
            </w:tr>
            <w:tr w14:paraId="3DF5D0A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646" w:type="dxa"/>
                  <w:vMerge w:val="continue"/>
                  <w:tcBorders>
                    <w:tl2br w:val="nil"/>
                    <w:tr2bl w:val="nil"/>
                  </w:tcBorders>
                  <w:vAlign w:val="center"/>
                </w:tcPr>
                <w:p w14:paraId="064BF5C3">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1729D537">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化妆</w:t>
                  </w:r>
                </w:p>
              </w:tc>
              <w:tc>
                <w:tcPr>
                  <w:tcW w:w="1788" w:type="dxa"/>
                  <w:tcBorders>
                    <w:tl2br w:val="nil"/>
                    <w:tr2bl w:val="nil"/>
                  </w:tcBorders>
                  <w:vAlign w:val="center"/>
                </w:tcPr>
                <w:p w14:paraId="527BDF52">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废化妆颜料瓶</w:t>
                  </w:r>
                </w:p>
              </w:tc>
              <w:tc>
                <w:tcPr>
                  <w:tcW w:w="4059" w:type="dxa"/>
                  <w:vMerge w:val="continue"/>
                  <w:tcBorders>
                    <w:tl2br w:val="nil"/>
                    <w:tr2bl w:val="nil"/>
                  </w:tcBorders>
                  <w:vAlign w:val="center"/>
                </w:tcPr>
                <w:p w14:paraId="6308E655">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cs="Times New Roman"/>
                      <w:sz w:val="21"/>
                      <w:szCs w:val="21"/>
                      <w:u w:val="none" w:color="auto"/>
                      <w:lang w:val="en-US" w:eastAsia="zh-CN"/>
                    </w:rPr>
                  </w:pPr>
                </w:p>
              </w:tc>
            </w:tr>
            <w:tr w14:paraId="6F83096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60" w:hRule="atLeast"/>
                <w:jc w:val="center"/>
              </w:trPr>
              <w:tc>
                <w:tcPr>
                  <w:tcW w:w="646" w:type="dxa"/>
                  <w:vMerge w:val="continue"/>
                  <w:tcBorders>
                    <w:tl2br w:val="nil"/>
                    <w:tr2bl w:val="nil"/>
                  </w:tcBorders>
                  <w:vAlign w:val="center"/>
                </w:tcPr>
                <w:p w14:paraId="182041AC">
                  <w:pPr>
                    <w:widowControl w:val="0"/>
                    <w:wordWrap/>
                    <w:adjustRightInd/>
                    <w:snapToGrid/>
                    <w:spacing w:beforeAutospacing="0" w:afterAutospacing="0" w:line="360" w:lineRule="exact"/>
                    <w:ind w:left="0" w:leftChars="0" w:right="0" w:firstLine="0" w:firstLineChars="0"/>
                    <w:jc w:val="center"/>
                    <w:textAlignment w:val="auto"/>
                    <w:outlineLvl w:val="9"/>
                    <w:rPr>
                      <w:rFonts w:hint="eastAsia" w:ascii="Times New Roman" w:hAnsi="Times New Roman" w:eastAsia="宋体" w:cs="Times New Roman"/>
                      <w:sz w:val="21"/>
                      <w:szCs w:val="21"/>
                      <w:u w:val="none" w:color="auto"/>
                      <w:lang w:val="en-US" w:eastAsia="zh-CN"/>
                    </w:rPr>
                  </w:pPr>
                </w:p>
              </w:tc>
              <w:tc>
                <w:tcPr>
                  <w:tcW w:w="1633" w:type="dxa"/>
                  <w:tcBorders>
                    <w:tl2br w:val="nil"/>
                    <w:tr2bl w:val="nil"/>
                  </w:tcBorders>
                  <w:vAlign w:val="center"/>
                </w:tcPr>
                <w:p w14:paraId="06A7BA3E">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废气处理</w:t>
                  </w:r>
                </w:p>
              </w:tc>
              <w:tc>
                <w:tcPr>
                  <w:tcW w:w="1788" w:type="dxa"/>
                  <w:tcBorders>
                    <w:tl2br w:val="nil"/>
                    <w:tr2bl w:val="nil"/>
                  </w:tcBorders>
                  <w:vAlign w:val="center"/>
                </w:tcPr>
                <w:p w14:paraId="7491A030">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废活性炭</w:t>
                  </w:r>
                </w:p>
              </w:tc>
              <w:tc>
                <w:tcPr>
                  <w:tcW w:w="4059" w:type="dxa"/>
                  <w:tcBorders>
                    <w:tl2br w:val="nil"/>
                    <w:tr2bl w:val="nil"/>
                  </w:tcBorders>
                  <w:vAlign w:val="center"/>
                </w:tcPr>
                <w:p w14:paraId="6768E947">
                  <w:pPr>
                    <w:widowControl w:val="0"/>
                    <w:wordWrap/>
                    <w:adjustRightInd/>
                    <w:snapToGrid/>
                    <w:spacing w:beforeAutospacing="0" w:afterAutospacing="0" w:line="360" w:lineRule="exact"/>
                    <w:ind w:left="0" w:leftChars="0" w:right="0" w:firstLine="0" w:firstLineChars="0"/>
                    <w:jc w:val="center"/>
                    <w:textAlignment w:val="auto"/>
                    <w:outlineLvl w:val="9"/>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危废间暂存后定期交有资质单位处理</w:t>
                  </w:r>
                </w:p>
              </w:tc>
            </w:tr>
          </w:tbl>
          <w:p w14:paraId="07A5F000">
            <w:pPr>
              <w:widowControl w:val="0"/>
              <w:wordWrap/>
              <w:adjustRightInd/>
              <w:snapToGrid/>
              <w:spacing w:beforeAutospacing="0" w:afterAutospacing="0" w:line="360" w:lineRule="auto"/>
              <w:ind w:left="0" w:leftChars="0" w:right="0" w:firstLine="480" w:firstLineChars="200"/>
              <w:jc w:val="both"/>
              <w:textAlignment w:val="auto"/>
              <w:outlineLvl w:val="9"/>
              <w:rPr>
                <w:rFonts w:hint="default" w:ascii="Times New Roman" w:hAnsi="Times New Roman" w:eastAsia="宋体" w:cs="Times New Roman"/>
                <w:sz w:val="24"/>
                <w:szCs w:val="24"/>
                <w:u w:val="none" w:color="auto"/>
                <w:lang w:val="en-US" w:eastAsia="zh-CN"/>
              </w:rPr>
            </w:pPr>
          </w:p>
        </w:tc>
      </w:tr>
      <w:tr w14:paraId="4083B6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159" w:hRule="atLeast"/>
        </w:trPr>
        <w:tc>
          <w:tcPr>
            <w:tcW w:w="734" w:type="dxa"/>
            <w:tcBorders>
              <w:top w:val="single" w:color="auto" w:sz="4" w:space="0"/>
              <w:right w:val="single" w:color="000000" w:sz="4" w:space="0"/>
            </w:tcBorders>
            <w:vAlign w:val="center"/>
          </w:tcPr>
          <w:p w14:paraId="249BEAB1">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与项目有关的原有环境污染问题</w:t>
            </w:r>
          </w:p>
        </w:tc>
        <w:tc>
          <w:tcPr>
            <w:tcW w:w="8148" w:type="dxa"/>
            <w:tcBorders>
              <w:top w:val="single" w:color="auto" w:sz="4" w:space="0"/>
              <w:left w:val="single" w:color="000000" w:sz="4" w:space="0"/>
            </w:tcBorders>
            <w:vAlign w:val="center"/>
          </w:tcPr>
          <w:p w14:paraId="4174DFF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520" w:lineRule="exact"/>
              <w:ind w:left="0" w:leftChars="0" w:right="0" w:rightChars="0" w:firstLine="482" w:firstLineChars="200"/>
              <w:jc w:val="both"/>
              <w:textAlignment w:val="auto"/>
              <w:outlineLvl w:val="9"/>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一、迁建前工程情况</w:t>
            </w:r>
          </w:p>
          <w:p w14:paraId="1038BDC7">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u w:val="none"/>
                <w:lang w:val="en-US" w:eastAsia="zh-CN"/>
                <w14:textFill>
                  <w14:solidFill>
                    <w14:schemeClr w14:val="tx1"/>
                  </w14:solidFill>
                </w14:textFill>
              </w:rPr>
              <w:t>《许昌益瑞斯工艺品有限公司年产10000件模特头项目》</w:t>
            </w:r>
            <w:r>
              <w:rPr>
                <w:rFonts w:hint="eastAsia" w:ascii="Times New Roman" w:hAnsi="Times New Roman" w:cs="Times New Roman"/>
                <w:bCs/>
                <w:color w:val="000000" w:themeColor="text1"/>
                <w:sz w:val="24"/>
                <w:szCs w:val="24"/>
                <w:u w:val="none" w:color="auto"/>
                <w:lang w:val="en-US" w:eastAsia="zh-CN" w:bidi="zh-CN"/>
                <w14:textFill>
                  <w14:solidFill>
                    <w14:schemeClr w14:val="tx1"/>
                  </w14:solidFill>
                </w14:textFill>
              </w:rPr>
              <w:t>原位于</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许昌市魏都</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区北环北侧，年产10000件模特头，2016年进行《许昌益瑞斯工艺品有限公司年产10000件模特头项目现状环境影响评估》，相当于环境影响评价和环保验收。并在许昌市人民政府网公示（魏都区环保备案公示第三批）。排污许可</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首次</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登记时间为2020</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年</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3</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月</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13</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日</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，登记编号为91411002MA3XAWDH62001Z</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目前已停产并拆除设备。</w:t>
            </w:r>
          </w:p>
          <w:p w14:paraId="4182AE9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520" w:lineRule="exact"/>
              <w:ind w:left="0" w:leftChars="0" w:right="0" w:rightChars="0" w:firstLine="482" w:firstLineChars="200"/>
              <w:jc w:val="both"/>
              <w:textAlignment w:val="auto"/>
              <w:outlineLvl w:val="9"/>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二</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迁建前</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工程污染达标排放情况</w:t>
            </w:r>
          </w:p>
          <w:p w14:paraId="5CEACFDB">
            <w:pPr>
              <w:keepNext w:val="0"/>
              <w:keepLines w:val="0"/>
              <w:pageBreakBefore w:val="0"/>
              <w:widowControl w:val="0"/>
              <w:numPr>
                <w:ilvl w:val="0"/>
                <w:numId w:val="34"/>
              </w:numPr>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lang w:val="en-US"/>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14:textFill>
                  <w14:solidFill>
                    <w14:schemeClr w14:val="tx1"/>
                  </w14:solidFill>
                </w14:textFill>
              </w:rPr>
              <w:t>废气达标分析</w:t>
            </w:r>
          </w:p>
          <w:p w14:paraId="2E07C2CC">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14:textFill>
                  <w14:solidFill>
                    <w14:schemeClr w14:val="tx1"/>
                  </w14:solidFill>
                </w14:textFill>
              </w:rPr>
              <w:t>本项目</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吹塑废气车间UV光氧+活性炭装置处理后有组织排放，2023年7月4日监测数据显示非甲烷总烃平均排放浓度为8.77mg/m</w:t>
            </w:r>
            <w:r>
              <w:rPr>
                <w:rFonts w:hint="eastAsia" w:ascii="Times New Roman" w:hAnsi="Times New Roman" w:eastAsia="宋体" w:cs="Times New Roman"/>
                <w:bCs/>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，平均排放速率为4.22</w:t>
            </w:r>
            <w:r>
              <w:rPr>
                <w:rFonts w:hint="default" w:ascii="Times New Roman" w:hAnsi="Times New Roman" w:eastAsia="宋体" w:cs="Times New Roman"/>
                <w:bCs/>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10</w:t>
            </w:r>
            <w:r>
              <w:rPr>
                <w:rFonts w:hint="eastAsia" w:ascii="Times New Roman" w:hAnsi="Times New Roman" w:eastAsia="宋体" w:cs="Times New Roman"/>
                <w:bCs/>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kg/h，无组织非甲烷总烃最大排放浓度为1.03mg/m</w:t>
            </w:r>
            <w:r>
              <w:rPr>
                <w:rFonts w:hint="eastAsia" w:ascii="Times New Roman" w:hAnsi="Times New Roman" w:eastAsia="宋体" w:cs="Times New Roman"/>
                <w:bCs/>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vertAlign w:val="baseli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满足《合成树脂工业污染物排放标准》（GB31572-2015）表5和表9排放要求。项目年生产2400h，经计算非甲烷总烃有组织排放量为0.0101t/a。项目废气经集气罩收集，收集效率按照80%计算，处理效率约为50%，经计算，非甲烷总烃无组织排放量为0.0051t/a。因此，迁建前非甲烷总烃排放量为0.0152t/a。</w:t>
            </w:r>
          </w:p>
          <w:p w14:paraId="7BD4102F">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2023年7月4日监测数据显示颗粒物无组织最大排放浓度值为0.326mg/m</w:t>
            </w:r>
            <w:r>
              <w:rPr>
                <w:rFonts w:hint="eastAsia" w:ascii="Times New Roman" w:hAnsi="Times New Roman" w:eastAsia="宋体" w:cs="Times New Roman"/>
                <w:bCs/>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，满足</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《大气污染物综合排放标准》（GB16297-1996）</w:t>
            </w:r>
            <w:r>
              <w:rPr>
                <w:rFonts w:hint="default" w:ascii="Times New Roman" w:hAnsi="Times New Roman" w:eastAsia="宋体" w:cs="Times New Roman"/>
                <w:bCs/>
                <w:color w:val="000000" w:themeColor="text1"/>
                <w:sz w:val="24"/>
                <w:szCs w:val="24"/>
                <w:u w:val="none"/>
                <w:lang w:val="en-US" w:eastAsia="zh-CN"/>
                <w14:textFill>
                  <w14:solidFill>
                    <w14:schemeClr w14:val="tx1"/>
                  </w14:solidFill>
                </w14:textFill>
              </w:rPr>
              <w:t>厂界无组织浓度限值</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u w:val="none"/>
                <w:lang w:val="en-US" w:eastAsia="zh-CN"/>
                <w14:textFill>
                  <w14:solidFill>
                    <w14:schemeClr w14:val="tx1"/>
                  </w14:solidFill>
                </w14:textFill>
              </w:rPr>
              <w:t>mg/m</w:t>
            </w:r>
            <w:r>
              <w:rPr>
                <w:rFonts w:hint="eastAsia" w:ascii="Times New Roman" w:hAnsi="Times New Roman" w:eastAsia="宋体" w:cs="Times New Roman"/>
                <w:bCs/>
                <w:color w:val="000000" w:themeColor="text1"/>
                <w:sz w:val="24"/>
                <w:szCs w:val="24"/>
                <w:u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的要求。</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参考《排放源统计调查产排污核算方法和系数手册》“4220 非金属废料和碎屑加工处理行业系数表”中PP塑料干法破碎颗粒物</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产生量为</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克/吨-原料。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颗粒物产生量为3.75</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-5</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p>
          <w:p w14:paraId="1DF49C47">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现有项目现状环境影响评估中废气未经处理无组织排放，因此未给出许可排放量，</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参照《排放源统计调查产排污核算方法和系数手册》</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核算为非甲烷总烃0.027t/a。按照</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收集效率按照80%计算，处理效率约为50%，有组织排放量为0.0108t/a，无组织排放量为0.0054t/a，与实际生产监测数据相差较小，因此现有项目非甲烷总烃总量以0.027t/a计。</w:t>
            </w:r>
          </w:p>
          <w:p w14:paraId="03DD8214">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（2）噪声达标分析结论</w:t>
            </w:r>
          </w:p>
          <w:p w14:paraId="6D60DDBC">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厂区采取基础减震，厂房隔声措施降低噪声。2023年7月4日监测数据厂界昼间噪声最大值为54dB（A），夜间噪声最大值为43dB（A）</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满足《工业企业厂界环境噪声排放标准》（GB12348-2008）中2类标准要求。</w:t>
            </w:r>
          </w:p>
          <w:p w14:paraId="5ADDFAF8">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）废水达标分析结论</w:t>
            </w:r>
          </w:p>
          <w:p w14:paraId="7CC04596">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生活污水经化粪池处理</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定期清掏肥田</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冷却水废水厂区洒水抑尘。</w:t>
            </w:r>
          </w:p>
          <w:p w14:paraId="5297F3BC">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（4）固废废物</w:t>
            </w:r>
          </w:p>
          <w:p w14:paraId="6B6C73EB">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厂区固体废物主要为生活垃圾、废包装、废UV灯管和废活性炭。生活垃圾、废UV灯管环卫部门定期清运。废包装外售综合利用。废活性炭危废间暂存后交河南远科宏大环保科技有限公司处置。</w:t>
            </w:r>
          </w:p>
          <w:p w14:paraId="3BCEF0B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520" w:lineRule="exact"/>
              <w:ind w:left="0" w:leftChars="0" w:right="0" w:rightChars="0" w:firstLine="482" w:firstLineChars="200"/>
              <w:jc w:val="both"/>
              <w:textAlignment w:val="auto"/>
              <w:outlineLvl w:val="9"/>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三</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迁建前</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污染物实际排放量汇总</w:t>
            </w:r>
          </w:p>
          <w:p w14:paraId="388CBB03">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default" w:ascii="Times New Roman" w:hAnsi="Times New Roman" w:cs="Times New Roman"/>
                <w:bCs/>
                <w:color w:val="000000" w:themeColor="text1"/>
                <w:sz w:val="24"/>
                <w:szCs w:val="24"/>
                <w:u w:val="none"/>
                <w:lang w:val="en-US"/>
                <w14:textFill>
                  <w14:solidFill>
                    <w14:schemeClr w14:val="tx1"/>
                  </w14:solidFill>
                </w14:textFill>
              </w:rPr>
            </w:pP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迁建前</w:t>
            </w:r>
            <w:r>
              <w:rPr>
                <w:rFonts w:hint="eastAsia" w:ascii="Times New Roman" w:hAnsi="Times New Roman" w:cs="Times New Roman"/>
                <w:bCs/>
                <w:color w:val="000000" w:themeColor="text1"/>
                <w:sz w:val="24"/>
                <w:szCs w:val="24"/>
                <w:u w:val="none"/>
                <w:lang w:val="en-US"/>
                <w14:textFill>
                  <w14:solidFill>
                    <w14:schemeClr w14:val="tx1"/>
                  </w14:solidFill>
                </w14:textFill>
              </w:rPr>
              <w:t>工程污染物实际排放量见下表。</w:t>
            </w:r>
          </w:p>
          <w:p w14:paraId="7359CA30">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Autospacing="0" w:line="520" w:lineRule="exact"/>
              <w:ind w:left="0" w:leftChars="0" w:right="0" w:rightChars="0"/>
              <w:jc w:val="center"/>
              <w:textAlignment w:val="auto"/>
              <w:outlineLvl w:val="9"/>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表2-7  现有工程污染物实际排放量一览表</w:t>
            </w:r>
          </w:p>
          <w:tbl>
            <w:tblPr>
              <w:tblStyle w:val="24"/>
              <w:tblW w:w="8133"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782"/>
              <w:gridCol w:w="5227"/>
            </w:tblGrid>
            <w:tr w14:paraId="67EB522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1" w:type="pct"/>
                  <w:tcBorders>
                    <w:top w:val="single" w:color="auto" w:sz="4" w:space="0"/>
                    <w:left w:val="single" w:color="auto" w:sz="0" w:space="0"/>
                    <w:tl2br w:val="nil"/>
                    <w:tr2bl w:val="nil"/>
                  </w:tcBorders>
                  <w:vAlign w:val="center"/>
                </w:tcPr>
                <w:p w14:paraId="3B7AB29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b/>
                      <w:bCs/>
                      <w:color w:val="000000" w:themeColor="text1"/>
                      <w:sz w:val="21"/>
                      <w:szCs w:val="21"/>
                      <w:u w:val="none"/>
                      <w:lang w:val="en-US" w:bidi="ar"/>
                      <w14:textFill>
                        <w14:solidFill>
                          <w14:schemeClr w14:val="tx1"/>
                        </w14:solidFill>
                      </w14:textFill>
                    </w:rPr>
                    <w:t>类型</w:t>
                  </w:r>
                </w:p>
              </w:tc>
              <w:tc>
                <w:tcPr>
                  <w:tcW w:w="1095" w:type="pct"/>
                  <w:tcBorders>
                    <w:top w:val="single" w:color="auto" w:sz="4" w:space="0"/>
                    <w:tl2br w:val="nil"/>
                    <w:tr2bl w:val="nil"/>
                  </w:tcBorders>
                  <w:vAlign w:val="center"/>
                </w:tcPr>
                <w:p w14:paraId="1FD1A40A">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b/>
                      <w:bCs/>
                      <w:color w:val="000000" w:themeColor="text1"/>
                      <w:sz w:val="21"/>
                      <w:szCs w:val="21"/>
                      <w:u w:val="none"/>
                      <w:lang w:val="en-US" w:bidi="ar"/>
                      <w14:textFill>
                        <w14:solidFill>
                          <w14:schemeClr w14:val="tx1"/>
                        </w14:solidFill>
                      </w14:textFill>
                    </w:rPr>
                    <w:t>污染物名称</w:t>
                  </w:r>
                </w:p>
              </w:tc>
              <w:tc>
                <w:tcPr>
                  <w:tcW w:w="3213" w:type="pct"/>
                  <w:tcBorders>
                    <w:top w:val="single" w:color="auto" w:sz="4" w:space="0"/>
                    <w:right w:val="single" w:color="auto" w:sz="4" w:space="0"/>
                    <w:tl2br w:val="nil"/>
                    <w:tr2bl w:val="nil"/>
                  </w:tcBorders>
                  <w:vAlign w:val="center"/>
                </w:tcPr>
                <w:p w14:paraId="2C203FB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u w:val="none"/>
                      <w:lang w:val="en-US"/>
                      <w14:textFill>
                        <w14:solidFill>
                          <w14:schemeClr w14:val="tx1"/>
                        </w14:solidFill>
                      </w14:textFill>
                    </w:rPr>
                  </w:pPr>
                  <w:r>
                    <w:rPr>
                      <w:rFonts w:hint="eastAsia"/>
                      <w:b/>
                      <w:bCs/>
                      <w:color w:val="000000" w:themeColor="text1"/>
                      <w:sz w:val="21"/>
                      <w:szCs w:val="21"/>
                      <w:u w:val="none"/>
                      <w:lang w:val="en-US" w:bidi="ar"/>
                      <w14:textFill>
                        <w14:solidFill>
                          <w14:schemeClr w14:val="tx1"/>
                        </w14:solidFill>
                      </w14:textFill>
                    </w:rPr>
                    <w:t>现有工程实际排放量</w:t>
                  </w:r>
                  <w:r>
                    <w:rPr>
                      <w:rFonts w:hint="eastAsia" w:ascii="Times New Roman" w:hAnsi="Times New Roman" w:cs="Times New Roman"/>
                      <w:b/>
                      <w:bCs/>
                      <w:color w:val="000000" w:themeColor="text1"/>
                      <w:sz w:val="21"/>
                      <w:szCs w:val="21"/>
                      <w:u w:val="none"/>
                      <w:lang w:val="en-US" w:bidi="ar"/>
                      <w14:textFill>
                        <w14:solidFill>
                          <w14:schemeClr w14:val="tx1"/>
                        </w14:solidFill>
                      </w14:textFill>
                    </w:rPr>
                    <w:t>（</w:t>
                  </w:r>
                  <w:r>
                    <w:rPr>
                      <w:rFonts w:hint="default" w:ascii="Times New Roman" w:hAnsi="Times New Roman" w:cs="Times New Roman"/>
                      <w:b/>
                      <w:bCs/>
                      <w:color w:val="000000" w:themeColor="text1"/>
                      <w:sz w:val="21"/>
                      <w:szCs w:val="21"/>
                      <w:u w:val="none"/>
                      <w:lang w:val="en-US" w:bidi="ar"/>
                      <w14:textFill>
                        <w14:solidFill>
                          <w14:schemeClr w14:val="tx1"/>
                        </w14:solidFill>
                      </w14:textFill>
                    </w:rPr>
                    <w:t>t/a</w:t>
                  </w:r>
                  <w:r>
                    <w:rPr>
                      <w:rFonts w:hint="eastAsia" w:ascii="Times New Roman" w:hAnsi="Times New Roman" w:cs="Times New Roman"/>
                      <w:b/>
                      <w:bCs/>
                      <w:color w:val="000000" w:themeColor="text1"/>
                      <w:sz w:val="21"/>
                      <w:szCs w:val="21"/>
                      <w:u w:val="none"/>
                      <w:lang w:val="en-US" w:bidi="ar"/>
                      <w14:textFill>
                        <w14:solidFill>
                          <w14:schemeClr w14:val="tx1"/>
                        </w14:solidFill>
                      </w14:textFill>
                    </w:rPr>
                    <w:t>）</w:t>
                  </w:r>
                </w:p>
              </w:tc>
            </w:tr>
            <w:tr w14:paraId="5585AB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restart"/>
                  <w:tcBorders>
                    <w:left w:val="single" w:color="auto" w:sz="4" w:space="0"/>
                    <w:tl2br w:val="nil"/>
                    <w:tr2bl w:val="nil"/>
                  </w:tcBorders>
                  <w:vAlign w:val="center"/>
                </w:tcPr>
                <w:p w14:paraId="0D7530B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废气</w:t>
                  </w:r>
                </w:p>
              </w:tc>
              <w:tc>
                <w:tcPr>
                  <w:tcW w:w="1095" w:type="pct"/>
                  <w:tcBorders>
                    <w:tl2br w:val="nil"/>
                    <w:tr2bl w:val="nil"/>
                  </w:tcBorders>
                  <w:vAlign w:val="center"/>
                </w:tcPr>
                <w:p w14:paraId="5011FA8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非甲烷总烃</w:t>
                  </w:r>
                </w:p>
              </w:tc>
              <w:tc>
                <w:tcPr>
                  <w:tcW w:w="3213" w:type="pct"/>
                  <w:tcBorders>
                    <w:right w:val="single" w:color="auto" w:sz="4" w:space="0"/>
                    <w:tl2br w:val="nil"/>
                    <w:tr2bl w:val="nil"/>
                  </w:tcBorders>
                  <w:vAlign w:val="center"/>
                </w:tcPr>
                <w:p w14:paraId="66F7DBF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0.0152</w:t>
                  </w:r>
                </w:p>
              </w:tc>
            </w:tr>
            <w:tr w14:paraId="27FD50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continue"/>
                  <w:tcBorders>
                    <w:left w:val="single" w:color="auto" w:sz="4" w:space="0"/>
                    <w:tl2br w:val="nil"/>
                    <w:tr2bl w:val="nil"/>
                  </w:tcBorders>
                  <w:vAlign w:val="center"/>
                </w:tcPr>
                <w:p w14:paraId="7203EC0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p>
              </w:tc>
              <w:tc>
                <w:tcPr>
                  <w:tcW w:w="1095" w:type="pct"/>
                  <w:tcBorders>
                    <w:tl2br w:val="nil"/>
                    <w:tr2bl w:val="nil"/>
                  </w:tcBorders>
                  <w:vAlign w:val="center"/>
                </w:tcPr>
                <w:p w14:paraId="3C8CA77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颗粒物</w:t>
                  </w:r>
                </w:p>
              </w:tc>
              <w:tc>
                <w:tcPr>
                  <w:tcW w:w="3213" w:type="pct"/>
                  <w:tcBorders>
                    <w:right w:val="single" w:color="auto" w:sz="4" w:space="0"/>
                    <w:tl2br w:val="nil"/>
                    <w:tr2bl w:val="nil"/>
                  </w:tcBorders>
                  <w:vAlign w:val="center"/>
                </w:tcPr>
                <w:p w14:paraId="6233E57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-5</w:t>
                  </w:r>
                </w:p>
              </w:tc>
            </w:tr>
            <w:tr w14:paraId="0AB5BD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restart"/>
                  <w:tcBorders>
                    <w:left w:val="single" w:color="auto" w:sz="4" w:space="0"/>
                    <w:tl2br w:val="nil"/>
                    <w:tr2bl w:val="nil"/>
                  </w:tcBorders>
                  <w:vAlign w:val="center"/>
                </w:tcPr>
                <w:p w14:paraId="158170D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废水</w:t>
                  </w:r>
                </w:p>
              </w:tc>
              <w:tc>
                <w:tcPr>
                  <w:tcW w:w="1095" w:type="pct"/>
                  <w:tcBorders>
                    <w:tl2br w:val="nil"/>
                    <w:tr2bl w:val="nil"/>
                  </w:tcBorders>
                  <w:vAlign w:val="center"/>
                </w:tcPr>
                <w:p w14:paraId="35A2946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COD</w:t>
                  </w:r>
                </w:p>
              </w:tc>
              <w:tc>
                <w:tcPr>
                  <w:tcW w:w="3213" w:type="pct"/>
                  <w:tcBorders>
                    <w:right w:val="single" w:color="auto" w:sz="4" w:space="0"/>
                    <w:tl2br w:val="nil"/>
                    <w:tr2bl w:val="nil"/>
                  </w:tcBorders>
                  <w:vAlign w:val="center"/>
                </w:tcPr>
                <w:p w14:paraId="3E9A767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w:t>
                  </w:r>
                </w:p>
              </w:tc>
            </w:tr>
            <w:tr w14:paraId="6A853CF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continue"/>
                  <w:tcBorders>
                    <w:left w:val="single" w:color="auto" w:sz="4" w:space="0"/>
                    <w:tl2br w:val="nil"/>
                    <w:tr2bl w:val="nil"/>
                  </w:tcBorders>
                  <w:vAlign w:val="center"/>
                </w:tcPr>
                <w:p w14:paraId="75C724A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宋体"/>
                      <w:color w:val="000000" w:themeColor="text1"/>
                      <w:sz w:val="21"/>
                      <w:szCs w:val="21"/>
                      <w:lang w:val="en-US" w:eastAsia="zh-CN"/>
                      <w14:textFill>
                        <w14:solidFill>
                          <w14:schemeClr w14:val="tx1"/>
                        </w14:solidFill>
                      </w14:textFill>
                    </w:rPr>
                  </w:pPr>
                </w:p>
              </w:tc>
              <w:tc>
                <w:tcPr>
                  <w:tcW w:w="1095" w:type="pct"/>
                  <w:tcBorders>
                    <w:tl2br w:val="nil"/>
                    <w:tr2bl w:val="nil"/>
                  </w:tcBorders>
                  <w:vAlign w:val="center"/>
                </w:tcPr>
                <w:p w14:paraId="3C942D7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氨氮</w:t>
                  </w:r>
                </w:p>
              </w:tc>
              <w:tc>
                <w:tcPr>
                  <w:tcW w:w="3213" w:type="pct"/>
                  <w:tcBorders>
                    <w:right w:val="single" w:color="auto" w:sz="4" w:space="0"/>
                    <w:tl2br w:val="nil"/>
                    <w:tr2bl w:val="nil"/>
                  </w:tcBorders>
                  <w:vAlign w:val="center"/>
                </w:tcPr>
                <w:p w14:paraId="121E2C5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w:t>
                  </w:r>
                </w:p>
              </w:tc>
            </w:tr>
            <w:tr w14:paraId="04A96E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1" w:type="pct"/>
                  <w:vMerge w:val="restart"/>
                  <w:tcBorders>
                    <w:left w:val="single" w:color="auto" w:sz="4" w:space="0"/>
                    <w:tl2br w:val="nil"/>
                    <w:tr2bl w:val="nil"/>
                  </w:tcBorders>
                  <w:vAlign w:val="center"/>
                </w:tcPr>
                <w:p w14:paraId="57DF1CB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固废</w:t>
                  </w:r>
                </w:p>
              </w:tc>
              <w:tc>
                <w:tcPr>
                  <w:tcW w:w="1095" w:type="pct"/>
                  <w:tcBorders>
                    <w:tl2br w:val="nil"/>
                    <w:tr2bl w:val="nil"/>
                  </w:tcBorders>
                  <w:vAlign w:val="center"/>
                </w:tcPr>
                <w:p w14:paraId="16F191D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生活垃圾</w:t>
                  </w:r>
                </w:p>
              </w:tc>
              <w:tc>
                <w:tcPr>
                  <w:tcW w:w="3213" w:type="pct"/>
                  <w:tcBorders>
                    <w:right w:val="single" w:color="auto" w:sz="4" w:space="0"/>
                    <w:tl2br w:val="nil"/>
                    <w:tr2bl w:val="nil"/>
                  </w:tcBorders>
                  <w:vAlign w:val="center"/>
                </w:tcPr>
                <w:p w14:paraId="5105C00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0.75（产生量）</w:t>
                  </w:r>
                </w:p>
              </w:tc>
            </w:tr>
            <w:tr w14:paraId="516B39F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1" w:type="pct"/>
                  <w:vMerge w:val="continue"/>
                  <w:tcBorders>
                    <w:left w:val="single" w:color="auto" w:sz="4" w:space="0"/>
                    <w:tl2br w:val="nil"/>
                    <w:tr2bl w:val="nil"/>
                  </w:tcBorders>
                  <w:vAlign w:val="center"/>
                </w:tcPr>
                <w:p w14:paraId="38C9699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p>
              </w:tc>
              <w:tc>
                <w:tcPr>
                  <w:tcW w:w="1095" w:type="pct"/>
                  <w:tcBorders>
                    <w:tl2br w:val="nil"/>
                    <w:tr2bl w:val="nil"/>
                  </w:tcBorders>
                  <w:vAlign w:val="center"/>
                </w:tcPr>
                <w:p w14:paraId="48A1439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废包装</w:t>
                  </w:r>
                </w:p>
              </w:tc>
              <w:tc>
                <w:tcPr>
                  <w:tcW w:w="3213" w:type="pct"/>
                  <w:tcBorders>
                    <w:right w:val="single" w:color="auto" w:sz="4" w:space="0"/>
                    <w:tl2br w:val="nil"/>
                    <w:tr2bl w:val="nil"/>
                  </w:tcBorders>
                  <w:vAlign w:val="center"/>
                </w:tcPr>
                <w:p w14:paraId="796DD66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0.1（产生量）</w:t>
                  </w:r>
                </w:p>
              </w:tc>
            </w:tr>
            <w:tr w14:paraId="36791D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continue"/>
                  <w:tcBorders>
                    <w:left w:val="single" w:color="auto" w:sz="4" w:space="0"/>
                    <w:tl2br w:val="nil"/>
                    <w:tr2bl w:val="nil"/>
                  </w:tcBorders>
                  <w:vAlign w:val="center"/>
                </w:tcPr>
                <w:p w14:paraId="61E6296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p>
              </w:tc>
              <w:tc>
                <w:tcPr>
                  <w:tcW w:w="1095" w:type="pct"/>
                  <w:tcBorders>
                    <w:tl2br w:val="nil"/>
                    <w:tr2bl w:val="nil"/>
                  </w:tcBorders>
                  <w:vAlign w:val="center"/>
                </w:tcPr>
                <w:p w14:paraId="67348F1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废UV灯管</w:t>
                  </w:r>
                </w:p>
              </w:tc>
              <w:tc>
                <w:tcPr>
                  <w:tcW w:w="3213" w:type="pct"/>
                  <w:tcBorders>
                    <w:right w:val="single" w:color="auto" w:sz="4" w:space="0"/>
                    <w:tl2br w:val="nil"/>
                    <w:tr2bl w:val="nil"/>
                  </w:tcBorders>
                  <w:vAlign w:val="center"/>
                </w:tcPr>
                <w:p w14:paraId="6AF33FB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0.01（产生量）</w:t>
                  </w:r>
                </w:p>
              </w:tc>
            </w:tr>
            <w:tr w14:paraId="7785BE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pct"/>
                  <w:vMerge w:val="continue"/>
                  <w:tcBorders>
                    <w:left w:val="single" w:color="auto" w:sz="4" w:space="0"/>
                    <w:bottom w:val="single" w:color="auto" w:sz="4" w:space="0"/>
                    <w:tl2br w:val="nil"/>
                    <w:tr2bl w:val="nil"/>
                  </w:tcBorders>
                  <w:vAlign w:val="center"/>
                </w:tcPr>
                <w:p w14:paraId="7E61EBD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p>
              </w:tc>
              <w:tc>
                <w:tcPr>
                  <w:tcW w:w="1095" w:type="pct"/>
                  <w:tcBorders>
                    <w:bottom w:val="single" w:color="auto" w:sz="4" w:space="0"/>
                    <w:tl2br w:val="nil"/>
                    <w:tr2bl w:val="nil"/>
                  </w:tcBorders>
                  <w:vAlign w:val="center"/>
                </w:tcPr>
                <w:p w14:paraId="0089E65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废活性炭</w:t>
                  </w:r>
                </w:p>
              </w:tc>
              <w:tc>
                <w:tcPr>
                  <w:tcW w:w="3213" w:type="pct"/>
                  <w:tcBorders>
                    <w:bottom w:val="single" w:color="auto" w:sz="4" w:space="0"/>
                    <w:right w:val="single" w:color="auto" w:sz="4" w:space="0"/>
                    <w:tl2br w:val="nil"/>
                    <w:tr2bl w:val="nil"/>
                  </w:tcBorders>
                  <w:vAlign w:val="center"/>
                </w:tcPr>
                <w:p w14:paraId="752AB5D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0.2（产生量）</w:t>
                  </w:r>
                </w:p>
              </w:tc>
            </w:tr>
          </w:tbl>
          <w:p w14:paraId="27D7833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2" w:firstLineChars="200"/>
              <w:jc w:val="both"/>
              <w:textAlignment w:val="auto"/>
              <w:rPr>
                <w:rFonts w:hint="default" w:ascii="Times New Roman" w:hAnsi="Times New Roman" w:eastAsia="宋体" w:cs="Times New Roman"/>
                <w:b/>
                <w:color w:val="000000" w:themeColor="text1"/>
                <w:sz w:val="24"/>
                <w:szCs w:val="24"/>
                <w:u w:val="none"/>
                <w:lang w:val="en-US"/>
                <w14:textFill>
                  <w14:solidFill>
                    <w14:schemeClr w14:val="tx1"/>
                  </w14:solidFill>
                </w14:textFill>
              </w:rPr>
            </w:pPr>
            <w:r>
              <w:rPr>
                <w:rFonts w:hint="eastAsia" w:ascii="Times New Roman" w:hAnsi="Times New Roman" w:cs="Times New Roman"/>
                <w:b/>
                <w:color w:val="000000" w:themeColor="text1"/>
                <w:sz w:val="24"/>
                <w:szCs w:val="24"/>
                <w:u w:val="none"/>
                <w:lang w:val="en-US" w:eastAsia="zh-CN"/>
                <w14:textFill>
                  <w14:solidFill>
                    <w14:schemeClr w14:val="tx1"/>
                  </w14:solidFill>
                </w14:textFill>
              </w:rPr>
              <w:t>四</w:t>
            </w:r>
            <w:r>
              <w:rPr>
                <w:rFonts w:hint="eastAsia" w:ascii="Times New Roman" w:hAnsi="Times New Roman" w:eastAsia="宋体" w:cs="Times New Roman"/>
                <w:b/>
                <w:color w:val="000000" w:themeColor="text1"/>
                <w:sz w:val="24"/>
                <w:szCs w:val="24"/>
                <w:u w:val="none"/>
                <w:lang w:val="en-US"/>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迁建前</w:t>
            </w:r>
            <w:r>
              <w:rPr>
                <w:rFonts w:hint="eastAsia" w:ascii="Times New Roman" w:hAnsi="Times New Roman" w:eastAsia="宋体" w:cs="Times New Roman"/>
                <w:b/>
                <w:color w:val="000000" w:themeColor="text1"/>
                <w:sz w:val="24"/>
                <w:szCs w:val="24"/>
                <w:u w:val="none"/>
                <w:lang w:val="en-US"/>
                <w14:textFill>
                  <w14:solidFill>
                    <w14:schemeClr w14:val="tx1"/>
                  </w14:solidFill>
                </w14:textFill>
              </w:rPr>
              <w:t>工程存在环保问题及“以新带老”整改措施</w:t>
            </w:r>
          </w:p>
          <w:p w14:paraId="7CC37BE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u w:val="none"/>
                <w:lang w:val="en-US"/>
                <w14:textFill>
                  <w14:solidFill>
                    <w14:schemeClr w14:val="tx1"/>
                  </w14:solidFill>
                </w14:textFill>
              </w:rPr>
              <w:t>废气：</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企业</w:t>
            </w: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废气处理为UV光氧+活性炭，处理效率较低</w:t>
            </w:r>
            <w:r>
              <w:rPr>
                <w:rFonts w:hint="eastAsia" w:ascii="Times New Roman" w:hAnsi="Times New Roman" w:eastAsia="宋体" w:cs="Times New Roman"/>
                <w:bCs/>
                <w:color w:val="000000" w:themeColor="text1"/>
                <w:sz w:val="24"/>
                <w:szCs w:val="24"/>
                <w:u w:val="none"/>
                <w:lang w:val="en-US" w:eastAsia="zh-CN"/>
                <w14:textFill>
                  <w14:solidFill>
                    <w14:schemeClr w14:val="tx1"/>
                  </w14:solidFill>
                </w14:textFill>
              </w:rPr>
              <w:t>。</w:t>
            </w:r>
          </w:p>
          <w:p w14:paraId="111B553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Cs/>
                <w:color w:val="000000" w:themeColor="text1"/>
                <w:sz w:val="24"/>
                <w:szCs w:val="24"/>
                <w:u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u w:val="none"/>
                <w:lang w:val="en-US" w:eastAsia="zh-CN"/>
                <w14:textFill>
                  <w14:solidFill>
                    <w14:schemeClr w14:val="tx1"/>
                  </w14:solidFill>
                </w14:textFill>
              </w:rPr>
              <w:t>本项目迁建实施后</w:t>
            </w:r>
            <w:r>
              <w:rPr>
                <w:rFonts w:hint="eastAsia" w:ascii="Times New Roman" w:hAnsi="Times New Roman"/>
                <w:color w:val="000000" w:themeColor="text1"/>
                <w:sz w:val="24"/>
                <w:szCs w:val="24"/>
                <w:lang w:val="en-US" w:eastAsia="zh-CN"/>
                <w14:textFill>
                  <w14:solidFill>
                    <w14:schemeClr w14:val="tx1"/>
                  </w14:solidFill>
                </w14:textFill>
              </w:rPr>
              <w:t>吹塑车间二次密闭，废气经集气罩收集，危废间废气经负压收集，经二级活性炭装置处理后由</w:t>
            </w:r>
            <w:r>
              <w:rPr>
                <w:rFonts w:hint="default" w:ascii="Times New Roman" w:hAnsi="Times New Roman"/>
                <w:color w:val="000000" w:themeColor="text1"/>
                <w:sz w:val="24"/>
                <w:szCs w:val="24"/>
                <w:lang w:val="en-US"/>
                <w14:textFill>
                  <w14:solidFill>
                    <w14:schemeClr w14:val="tx1"/>
                  </w14:solidFill>
                </w14:textFill>
              </w:rPr>
              <w:t>15m</w:t>
            </w:r>
            <w:r>
              <w:rPr>
                <w:rFonts w:hint="eastAsia" w:ascii="Times New Roman" w:hAnsi="Times New Roman"/>
                <w:color w:val="000000" w:themeColor="text1"/>
                <w:sz w:val="24"/>
                <w:szCs w:val="24"/>
                <w:lang w:val="en-US"/>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olor w:val="000000" w:themeColor="text1"/>
                <w:sz w:val="24"/>
                <w:szCs w:val="24"/>
                <w:lang w:val="en-US"/>
                <w14:textFill>
                  <w14:solidFill>
                    <w14:schemeClr w14:val="tx1"/>
                  </w14:solidFill>
                </w14:textFill>
              </w:rPr>
              <w:t>排放</w:t>
            </w:r>
            <w:r>
              <w:rPr>
                <w:rFonts w:hint="eastAsia" w:ascii="Times New Roman" w:hAnsi="Times New Roman"/>
                <w:color w:val="000000" w:themeColor="text1"/>
                <w:sz w:val="24"/>
                <w:szCs w:val="24"/>
                <w:lang w:val="en-US" w:eastAsia="zh-CN"/>
                <w14:textFill>
                  <w14:solidFill>
                    <w14:schemeClr w14:val="tx1"/>
                  </w14:solidFill>
                </w14:textFill>
              </w:rPr>
              <w:t>；化妆间二次密闭</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要求项目环保设备与生产设备同时安装和运行。</w:t>
            </w:r>
          </w:p>
          <w:p w14:paraId="2EC0367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2" w:firstLineChars="200"/>
              <w:jc w:val="both"/>
              <w:textAlignment w:val="auto"/>
              <w:rPr>
                <w:rFonts w:hint="default" w:ascii="Times New Roman" w:hAnsi="Times New Roman" w:eastAsia="宋体" w:cs="Times New Roman"/>
                <w:b/>
                <w:sz w:val="24"/>
                <w:szCs w:val="24"/>
                <w:u w:val="none"/>
                <w:lang w:val="en-US"/>
              </w:rPr>
            </w:pPr>
            <w:r>
              <w:rPr>
                <w:rFonts w:hint="eastAsia" w:ascii="Times New Roman" w:hAnsi="Times New Roman" w:cs="Times New Roman"/>
                <w:b/>
                <w:sz w:val="24"/>
                <w:szCs w:val="24"/>
                <w:u w:val="none"/>
                <w:lang w:val="en-US" w:eastAsia="zh-CN"/>
              </w:rPr>
              <w:t>五</w:t>
            </w:r>
            <w:r>
              <w:rPr>
                <w:rFonts w:hint="eastAsia" w:ascii="Times New Roman" w:hAnsi="Times New Roman" w:eastAsia="宋体" w:cs="Times New Roman"/>
                <w:b/>
                <w:sz w:val="24"/>
                <w:szCs w:val="24"/>
                <w:u w:val="none"/>
                <w:lang w:val="en-US"/>
              </w:rPr>
              <w:t>、新厂区与项目相关环境问题</w:t>
            </w:r>
          </w:p>
          <w:p w14:paraId="11E7F207">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sz w:val="24"/>
                <w:szCs w:val="24"/>
                <w:u w:val="none" w:color="auto"/>
                <w:lang w:val="en-US" w:eastAsia="zh-CN"/>
              </w:rPr>
            </w:pPr>
            <w:r>
              <w:rPr>
                <w:rFonts w:hint="eastAsia" w:ascii="Times New Roman" w:hAnsi="Times New Roman" w:cs="宋体"/>
                <w:color w:val="000000"/>
                <w:sz w:val="24"/>
                <w:szCs w:val="24"/>
                <w:u w:val="none" w:color="auto"/>
                <w:lang w:val="en-US" w:eastAsia="zh-CN" w:bidi="zh-CN"/>
              </w:rPr>
              <w:t>迁建后</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项目</w:t>
            </w:r>
            <w:r>
              <w:rPr>
                <w:rFonts w:hint="eastAsia" w:ascii="Times New Roman" w:hAnsi="Times New Roman" w:cs="Times New Roman"/>
                <w:color w:val="000000" w:themeColor="text1"/>
                <w:sz w:val="24"/>
                <w:szCs w:val="24"/>
                <w:u w:val="none" w:color="auto"/>
                <w:lang w:val="en-US" w:eastAsia="zh-CN" w:bidi="zh-CN"/>
                <w14:textFill>
                  <w14:solidFill>
                    <w14:schemeClr w14:val="tx1"/>
                  </w14:solidFill>
                </w14:textFill>
              </w:rPr>
              <w:t>租赁新建厂房，</w:t>
            </w:r>
            <w:r>
              <w:rPr>
                <w:rFonts w:hint="eastAsia"/>
                <w:color w:val="000000" w:themeColor="text1"/>
                <w:sz w:val="24"/>
                <w:szCs w:val="24"/>
                <w:lang w:val="en-US" w:eastAsia="zh-CN"/>
                <w14:textFill>
                  <w14:solidFill>
                    <w14:schemeClr w14:val="tx1"/>
                  </w14:solidFill>
                </w14:textFill>
              </w:rPr>
              <w:t>厂房内无历史生产经营活动，</w:t>
            </w:r>
            <w:r>
              <w:rPr>
                <w:rFonts w:hint="eastAsia" w:ascii="Times New Roman" w:hAnsi="Times New Roman" w:eastAsia="宋体" w:cs="Times New Roman"/>
                <w:color w:val="000000" w:themeColor="text1"/>
                <w:sz w:val="24"/>
                <w:szCs w:val="24"/>
                <w:u w:val="none" w:color="auto"/>
                <w:lang w:val="en-US" w:eastAsia="zh-CN" w:bidi="zh-CN"/>
                <w14:textFill>
                  <w14:solidFill>
                    <w14:schemeClr w14:val="tx1"/>
                  </w14:solidFill>
                </w14:textFill>
              </w:rPr>
              <w:t>不存在原有环境污染问题。</w:t>
            </w:r>
          </w:p>
        </w:tc>
      </w:tr>
    </w:tbl>
    <w:p w14:paraId="08E0603C">
      <w:r>
        <w:br w:type="page"/>
      </w:r>
    </w:p>
    <w:p w14:paraId="6AB847A6">
      <w:pPr>
        <w:pStyle w:val="10"/>
        <w:spacing w:before="58"/>
        <w:ind w:left="635" w:right="654"/>
        <w:jc w:val="center"/>
      </w:pPr>
      <w:r>
        <w:t>三、区域环境质量现状、环境保护目标及评价标准</w:t>
      </w:r>
    </w:p>
    <w:tbl>
      <w:tblPr>
        <w:tblStyle w:val="23"/>
        <w:tblW w:w="8754"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31"/>
        <w:gridCol w:w="7723"/>
      </w:tblGrid>
      <w:tr w14:paraId="6B72FC5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bottom w:val="single" w:color="000000" w:sz="4" w:space="0"/>
              <w:right w:val="single" w:color="000000" w:sz="4" w:space="0"/>
            </w:tcBorders>
            <w:vAlign w:val="center"/>
          </w:tcPr>
          <w:p w14:paraId="6412B0AC">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1"/>
                <w:szCs w:val="20"/>
                <w:u w:val="none" w:color="auto"/>
              </w:rPr>
            </w:pPr>
            <w:r>
              <w:rPr>
                <w:rFonts w:hint="default" w:ascii="Times New Roman" w:hAnsi="Times New Roman" w:cs="Times New Roman"/>
                <w:sz w:val="24"/>
                <w:szCs w:val="24"/>
                <w:u w:val="none" w:color="auto"/>
              </w:rPr>
              <w:t>区域环境质量现状</w:t>
            </w:r>
          </w:p>
        </w:tc>
        <w:tc>
          <w:tcPr>
            <w:tcW w:w="7723" w:type="dxa"/>
            <w:tcBorders>
              <w:left w:val="single" w:color="000000" w:sz="4" w:space="0"/>
              <w:bottom w:val="single" w:color="000000" w:sz="4" w:space="0"/>
            </w:tcBorders>
            <w:vAlign w:val="center"/>
          </w:tcPr>
          <w:p w14:paraId="02A531A4">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b/>
                <w:bCs/>
                <w:sz w:val="24"/>
                <w:szCs w:val="24"/>
                <w:u w:val="none" w:color="auto"/>
                <w:lang w:val="en-US" w:eastAsia="zh-CN"/>
              </w:rPr>
              <w:t>一、环境空气质量现状</w:t>
            </w:r>
          </w:p>
          <w:p w14:paraId="0BFEE25B">
            <w:pPr>
              <w:spacing w:beforeAutospacing="0" w:afterAutospacing="0" w:line="520" w:lineRule="exact"/>
              <w:ind w:firstLine="480" w:firstLineChars="200"/>
              <w:jc w:val="both"/>
              <w:rPr>
                <w:rFonts w:hint="default" w:ascii="Times New Roman" w:hAnsi="Times New Roman"/>
                <w:sz w:val="24"/>
                <w:szCs w:val="20"/>
              </w:rPr>
            </w:pPr>
            <w:r>
              <w:rPr>
                <w:rFonts w:hint="default" w:ascii="Times New Roman" w:hAnsi="Times New Roman"/>
                <w:sz w:val="24"/>
                <w:szCs w:val="20"/>
              </w:rPr>
              <w:t>本项目位于</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河南省许昌市魏都区滨河路与万通路交叉口先进制造业开发区2号</w:t>
            </w:r>
            <w:r>
              <w:rPr>
                <w:rFonts w:hint="default" w:ascii="Times New Roman" w:hAnsi="Times New Roman"/>
                <w:sz w:val="24"/>
                <w:szCs w:val="20"/>
              </w:rPr>
              <w:t>，所处区域属于环境空气二类功能区，其环境空气质量应执行《环境空气质量标准》（GB3095-2012）及其修改单二级标准。本次评价选择2</w:t>
            </w:r>
            <w:r>
              <w:rPr>
                <w:rFonts w:hint="eastAsia" w:ascii="Times New Roman" w:hAnsi="Times New Roman"/>
                <w:sz w:val="24"/>
                <w:szCs w:val="20"/>
                <w:lang w:val="en-US"/>
              </w:rPr>
              <w:t>0</w:t>
            </w:r>
            <w:r>
              <w:rPr>
                <w:rFonts w:hint="eastAsia" w:ascii="Times New Roman" w:hAnsi="Times New Roman"/>
                <w:sz w:val="24"/>
                <w:szCs w:val="20"/>
                <w:lang w:val="en-US" w:eastAsia="zh-CN"/>
              </w:rPr>
              <w:t>24</w:t>
            </w:r>
            <w:r>
              <w:rPr>
                <w:rFonts w:hint="default" w:ascii="Times New Roman" w:hAnsi="Times New Roman"/>
                <w:sz w:val="24"/>
                <w:szCs w:val="20"/>
              </w:rPr>
              <w:t>年作为评价基准年，采用《许昌市环境监测年鉴（2</w:t>
            </w:r>
            <w:r>
              <w:rPr>
                <w:rFonts w:hint="eastAsia" w:ascii="Times New Roman" w:hAnsi="Times New Roman"/>
                <w:sz w:val="24"/>
                <w:szCs w:val="20"/>
                <w:lang w:val="en-US" w:eastAsia="zh-CN"/>
              </w:rPr>
              <w:t>024</w:t>
            </w:r>
            <w:r>
              <w:rPr>
                <w:rFonts w:hint="default" w:ascii="Times New Roman" w:hAnsi="Times New Roman"/>
                <w:sz w:val="24"/>
                <w:szCs w:val="20"/>
              </w:rPr>
              <w:t>年度）》中的监测数据，评价因子主要为基本污染物SO</w:t>
            </w:r>
            <w:r>
              <w:rPr>
                <w:rFonts w:hint="default" w:ascii="Times New Roman" w:hAnsi="Times New Roman"/>
                <w:sz w:val="24"/>
                <w:szCs w:val="20"/>
                <w:vertAlign w:val="subscript"/>
              </w:rPr>
              <w:t>2</w:t>
            </w:r>
            <w:r>
              <w:rPr>
                <w:rFonts w:hint="default" w:ascii="Times New Roman" w:hAnsi="Times New Roman"/>
                <w:sz w:val="24"/>
                <w:szCs w:val="20"/>
              </w:rPr>
              <w:t>、NO</w:t>
            </w:r>
            <w:r>
              <w:rPr>
                <w:rFonts w:hint="default" w:ascii="Times New Roman" w:hAnsi="Times New Roman"/>
                <w:sz w:val="24"/>
                <w:szCs w:val="20"/>
                <w:vertAlign w:val="subscript"/>
              </w:rPr>
              <w:t>2</w:t>
            </w:r>
            <w:r>
              <w:rPr>
                <w:rFonts w:hint="default" w:ascii="Times New Roman" w:hAnsi="Times New Roman"/>
                <w:sz w:val="24"/>
                <w:szCs w:val="20"/>
              </w:rPr>
              <w:t>、PM</w:t>
            </w:r>
            <w:r>
              <w:rPr>
                <w:rFonts w:hint="default" w:ascii="Times New Roman" w:hAnsi="Times New Roman"/>
                <w:sz w:val="24"/>
                <w:szCs w:val="20"/>
                <w:vertAlign w:val="subscript"/>
              </w:rPr>
              <w:t>2.5</w:t>
            </w:r>
            <w:r>
              <w:rPr>
                <w:rFonts w:hint="default" w:ascii="Times New Roman" w:hAnsi="Times New Roman"/>
                <w:sz w:val="24"/>
                <w:szCs w:val="20"/>
              </w:rPr>
              <w:t>、PM</w:t>
            </w:r>
            <w:r>
              <w:rPr>
                <w:rFonts w:hint="default" w:ascii="Times New Roman" w:hAnsi="Times New Roman"/>
                <w:sz w:val="24"/>
                <w:szCs w:val="20"/>
                <w:vertAlign w:val="subscript"/>
              </w:rPr>
              <w:t>10</w:t>
            </w:r>
            <w:r>
              <w:rPr>
                <w:rFonts w:hint="default" w:ascii="Times New Roman" w:hAnsi="Times New Roman"/>
                <w:sz w:val="24"/>
                <w:szCs w:val="20"/>
              </w:rPr>
              <w:t>、O</w:t>
            </w:r>
            <w:r>
              <w:rPr>
                <w:rFonts w:hint="default" w:ascii="Times New Roman" w:hAnsi="Times New Roman"/>
                <w:sz w:val="24"/>
                <w:szCs w:val="20"/>
                <w:vertAlign w:val="subscript"/>
              </w:rPr>
              <w:t>3</w:t>
            </w:r>
            <w:r>
              <w:rPr>
                <w:rFonts w:hint="default" w:ascii="Times New Roman" w:hAnsi="Times New Roman"/>
                <w:sz w:val="24"/>
                <w:szCs w:val="20"/>
              </w:rPr>
              <w:t>、CO。项目所在区域环境空气质量现状达标情况见表</w:t>
            </w:r>
            <w:r>
              <w:rPr>
                <w:rFonts w:hint="eastAsia" w:ascii="Times New Roman" w:hAnsi="Times New Roman"/>
                <w:sz w:val="24"/>
                <w:szCs w:val="20"/>
                <w:lang w:val="en-US" w:eastAsia="zh-CN"/>
              </w:rPr>
              <w:t>3-1</w:t>
            </w:r>
            <w:r>
              <w:rPr>
                <w:rFonts w:hint="default" w:ascii="Times New Roman" w:hAnsi="Times New Roman"/>
                <w:sz w:val="24"/>
                <w:szCs w:val="20"/>
              </w:rPr>
              <w:t>。</w:t>
            </w:r>
          </w:p>
          <w:p w14:paraId="43CB5547">
            <w:pPr>
              <w:spacing w:beforeAutospacing="0" w:afterAutospacing="0" w:line="520" w:lineRule="exact"/>
              <w:ind w:firstLine="480" w:firstLineChars="200"/>
              <w:jc w:val="center"/>
              <w:rPr>
                <w:rFonts w:hint="default" w:ascii="Times New Roman" w:hAnsi="Times New Roman" w:eastAsia="黑体"/>
                <w:sz w:val="24"/>
                <w:szCs w:val="20"/>
                <w:lang w:val="en-US"/>
              </w:rPr>
            </w:pPr>
            <w:r>
              <w:rPr>
                <w:rFonts w:hint="default" w:ascii="Times New Roman" w:hAnsi="Times New Roman" w:eastAsia="黑体"/>
                <w:sz w:val="24"/>
                <w:szCs w:val="20"/>
                <w:lang w:val="en-US"/>
              </w:rPr>
              <w:t>表</w:t>
            </w:r>
            <w:r>
              <w:rPr>
                <w:rFonts w:hint="eastAsia" w:ascii="Times New Roman" w:hAnsi="Times New Roman" w:eastAsia="黑体"/>
                <w:sz w:val="24"/>
                <w:szCs w:val="20"/>
                <w:lang w:val="en-US" w:eastAsia="zh-CN"/>
              </w:rPr>
              <w:t>3-1</w:t>
            </w:r>
            <w:r>
              <w:rPr>
                <w:rFonts w:hint="default" w:ascii="Times New Roman" w:hAnsi="Times New Roman" w:eastAsia="黑体"/>
                <w:sz w:val="24"/>
                <w:szCs w:val="20"/>
                <w:lang w:val="en-US"/>
              </w:rPr>
              <w:t xml:space="preserve">  区域环境空气质量现状达标情况一览表</w:t>
            </w:r>
          </w:p>
          <w:tbl>
            <w:tblPr>
              <w:tblStyle w:val="23"/>
              <w:tblW w:w="76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8"/>
              <w:gridCol w:w="2378"/>
              <w:gridCol w:w="1430"/>
              <w:gridCol w:w="1165"/>
              <w:gridCol w:w="932"/>
              <w:gridCol w:w="922"/>
            </w:tblGrid>
            <w:tr w14:paraId="287094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14:paraId="18FCCEF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2378" w:type="dxa"/>
                  <w:tcBorders>
                    <w:tl2br w:val="nil"/>
                    <w:tr2bl w:val="nil"/>
                  </w:tcBorders>
                  <w:vAlign w:val="center"/>
                </w:tcPr>
                <w:p w14:paraId="042BB12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评价指</w:t>
                  </w:r>
                  <w:r>
                    <w:rPr>
                      <w:rFonts w:hint="eastAsia" w:ascii="Times New Roman" w:hAnsi="Times New Roman" w:cs="Times New Roman"/>
                      <w:b/>
                      <w:bCs/>
                      <w:color w:val="000000" w:themeColor="text1"/>
                      <w:sz w:val="21"/>
                      <w:szCs w:val="21"/>
                      <w14:textFill>
                        <w14:solidFill>
                          <w14:schemeClr w14:val="tx1"/>
                        </w14:solidFill>
                      </w14:textFill>
                    </w:rPr>
                    <w:t>标</w:t>
                  </w:r>
                </w:p>
              </w:tc>
              <w:tc>
                <w:tcPr>
                  <w:tcW w:w="1430" w:type="dxa"/>
                  <w:tcBorders>
                    <w:tl2br w:val="nil"/>
                    <w:tr2bl w:val="nil"/>
                  </w:tcBorders>
                  <w:vAlign w:val="center"/>
                </w:tcPr>
                <w:p w14:paraId="649A796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现状浓度</w:t>
                  </w:r>
                </w:p>
                <w:p w14:paraId="38E1B17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lang w:eastAsia="zh-CN"/>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µg/m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eastAsia" w:ascii="Times New Roman" w:hAnsi="Times New Roman" w:cs="Times New Roman"/>
                      <w:b/>
                      <w:bCs/>
                      <w:color w:val="000000" w:themeColor="text1"/>
                      <w:sz w:val="21"/>
                      <w:szCs w:val="21"/>
                      <w:vertAlign w:val="superscript"/>
                      <w:lang w:eastAsia="zh-CN"/>
                      <w14:textFill>
                        <w14:solidFill>
                          <w14:schemeClr w14:val="tx1"/>
                        </w14:solidFill>
                      </w14:textFill>
                    </w:rPr>
                    <w:t>)</w:t>
                  </w:r>
                </w:p>
              </w:tc>
              <w:tc>
                <w:tcPr>
                  <w:tcW w:w="1165" w:type="dxa"/>
                  <w:tcBorders>
                    <w:tl2br w:val="nil"/>
                    <w:tr2bl w:val="nil"/>
                  </w:tcBorders>
                  <w:vAlign w:val="center"/>
                </w:tcPr>
                <w:p w14:paraId="58CB47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标准值</w:t>
                  </w:r>
                </w:p>
                <w:p w14:paraId="2712908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lang w:eastAsia="zh-CN"/>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µg/m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eastAsia" w:ascii="Times New Roman" w:hAnsi="Times New Roman" w:cs="Times New Roman"/>
                      <w:b/>
                      <w:bCs/>
                      <w:color w:val="000000" w:themeColor="text1"/>
                      <w:sz w:val="21"/>
                      <w:szCs w:val="21"/>
                      <w:vertAlign w:val="superscript"/>
                      <w:lang w:eastAsia="zh-CN"/>
                      <w14:textFill>
                        <w14:solidFill>
                          <w14:schemeClr w14:val="tx1"/>
                        </w14:solidFill>
                      </w14:textFill>
                    </w:rPr>
                    <w:t>)</w:t>
                  </w:r>
                </w:p>
              </w:tc>
              <w:tc>
                <w:tcPr>
                  <w:tcW w:w="932" w:type="dxa"/>
                  <w:tcBorders>
                    <w:tl2br w:val="nil"/>
                    <w:tr2bl w:val="nil"/>
                  </w:tcBorders>
                  <w:vAlign w:val="center"/>
                </w:tcPr>
                <w:p w14:paraId="02FBCCB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占标率</w:t>
                  </w:r>
                </w:p>
                <w:p w14:paraId="43DC219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w:t>
                  </w:r>
                  <w:r>
                    <w:rPr>
                      <w:rFonts w:hint="eastAsia" w:ascii="Times New Roman" w:hAnsi="Times New Roman" w:cs="Times New Roman"/>
                      <w:b/>
                      <w:bCs/>
                      <w:color w:val="000000" w:themeColor="text1"/>
                      <w:sz w:val="21"/>
                      <w:szCs w:val="21"/>
                      <w14:textFill>
                        <w14:solidFill>
                          <w14:schemeClr w14:val="tx1"/>
                        </w14:solidFill>
                      </w14:textFill>
                    </w:rPr>
                    <w:t>）</w:t>
                  </w:r>
                </w:p>
              </w:tc>
              <w:tc>
                <w:tcPr>
                  <w:tcW w:w="922" w:type="dxa"/>
                  <w:tcBorders>
                    <w:tl2br w:val="nil"/>
                    <w:tr2bl w:val="nil"/>
                  </w:tcBorders>
                  <w:vAlign w:val="center"/>
                </w:tcPr>
                <w:p w14:paraId="0FFD7AF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达标情况</w:t>
                  </w:r>
                </w:p>
              </w:tc>
            </w:tr>
            <w:tr w14:paraId="74A303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1" w:hRule="atLeast"/>
                <w:jc w:val="center"/>
              </w:trPr>
              <w:tc>
                <w:tcPr>
                  <w:tcW w:w="868" w:type="dxa"/>
                  <w:vMerge w:val="restart"/>
                  <w:tcBorders>
                    <w:tl2br w:val="nil"/>
                    <w:tr2bl w:val="nil"/>
                  </w:tcBorders>
                  <w:vAlign w:val="center"/>
                </w:tcPr>
                <w:p w14:paraId="6525417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2378" w:type="dxa"/>
                  <w:tcBorders>
                    <w:tl2br w:val="nil"/>
                    <w:tr2bl w:val="nil"/>
                  </w:tcBorders>
                  <w:vAlign w:val="center"/>
                </w:tcPr>
                <w:p w14:paraId="19C73A6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18F1FD3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47</w:t>
                  </w:r>
                </w:p>
              </w:tc>
              <w:tc>
                <w:tcPr>
                  <w:tcW w:w="1165" w:type="dxa"/>
                  <w:tcBorders>
                    <w:tl2br w:val="nil"/>
                    <w:tr2bl w:val="nil"/>
                  </w:tcBorders>
                  <w:vAlign w:val="center"/>
                </w:tcPr>
                <w:p w14:paraId="2726C5B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35</w:t>
                  </w:r>
                </w:p>
              </w:tc>
              <w:tc>
                <w:tcPr>
                  <w:tcW w:w="932" w:type="dxa"/>
                  <w:tcBorders>
                    <w:tl2br w:val="nil"/>
                    <w:tr2bl w:val="nil"/>
                  </w:tcBorders>
                  <w:vAlign w:val="center"/>
                </w:tcPr>
                <w:p w14:paraId="24C39D7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134.3</w:t>
                  </w:r>
                </w:p>
              </w:tc>
              <w:tc>
                <w:tcPr>
                  <w:tcW w:w="922" w:type="dxa"/>
                  <w:tcBorders>
                    <w:tl2br w:val="nil"/>
                    <w:tr2bl w:val="nil"/>
                  </w:tcBorders>
                  <w:vAlign w:val="center"/>
                </w:tcPr>
                <w:p w14:paraId="7C6D76A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0F3FAF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1" w:hRule="atLeast"/>
                <w:jc w:val="center"/>
              </w:trPr>
              <w:tc>
                <w:tcPr>
                  <w:tcW w:w="868" w:type="dxa"/>
                  <w:vMerge w:val="continue"/>
                  <w:tcBorders>
                    <w:tl2br w:val="nil"/>
                    <w:tr2bl w:val="nil"/>
                  </w:tcBorders>
                  <w:vAlign w:val="center"/>
                </w:tcPr>
                <w:p w14:paraId="47FD882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57125BF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547168E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124</w:t>
                  </w:r>
                </w:p>
              </w:tc>
              <w:tc>
                <w:tcPr>
                  <w:tcW w:w="1165" w:type="dxa"/>
                  <w:tcBorders>
                    <w:tl2br w:val="nil"/>
                    <w:tr2bl w:val="nil"/>
                  </w:tcBorders>
                  <w:vAlign w:val="center"/>
                </w:tcPr>
                <w:p w14:paraId="3DD0766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75</w:t>
                  </w:r>
                </w:p>
              </w:tc>
              <w:tc>
                <w:tcPr>
                  <w:tcW w:w="932" w:type="dxa"/>
                  <w:tcBorders>
                    <w:tl2br w:val="nil"/>
                    <w:tr2bl w:val="nil"/>
                  </w:tcBorders>
                  <w:vAlign w:val="center"/>
                </w:tcPr>
                <w:p w14:paraId="64DF7CE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165.3</w:t>
                  </w:r>
                </w:p>
              </w:tc>
              <w:tc>
                <w:tcPr>
                  <w:tcW w:w="922" w:type="dxa"/>
                  <w:tcBorders>
                    <w:tl2br w:val="nil"/>
                    <w:tr2bl w:val="nil"/>
                  </w:tcBorders>
                  <w:vAlign w:val="center"/>
                </w:tcPr>
                <w:p w14:paraId="1D05D6B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088C93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13F19BC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2378" w:type="dxa"/>
                  <w:tcBorders>
                    <w:tl2br w:val="nil"/>
                    <w:tr2bl w:val="nil"/>
                  </w:tcBorders>
                  <w:vAlign w:val="center"/>
                </w:tcPr>
                <w:p w14:paraId="52307A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59E569E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80</w:t>
                  </w:r>
                </w:p>
              </w:tc>
              <w:tc>
                <w:tcPr>
                  <w:tcW w:w="1165" w:type="dxa"/>
                  <w:tcBorders>
                    <w:tl2br w:val="nil"/>
                    <w:tr2bl w:val="nil"/>
                  </w:tcBorders>
                  <w:vAlign w:val="center"/>
                </w:tcPr>
                <w:p w14:paraId="3A97B2A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w:t>
                  </w:r>
                </w:p>
              </w:tc>
              <w:tc>
                <w:tcPr>
                  <w:tcW w:w="932" w:type="dxa"/>
                  <w:tcBorders>
                    <w:tl2br w:val="nil"/>
                    <w:tr2bl w:val="nil"/>
                  </w:tcBorders>
                  <w:vAlign w:val="center"/>
                </w:tcPr>
                <w:p w14:paraId="4C4FF0E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114.3</w:t>
                  </w:r>
                </w:p>
              </w:tc>
              <w:tc>
                <w:tcPr>
                  <w:tcW w:w="922" w:type="dxa"/>
                  <w:tcBorders>
                    <w:tl2br w:val="nil"/>
                    <w:tr2bl w:val="nil"/>
                  </w:tcBorders>
                  <w:vAlign w:val="center"/>
                </w:tcPr>
                <w:p w14:paraId="57E942A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kern w:val="2"/>
                      <w:sz w:val="21"/>
                      <w:szCs w:val="21"/>
                      <w:lang w:val="en-US" w:bidi="ar-SA"/>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3C06D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1CBEFB5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7F7E04C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4F3D962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159</w:t>
                  </w:r>
                </w:p>
              </w:tc>
              <w:tc>
                <w:tcPr>
                  <w:tcW w:w="1165" w:type="dxa"/>
                  <w:tcBorders>
                    <w:tl2br w:val="nil"/>
                    <w:tr2bl w:val="nil"/>
                  </w:tcBorders>
                  <w:vAlign w:val="center"/>
                </w:tcPr>
                <w:p w14:paraId="2747C0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150</w:t>
                  </w:r>
                </w:p>
              </w:tc>
              <w:tc>
                <w:tcPr>
                  <w:tcW w:w="932" w:type="dxa"/>
                  <w:tcBorders>
                    <w:tl2br w:val="nil"/>
                    <w:tr2bl w:val="nil"/>
                  </w:tcBorders>
                  <w:vAlign w:val="center"/>
                </w:tcPr>
                <w:p w14:paraId="50FAA67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106.0</w:t>
                  </w:r>
                </w:p>
              </w:tc>
              <w:tc>
                <w:tcPr>
                  <w:tcW w:w="922" w:type="dxa"/>
                  <w:tcBorders>
                    <w:tl2br w:val="nil"/>
                    <w:tr2bl w:val="nil"/>
                  </w:tcBorders>
                  <w:vAlign w:val="center"/>
                </w:tcPr>
                <w:p w14:paraId="3218B04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不达标</w:t>
                  </w:r>
                </w:p>
              </w:tc>
            </w:tr>
            <w:tr w14:paraId="03123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4395D8C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378" w:type="dxa"/>
                  <w:tcBorders>
                    <w:tl2br w:val="nil"/>
                    <w:tr2bl w:val="nil"/>
                  </w:tcBorders>
                  <w:vAlign w:val="center"/>
                </w:tcPr>
                <w:p w14:paraId="3FFEAAC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7C18342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w:t>
                  </w:r>
                </w:p>
              </w:tc>
              <w:tc>
                <w:tcPr>
                  <w:tcW w:w="1165" w:type="dxa"/>
                  <w:tcBorders>
                    <w:tl2br w:val="nil"/>
                    <w:tr2bl w:val="nil"/>
                  </w:tcBorders>
                  <w:vAlign w:val="center"/>
                </w:tcPr>
                <w:p w14:paraId="54BAF82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60</w:t>
                  </w:r>
                </w:p>
              </w:tc>
              <w:tc>
                <w:tcPr>
                  <w:tcW w:w="932" w:type="dxa"/>
                  <w:tcBorders>
                    <w:tl2br w:val="nil"/>
                    <w:tr2bl w:val="nil"/>
                  </w:tcBorders>
                  <w:vAlign w:val="center"/>
                </w:tcPr>
                <w:p w14:paraId="2A6FF6C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11.7</w:t>
                  </w:r>
                </w:p>
              </w:tc>
              <w:tc>
                <w:tcPr>
                  <w:tcW w:w="922" w:type="dxa"/>
                  <w:tcBorders>
                    <w:tl2br w:val="nil"/>
                    <w:tr2bl w:val="nil"/>
                  </w:tcBorders>
                  <w:vAlign w:val="center"/>
                </w:tcPr>
                <w:p w14:paraId="28BA2E2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7C9B0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536BFB9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14AEE5D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98百分位数日平均</w:t>
                  </w:r>
                </w:p>
              </w:tc>
              <w:tc>
                <w:tcPr>
                  <w:tcW w:w="1430" w:type="dxa"/>
                  <w:tcBorders>
                    <w:tl2br w:val="nil"/>
                    <w:tr2bl w:val="nil"/>
                  </w:tcBorders>
                  <w:vAlign w:val="center"/>
                </w:tcPr>
                <w:p w14:paraId="186C67E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w:t>
                  </w:r>
                </w:p>
              </w:tc>
              <w:tc>
                <w:tcPr>
                  <w:tcW w:w="1165" w:type="dxa"/>
                  <w:tcBorders>
                    <w:tl2br w:val="nil"/>
                    <w:tr2bl w:val="nil"/>
                  </w:tcBorders>
                  <w:vAlign w:val="center"/>
                </w:tcPr>
                <w:p w14:paraId="08FCA5C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150</w:t>
                  </w:r>
                </w:p>
              </w:tc>
              <w:tc>
                <w:tcPr>
                  <w:tcW w:w="932" w:type="dxa"/>
                  <w:tcBorders>
                    <w:tl2br w:val="nil"/>
                    <w:tr2bl w:val="nil"/>
                  </w:tcBorders>
                  <w:vAlign w:val="center"/>
                </w:tcPr>
                <w:p w14:paraId="05F248B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7.3</w:t>
                  </w:r>
                </w:p>
              </w:tc>
              <w:tc>
                <w:tcPr>
                  <w:tcW w:w="922" w:type="dxa"/>
                  <w:tcBorders>
                    <w:tl2br w:val="nil"/>
                    <w:tr2bl w:val="nil"/>
                  </w:tcBorders>
                  <w:vAlign w:val="center"/>
                </w:tcPr>
                <w:p w14:paraId="0F11B41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615EB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restart"/>
                  <w:tcBorders>
                    <w:tl2br w:val="nil"/>
                    <w:tr2bl w:val="nil"/>
                  </w:tcBorders>
                  <w:vAlign w:val="center"/>
                </w:tcPr>
                <w:p w14:paraId="11E714B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378" w:type="dxa"/>
                  <w:tcBorders>
                    <w:tl2br w:val="nil"/>
                    <w:tr2bl w:val="nil"/>
                  </w:tcBorders>
                  <w:vAlign w:val="center"/>
                </w:tcPr>
                <w:p w14:paraId="2C992DA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年平均质量浓度</w:t>
                  </w:r>
                </w:p>
              </w:tc>
              <w:tc>
                <w:tcPr>
                  <w:tcW w:w="1430" w:type="dxa"/>
                  <w:tcBorders>
                    <w:tl2br w:val="nil"/>
                    <w:tr2bl w:val="nil"/>
                  </w:tcBorders>
                  <w:vAlign w:val="center"/>
                </w:tcPr>
                <w:p w14:paraId="6E55592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24</w:t>
                  </w:r>
                </w:p>
              </w:tc>
              <w:tc>
                <w:tcPr>
                  <w:tcW w:w="1165" w:type="dxa"/>
                  <w:tcBorders>
                    <w:tl2br w:val="nil"/>
                    <w:tr2bl w:val="nil"/>
                  </w:tcBorders>
                  <w:vAlign w:val="center"/>
                </w:tcPr>
                <w:p w14:paraId="3F31E6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w:t>
                  </w:r>
                </w:p>
              </w:tc>
              <w:tc>
                <w:tcPr>
                  <w:tcW w:w="932" w:type="dxa"/>
                  <w:tcBorders>
                    <w:tl2br w:val="nil"/>
                    <w:tr2bl w:val="nil"/>
                  </w:tcBorders>
                  <w:vAlign w:val="center"/>
                </w:tcPr>
                <w:p w14:paraId="5062865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60.0</w:t>
                  </w:r>
                </w:p>
              </w:tc>
              <w:tc>
                <w:tcPr>
                  <w:tcW w:w="922" w:type="dxa"/>
                  <w:tcBorders>
                    <w:tl2br w:val="nil"/>
                    <w:tr2bl w:val="nil"/>
                  </w:tcBorders>
                  <w:vAlign w:val="center"/>
                </w:tcPr>
                <w:p w14:paraId="2859A52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08851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vMerge w:val="continue"/>
                  <w:tcBorders>
                    <w:tl2br w:val="nil"/>
                    <w:tr2bl w:val="nil"/>
                  </w:tcBorders>
                  <w:vAlign w:val="center"/>
                </w:tcPr>
                <w:p w14:paraId="5A25CEA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78" w:type="dxa"/>
                  <w:tcBorders>
                    <w:tl2br w:val="nil"/>
                    <w:tr2bl w:val="nil"/>
                  </w:tcBorders>
                  <w:vAlign w:val="center"/>
                </w:tcPr>
                <w:p w14:paraId="1A96B04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98百分位数日平均</w:t>
                  </w:r>
                </w:p>
              </w:tc>
              <w:tc>
                <w:tcPr>
                  <w:tcW w:w="1430" w:type="dxa"/>
                  <w:tcBorders>
                    <w:tl2br w:val="nil"/>
                    <w:tr2bl w:val="nil"/>
                  </w:tcBorders>
                  <w:vAlign w:val="center"/>
                </w:tcPr>
                <w:p w14:paraId="50BD99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51</w:t>
                  </w:r>
                </w:p>
              </w:tc>
              <w:tc>
                <w:tcPr>
                  <w:tcW w:w="1165" w:type="dxa"/>
                  <w:tcBorders>
                    <w:tl2br w:val="nil"/>
                    <w:tr2bl w:val="nil"/>
                  </w:tcBorders>
                  <w:vAlign w:val="center"/>
                </w:tcPr>
                <w:p w14:paraId="40A02C0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80</w:t>
                  </w:r>
                </w:p>
              </w:tc>
              <w:tc>
                <w:tcPr>
                  <w:tcW w:w="932" w:type="dxa"/>
                  <w:tcBorders>
                    <w:tl2br w:val="nil"/>
                    <w:tr2bl w:val="nil"/>
                  </w:tcBorders>
                  <w:vAlign w:val="center"/>
                </w:tcPr>
                <w:p w14:paraId="63A72A7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63.8</w:t>
                  </w:r>
                </w:p>
              </w:tc>
              <w:tc>
                <w:tcPr>
                  <w:tcW w:w="922" w:type="dxa"/>
                  <w:tcBorders>
                    <w:tl2br w:val="nil"/>
                    <w:tr2bl w:val="nil"/>
                  </w:tcBorders>
                  <w:vAlign w:val="center"/>
                </w:tcPr>
                <w:p w14:paraId="7D0FD70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684709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68" w:type="dxa"/>
                  <w:tcBorders>
                    <w:tl2br w:val="nil"/>
                    <w:tr2bl w:val="nil"/>
                  </w:tcBorders>
                  <w:vAlign w:val="center"/>
                </w:tcPr>
                <w:p w14:paraId="0D644A9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w:t>
                  </w:r>
                </w:p>
              </w:tc>
              <w:tc>
                <w:tcPr>
                  <w:tcW w:w="2378" w:type="dxa"/>
                  <w:tcBorders>
                    <w:tl2br w:val="nil"/>
                    <w:tr2bl w:val="nil"/>
                  </w:tcBorders>
                  <w:vAlign w:val="center"/>
                </w:tcPr>
                <w:p w14:paraId="2B38129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95百分位数日平均</w:t>
                  </w:r>
                </w:p>
              </w:tc>
              <w:tc>
                <w:tcPr>
                  <w:tcW w:w="1430" w:type="dxa"/>
                  <w:tcBorders>
                    <w:tl2br w:val="nil"/>
                    <w:tr2bl w:val="nil"/>
                  </w:tcBorders>
                  <w:vAlign w:val="center"/>
                </w:tcPr>
                <w:p w14:paraId="37D9BD1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eastAsia" w:ascii="Times New Roman" w:hAnsi="Times New Roman" w:cs="Times New Roman"/>
                      <w:color w:val="000000" w:themeColor="text1"/>
                      <w:sz w:val="21"/>
                      <w:szCs w:val="21"/>
                      <w:lang w:val="en-US"/>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14:textFill>
                        <w14:solidFill>
                          <w14:schemeClr w14:val="tx1"/>
                        </w14:solidFill>
                      </w14:textFill>
                    </w:rPr>
                    <w:t>3</w:t>
                  </w:r>
                </w:p>
              </w:tc>
              <w:tc>
                <w:tcPr>
                  <w:tcW w:w="1165" w:type="dxa"/>
                  <w:tcBorders>
                    <w:tl2br w:val="nil"/>
                    <w:tr2bl w:val="nil"/>
                  </w:tcBorders>
                  <w:vAlign w:val="center"/>
                </w:tcPr>
                <w:p w14:paraId="5D65E53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ascii="Times New Roman" w:hAnsi="Times New Roman" w:cs="Times New Roman"/>
                      <w:color w:val="000000" w:themeColor="text1"/>
                      <w:sz w:val="21"/>
                      <w:szCs w:val="21"/>
                      <w:lang w:val="en-US"/>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14:textFill>
                        <w14:solidFill>
                          <w14:schemeClr w14:val="tx1"/>
                        </w14:solidFill>
                      </w14:textFill>
                    </w:rPr>
                    <w:t>3</w:t>
                  </w:r>
                </w:p>
              </w:tc>
              <w:tc>
                <w:tcPr>
                  <w:tcW w:w="932" w:type="dxa"/>
                  <w:tcBorders>
                    <w:tl2br w:val="nil"/>
                    <w:tr2bl w:val="nil"/>
                  </w:tcBorders>
                  <w:vAlign w:val="center"/>
                </w:tcPr>
                <w:p w14:paraId="31AD6B2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25.0</w:t>
                  </w:r>
                </w:p>
              </w:tc>
              <w:tc>
                <w:tcPr>
                  <w:tcW w:w="922" w:type="dxa"/>
                  <w:tcBorders>
                    <w:tl2br w:val="nil"/>
                    <w:tr2bl w:val="nil"/>
                  </w:tcBorders>
                  <w:vAlign w:val="center"/>
                </w:tcPr>
                <w:p w14:paraId="4A032BB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14:textFill>
                        <w14:solidFill>
                          <w14:schemeClr w14:val="tx1"/>
                        </w14:solidFill>
                      </w14:textFill>
                    </w:rPr>
                    <w:t>达标</w:t>
                  </w:r>
                </w:p>
              </w:tc>
            </w:tr>
            <w:tr w14:paraId="5E7367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9" w:hRule="atLeast"/>
                <w:jc w:val="center"/>
              </w:trPr>
              <w:tc>
                <w:tcPr>
                  <w:tcW w:w="868" w:type="dxa"/>
                  <w:tcBorders>
                    <w:tl2br w:val="nil"/>
                    <w:tr2bl w:val="nil"/>
                  </w:tcBorders>
                  <w:vAlign w:val="center"/>
                </w:tcPr>
                <w:p w14:paraId="4F48266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O</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2378" w:type="dxa"/>
                  <w:tcBorders>
                    <w:tl2br w:val="nil"/>
                    <w:tr2bl w:val="nil"/>
                  </w:tcBorders>
                  <w:vAlign w:val="center"/>
                </w:tcPr>
                <w:p w14:paraId="0F86087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sz w:val="21"/>
                      <w:szCs w:val="21"/>
                      <w:highlight w:val="none"/>
                      <w:u w:val="none" w:color="auto"/>
                      <w:lang w:val="en-US" w:eastAsia="zh-CN"/>
                    </w:rPr>
                    <w:t>90百分位数</w:t>
                  </w:r>
                  <w:r>
                    <w:rPr>
                      <w:rFonts w:hint="default" w:ascii="Times New Roman" w:hAnsi="Times New Roman" w:eastAsia="宋体" w:cs="Times New Roman"/>
                      <w:color w:val="auto"/>
                      <w:kern w:val="0"/>
                      <w:sz w:val="21"/>
                      <w:szCs w:val="21"/>
                      <w:highlight w:val="none"/>
                      <w:u w:val="none" w:color="auto"/>
                      <w:lang w:val="en-US" w:eastAsia="zh-CN" w:bidi="zh-CN"/>
                    </w:rPr>
                    <w:t>日最大8小时滑动</w:t>
                  </w:r>
                  <w:r>
                    <w:rPr>
                      <w:rFonts w:hint="default" w:ascii="Times New Roman" w:hAnsi="Times New Roman" w:cs="Times New Roman"/>
                      <w:color w:val="auto"/>
                      <w:kern w:val="0"/>
                      <w:sz w:val="21"/>
                      <w:szCs w:val="21"/>
                      <w:highlight w:val="none"/>
                      <w:u w:val="none" w:color="auto"/>
                      <w:lang w:val="en-US" w:eastAsia="zh-CN" w:bidi="zh-CN"/>
                    </w:rPr>
                    <w:t>平均质量浓度</w:t>
                  </w:r>
                </w:p>
              </w:tc>
              <w:tc>
                <w:tcPr>
                  <w:tcW w:w="1430" w:type="dxa"/>
                  <w:tcBorders>
                    <w:tl2br w:val="nil"/>
                    <w:tr2bl w:val="nil"/>
                  </w:tcBorders>
                  <w:vAlign w:val="center"/>
                </w:tcPr>
                <w:p w14:paraId="0568F14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C00000"/>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175</w:t>
                  </w:r>
                </w:p>
              </w:tc>
              <w:tc>
                <w:tcPr>
                  <w:tcW w:w="1165" w:type="dxa"/>
                  <w:tcBorders>
                    <w:tl2br w:val="nil"/>
                    <w:tr2bl w:val="nil"/>
                  </w:tcBorders>
                  <w:vAlign w:val="center"/>
                </w:tcPr>
                <w:p w14:paraId="6B10BC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160</w:t>
                  </w:r>
                </w:p>
              </w:tc>
              <w:tc>
                <w:tcPr>
                  <w:tcW w:w="932" w:type="dxa"/>
                  <w:tcBorders>
                    <w:tl2br w:val="nil"/>
                    <w:tr2bl w:val="nil"/>
                  </w:tcBorders>
                  <w:vAlign w:val="center"/>
                </w:tcPr>
                <w:p w14:paraId="0AD0C70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109.4</w:t>
                  </w:r>
                </w:p>
              </w:tc>
              <w:tc>
                <w:tcPr>
                  <w:tcW w:w="922" w:type="dxa"/>
                  <w:tcBorders>
                    <w:tl2br w:val="nil"/>
                    <w:tr2bl w:val="nil"/>
                  </w:tcBorders>
                  <w:vAlign w:val="center"/>
                </w:tcPr>
                <w:p w14:paraId="4B6EC8D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不</w:t>
                  </w:r>
                  <w:r>
                    <w:rPr>
                      <w:rFonts w:hint="eastAsia" w:ascii="Times New Roman" w:hAnsi="Times New Roman" w:cs="Times New Roman"/>
                      <w:color w:val="000000" w:themeColor="text1"/>
                      <w:sz w:val="21"/>
                      <w:szCs w:val="21"/>
                      <w:lang w:val="en-US"/>
                      <w14:textFill>
                        <w14:solidFill>
                          <w14:schemeClr w14:val="tx1"/>
                        </w14:solidFill>
                      </w14:textFill>
                    </w:rPr>
                    <w:t>达标</w:t>
                  </w:r>
                </w:p>
              </w:tc>
            </w:tr>
          </w:tbl>
          <w:p w14:paraId="7F90B5DA">
            <w:pPr>
              <w:spacing w:beforeAutospacing="0" w:afterAutospacing="0" w:line="520" w:lineRule="exact"/>
              <w:ind w:firstLine="480" w:firstLineChars="200"/>
              <w:jc w:val="both"/>
              <w:rPr>
                <w:rFonts w:hint="default" w:ascii="Times New Roman" w:hAnsi="Times New Roman"/>
                <w:sz w:val="24"/>
                <w:szCs w:val="20"/>
              </w:rPr>
            </w:pPr>
            <w:r>
              <w:rPr>
                <w:rFonts w:hint="default" w:ascii="Times New Roman" w:hAnsi="Times New Roman"/>
                <w:sz w:val="24"/>
                <w:szCs w:val="20"/>
              </w:rPr>
              <w:t>由表</w:t>
            </w:r>
            <w:r>
              <w:rPr>
                <w:rFonts w:hint="eastAsia" w:ascii="Times New Roman" w:hAnsi="Times New Roman"/>
                <w:sz w:val="24"/>
                <w:szCs w:val="20"/>
                <w:lang w:val="en-US" w:eastAsia="zh-CN"/>
              </w:rPr>
              <w:t>3-1</w:t>
            </w:r>
            <w:r>
              <w:rPr>
                <w:rFonts w:hint="default" w:ascii="Times New Roman" w:hAnsi="Times New Roman"/>
                <w:sz w:val="24"/>
                <w:szCs w:val="20"/>
              </w:rPr>
              <w:t>可知，本项目所在区域</w:t>
            </w:r>
            <w:r>
              <w:rPr>
                <w:rFonts w:hint="eastAsia" w:ascii="Times New Roman" w:hAnsi="Times New Roman"/>
                <w:sz w:val="24"/>
                <w:szCs w:val="20"/>
                <w:lang w:val="en-US" w:eastAsia="zh-CN"/>
              </w:rPr>
              <w:t>2024</w:t>
            </w:r>
            <w:r>
              <w:rPr>
                <w:rFonts w:hint="default" w:ascii="Times New Roman" w:hAnsi="Times New Roman"/>
                <w:sz w:val="24"/>
                <w:szCs w:val="20"/>
              </w:rPr>
              <w:t>年SO</w:t>
            </w:r>
            <w:r>
              <w:rPr>
                <w:rFonts w:hint="default" w:ascii="Times New Roman" w:hAnsi="Times New Roman"/>
                <w:sz w:val="24"/>
                <w:szCs w:val="20"/>
                <w:vertAlign w:val="subscript"/>
              </w:rPr>
              <w:t>2</w:t>
            </w:r>
            <w:r>
              <w:rPr>
                <w:rFonts w:hint="default" w:ascii="Times New Roman" w:hAnsi="Times New Roman"/>
                <w:sz w:val="24"/>
                <w:szCs w:val="20"/>
              </w:rPr>
              <w:t>、NO</w:t>
            </w:r>
            <w:r>
              <w:rPr>
                <w:rFonts w:hint="default" w:ascii="Times New Roman" w:hAnsi="Times New Roman"/>
                <w:sz w:val="24"/>
                <w:szCs w:val="20"/>
                <w:vertAlign w:val="subscript"/>
              </w:rPr>
              <w:t>2</w:t>
            </w:r>
            <w:r>
              <w:rPr>
                <w:rFonts w:hint="default" w:ascii="Times New Roman" w:hAnsi="Times New Roman"/>
                <w:sz w:val="24"/>
                <w:szCs w:val="20"/>
              </w:rPr>
              <w:t>、CO均达到《环境空气质量标准》</w:t>
            </w:r>
            <w:r>
              <w:rPr>
                <w:rFonts w:hint="eastAsia" w:ascii="Times New Roman" w:hAnsi="Times New Roman"/>
                <w:sz w:val="24"/>
                <w:szCs w:val="20"/>
              </w:rPr>
              <w:t>（</w:t>
            </w:r>
            <w:r>
              <w:rPr>
                <w:rFonts w:hint="default" w:ascii="Times New Roman" w:hAnsi="Times New Roman"/>
                <w:sz w:val="24"/>
                <w:szCs w:val="20"/>
              </w:rPr>
              <w:t>GB3095-2012</w:t>
            </w:r>
            <w:r>
              <w:rPr>
                <w:rFonts w:hint="eastAsia" w:ascii="Times New Roman" w:hAnsi="Times New Roman"/>
                <w:sz w:val="24"/>
                <w:szCs w:val="20"/>
              </w:rPr>
              <w:t>）</w:t>
            </w:r>
            <w:r>
              <w:rPr>
                <w:rFonts w:hint="default" w:ascii="Times New Roman" w:hAnsi="Times New Roman"/>
                <w:sz w:val="24"/>
                <w:szCs w:val="20"/>
              </w:rPr>
              <w:t>及其修改单二级标准，而PM</w:t>
            </w:r>
            <w:r>
              <w:rPr>
                <w:rFonts w:hint="default" w:ascii="Times New Roman" w:hAnsi="Times New Roman"/>
                <w:sz w:val="24"/>
                <w:szCs w:val="20"/>
                <w:vertAlign w:val="subscript"/>
              </w:rPr>
              <w:t>2.5</w:t>
            </w:r>
            <w:r>
              <w:rPr>
                <w:rFonts w:hint="default" w:ascii="Times New Roman" w:hAnsi="Times New Roman"/>
                <w:sz w:val="24"/>
                <w:szCs w:val="20"/>
              </w:rPr>
              <w:t>、PM</w:t>
            </w:r>
            <w:r>
              <w:rPr>
                <w:rFonts w:hint="default" w:ascii="Times New Roman" w:hAnsi="Times New Roman"/>
                <w:sz w:val="24"/>
                <w:szCs w:val="20"/>
                <w:vertAlign w:val="subscript"/>
              </w:rPr>
              <w:t>10</w:t>
            </w:r>
            <w:r>
              <w:rPr>
                <w:rFonts w:hint="eastAsia" w:ascii="Times New Roman" w:hAnsi="Times New Roman"/>
                <w:sz w:val="24"/>
                <w:szCs w:val="20"/>
                <w:vertAlign w:val="baseline"/>
                <w:lang w:eastAsia="zh-CN"/>
              </w:rPr>
              <w:t>、</w:t>
            </w:r>
            <w:r>
              <w:rPr>
                <w:rFonts w:hint="default" w:ascii="Times New Roman" w:hAnsi="Times New Roman"/>
                <w:sz w:val="24"/>
                <w:szCs w:val="20"/>
              </w:rPr>
              <w:t>O</w:t>
            </w:r>
            <w:r>
              <w:rPr>
                <w:rFonts w:hint="default" w:ascii="Times New Roman" w:hAnsi="Times New Roman"/>
                <w:sz w:val="24"/>
                <w:szCs w:val="20"/>
                <w:vertAlign w:val="subscript"/>
              </w:rPr>
              <w:t>3</w:t>
            </w:r>
            <w:r>
              <w:rPr>
                <w:rFonts w:hint="default" w:ascii="Times New Roman" w:hAnsi="Times New Roman"/>
                <w:sz w:val="24"/>
                <w:szCs w:val="20"/>
              </w:rPr>
              <w:t>则存在超标现象。因此，项目所在区域属于环境空气质量不达标区。</w:t>
            </w:r>
          </w:p>
          <w:p w14:paraId="235245A5">
            <w:pPr>
              <w:spacing w:beforeAutospacing="0" w:afterAutospacing="0" w:line="520" w:lineRule="exact"/>
              <w:ind w:firstLine="480" w:firstLineChars="200"/>
              <w:jc w:val="both"/>
              <w:rPr>
                <w:rFonts w:hint="eastAsia" w:ascii="Times New Roman" w:hAnsi="Times New Roman" w:eastAsia="宋体" w:cs="Times New Roman"/>
                <w:b w:val="0"/>
                <w:bCs w:val="0"/>
                <w:sz w:val="24"/>
                <w:szCs w:val="24"/>
                <w:lang w:val="en-US" w:eastAsia="zh-CN"/>
              </w:rPr>
            </w:pPr>
            <w:r>
              <w:rPr>
                <w:rFonts w:hint="eastAsia" w:ascii="Times New Roman" w:hAnsi="Times New Roman"/>
                <w:sz w:val="24"/>
                <w:szCs w:val="20"/>
                <w:u w:val="none"/>
                <w:lang w:val="en-US" w:eastAsia="zh-CN"/>
              </w:rPr>
              <w:t>《</w:t>
            </w:r>
            <w:r>
              <w:rPr>
                <w:rFonts w:hint="eastAsia" w:ascii="Times New Roman" w:hAnsi="Times New Roman" w:eastAsia="宋体" w:cs="宋体"/>
                <w:sz w:val="24"/>
                <w:szCs w:val="20"/>
                <w:lang w:val="en-US" w:eastAsia="zh-CN"/>
              </w:rPr>
              <w:t>许昌市202</w:t>
            </w:r>
            <w:r>
              <w:rPr>
                <w:rFonts w:hint="eastAsia" w:ascii="Times New Roman" w:hAnsi="Times New Roman" w:cs="宋体"/>
                <w:sz w:val="24"/>
                <w:szCs w:val="20"/>
                <w:lang w:val="en-US" w:eastAsia="zh-CN"/>
              </w:rPr>
              <w:t>5</w:t>
            </w:r>
            <w:r>
              <w:rPr>
                <w:rFonts w:hint="eastAsia" w:ascii="Times New Roman" w:hAnsi="Times New Roman" w:eastAsia="宋体" w:cs="宋体"/>
                <w:sz w:val="24"/>
                <w:szCs w:val="20"/>
                <w:lang w:val="en-US" w:eastAsia="zh-CN"/>
              </w:rPr>
              <w:t>年</w:t>
            </w:r>
            <w:r>
              <w:rPr>
                <w:rFonts w:hint="eastAsia" w:ascii="Times New Roman" w:hAnsi="Times New Roman" w:cs="宋体"/>
                <w:sz w:val="24"/>
                <w:szCs w:val="20"/>
                <w:lang w:val="en-US" w:eastAsia="zh-CN"/>
              </w:rPr>
              <w:t>大气污染防治标本兼治实施方案</w:t>
            </w:r>
            <w:r>
              <w:rPr>
                <w:rFonts w:hint="eastAsia" w:ascii="Times New Roman" w:hAnsi="Times New Roman" w:eastAsia="宋体" w:cs="宋体"/>
                <w:sz w:val="24"/>
                <w:szCs w:val="20"/>
                <w:lang w:val="en-US" w:eastAsia="zh-CN"/>
              </w:rPr>
              <w:t>》中提出：以改善环境空气质量为核心，以降低细颗粒物（PM</w:t>
            </w:r>
            <w:r>
              <w:rPr>
                <w:rFonts w:hint="eastAsia" w:ascii="Times New Roman" w:hAnsi="Times New Roman" w:eastAsia="宋体" w:cs="宋体"/>
                <w:sz w:val="24"/>
                <w:szCs w:val="20"/>
                <w:vertAlign w:val="subscript"/>
                <w:lang w:val="en-US" w:eastAsia="zh-CN"/>
              </w:rPr>
              <w:t>2.5</w:t>
            </w:r>
            <w:r>
              <w:rPr>
                <w:rFonts w:hint="eastAsia" w:ascii="Times New Roman" w:hAnsi="Times New Roman" w:eastAsia="宋体" w:cs="宋体"/>
                <w:sz w:val="24"/>
                <w:szCs w:val="20"/>
                <w:lang w:val="en-US" w:eastAsia="zh-CN"/>
              </w:rPr>
              <w:t>）浓度为主线，坚持目标导向和问题导向，突出“标本兼治”</w:t>
            </w:r>
            <w:r>
              <w:rPr>
                <w:rFonts w:hint="eastAsia" w:ascii="Times New Roman" w:hAnsi="Times New Roman" w:cs="宋体"/>
                <w:sz w:val="24"/>
                <w:szCs w:val="20"/>
                <w:lang w:val="en-US" w:eastAsia="zh-CN"/>
              </w:rPr>
              <w:t>，</w:t>
            </w:r>
            <w:r>
              <w:rPr>
                <w:rFonts w:hint="eastAsia" w:ascii="Times New Roman" w:hAnsi="Times New Roman" w:eastAsia="宋体" w:cs="宋体"/>
                <w:sz w:val="24"/>
                <w:szCs w:val="20"/>
                <w:lang w:val="en-US" w:eastAsia="zh-CN"/>
              </w:rPr>
              <w:t>通过结构优化升级、企业提标治理、移动源排放控制等治本举措推动工程减排，通过面源污染防控、重污染天气应对、监管能力建设等治标措施推动管理减排</w:t>
            </w:r>
            <w:r>
              <w:rPr>
                <w:rFonts w:hint="eastAsia" w:ascii="Times New Roman" w:hAnsi="Times New Roman"/>
                <w:sz w:val="24"/>
                <w:szCs w:val="20"/>
                <w:u w:val="none"/>
                <w:lang w:val="en-US" w:eastAsia="zh-CN"/>
              </w:rPr>
              <w:t>。通过采取以上综合治理措施，许昌市区域环境空气质量能得到逐步得到改善。</w:t>
            </w:r>
          </w:p>
          <w:p w14:paraId="69B4ED24">
            <w:pPr>
              <w:pStyle w:val="10"/>
              <w:widowControl w:val="0"/>
              <w:wordWrap/>
              <w:autoSpaceDE w:val="0"/>
              <w:autoSpaceDN w:val="0"/>
              <w:adjustRightInd/>
              <w:snapToGrid/>
              <w:spacing w:beforeAutospacing="0" w:afterAutospacing="0" w:line="520" w:lineRule="exact"/>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二、地表水</w:t>
            </w:r>
          </w:p>
          <w:p w14:paraId="62ED8C47">
            <w:pPr>
              <w:spacing w:beforeAutospacing="0" w:afterAutospacing="0" w:line="520" w:lineRule="exact"/>
              <w:ind w:firstLine="480" w:firstLineChars="200"/>
              <w:jc w:val="both"/>
              <w:rPr>
                <w:rFonts w:hint="default" w:ascii="Times New Roman" w:hAnsi="Times New Roman"/>
                <w:sz w:val="24"/>
                <w:szCs w:val="20"/>
              </w:rPr>
            </w:pPr>
            <w:r>
              <w:rPr>
                <w:rFonts w:hint="default" w:ascii="Times New Roman" w:hAnsi="Times New Roman"/>
                <w:sz w:val="24"/>
                <w:szCs w:val="20"/>
              </w:rPr>
              <w:t>本项目运营期间</w:t>
            </w:r>
            <w:r>
              <w:rPr>
                <w:rFonts w:hint="eastAsia" w:ascii="Times New Roman" w:hAnsi="Times New Roman"/>
                <w:sz w:val="24"/>
                <w:szCs w:val="20"/>
                <w:lang w:val="en-US" w:eastAsia="zh-CN"/>
              </w:rPr>
              <w:t>生活污水经化粪池处理后进入</w:t>
            </w:r>
            <w:r>
              <w:rPr>
                <w:rFonts w:hint="default" w:ascii="Times New Roman" w:hAnsi="Times New Roman"/>
                <w:sz w:val="24"/>
                <w:szCs w:val="20"/>
                <w:lang w:val="en-US" w:eastAsia="zh-CN"/>
              </w:rPr>
              <w:t>许昌市鸿瀚环境技术管理有限公司深度处理</w:t>
            </w:r>
            <w:r>
              <w:rPr>
                <w:rFonts w:hint="eastAsia" w:ascii="Times New Roman" w:hAnsi="Times New Roman"/>
                <w:sz w:val="24"/>
                <w:szCs w:val="20"/>
                <w:lang w:val="en-US" w:eastAsia="zh-CN"/>
              </w:rPr>
              <w:t>，最终进入</w:t>
            </w:r>
            <w:r>
              <w:rPr>
                <w:rFonts w:hint="default" w:ascii="Times New Roman" w:hAnsi="Times New Roman"/>
                <w:sz w:val="24"/>
                <w:szCs w:val="20"/>
              </w:rPr>
              <w:t>纳污水体为清潩河，其水质执行《地表水环境质量标准》</w:t>
            </w:r>
            <w:r>
              <w:rPr>
                <w:rFonts w:hint="eastAsia" w:ascii="Times New Roman" w:hAnsi="Times New Roman"/>
                <w:sz w:val="24"/>
                <w:szCs w:val="20"/>
              </w:rPr>
              <w:t>（</w:t>
            </w:r>
            <w:r>
              <w:rPr>
                <w:rFonts w:hint="default" w:ascii="Times New Roman" w:hAnsi="Times New Roman"/>
                <w:sz w:val="24"/>
                <w:szCs w:val="20"/>
              </w:rPr>
              <w:t>GB3838-2002</w:t>
            </w:r>
            <w:r>
              <w:rPr>
                <w:rFonts w:hint="eastAsia" w:ascii="Times New Roman" w:hAnsi="Times New Roman"/>
                <w:sz w:val="24"/>
                <w:szCs w:val="20"/>
              </w:rPr>
              <w:t>）Ⅲ</w:t>
            </w:r>
            <w:r>
              <w:rPr>
                <w:rFonts w:hint="default" w:ascii="Times New Roman" w:hAnsi="Times New Roman"/>
                <w:sz w:val="24"/>
                <w:szCs w:val="20"/>
              </w:rPr>
              <w:t>类</w:t>
            </w:r>
            <w:r>
              <w:rPr>
                <w:rFonts w:hint="eastAsia" w:ascii="Times New Roman" w:hAnsi="Times New Roman"/>
                <w:sz w:val="24"/>
                <w:szCs w:val="20"/>
              </w:rPr>
              <w:t>水质标准</w:t>
            </w:r>
            <w:r>
              <w:rPr>
                <w:rFonts w:hint="default" w:ascii="Times New Roman" w:hAnsi="Times New Roman"/>
                <w:sz w:val="24"/>
                <w:szCs w:val="20"/>
              </w:rPr>
              <w:t>。本次评价采用《许昌市环境监测年鉴</w:t>
            </w:r>
            <w:r>
              <w:rPr>
                <w:rFonts w:hint="eastAsia" w:ascii="Times New Roman" w:hAnsi="Times New Roman"/>
                <w:sz w:val="24"/>
                <w:szCs w:val="20"/>
              </w:rPr>
              <w:t>（</w:t>
            </w:r>
            <w:r>
              <w:rPr>
                <w:rFonts w:hint="default" w:ascii="Times New Roman" w:hAnsi="Times New Roman"/>
                <w:sz w:val="24"/>
                <w:szCs w:val="20"/>
              </w:rPr>
              <w:t>20</w:t>
            </w:r>
            <w:r>
              <w:rPr>
                <w:rFonts w:hint="eastAsia" w:ascii="Times New Roman" w:hAnsi="Times New Roman"/>
                <w:sz w:val="24"/>
                <w:szCs w:val="20"/>
                <w:lang w:val="en-US" w:eastAsia="zh-CN"/>
              </w:rPr>
              <w:t>24</w:t>
            </w:r>
            <w:r>
              <w:rPr>
                <w:rFonts w:hint="default" w:ascii="Times New Roman" w:hAnsi="Times New Roman"/>
                <w:sz w:val="24"/>
                <w:szCs w:val="20"/>
              </w:rPr>
              <w:t>年度</w:t>
            </w:r>
            <w:r>
              <w:rPr>
                <w:rFonts w:hint="eastAsia" w:ascii="Times New Roman" w:hAnsi="Times New Roman"/>
                <w:sz w:val="24"/>
                <w:szCs w:val="20"/>
              </w:rPr>
              <w:t>）</w:t>
            </w:r>
            <w:r>
              <w:rPr>
                <w:rFonts w:hint="default" w:ascii="Times New Roman" w:hAnsi="Times New Roman"/>
                <w:sz w:val="24"/>
                <w:szCs w:val="20"/>
              </w:rPr>
              <w:t>》中清潩河高村桥断面水质监测数据，评价因子为基本污染物pH、COD、NH</w:t>
            </w:r>
            <w:r>
              <w:rPr>
                <w:rFonts w:hint="default" w:ascii="Times New Roman" w:hAnsi="Times New Roman"/>
                <w:sz w:val="24"/>
                <w:szCs w:val="20"/>
                <w:vertAlign w:val="subscript"/>
              </w:rPr>
              <w:t>3</w:t>
            </w:r>
            <w:r>
              <w:rPr>
                <w:rFonts w:hint="default" w:ascii="Times New Roman" w:hAnsi="Times New Roman"/>
                <w:sz w:val="24"/>
                <w:szCs w:val="20"/>
              </w:rPr>
              <w:t>-N、TP，其地表水环境质量现状达标情况见表</w:t>
            </w:r>
            <w:r>
              <w:rPr>
                <w:rFonts w:hint="eastAsia" w:ascii="Times New Roman" w:hAnsi="Times New Roman"/>
                <w:sz w:val="24"/>
                <w:szCs w:val="20"/>
                <w:lang w:val="en-US" w:eastAsia="zh-CN"/>
              </w:rPr>
              <w:t>3-2</w:t>
            </w:r>
            <w:r>
              <w:rPr>
                <w:rFonts w:hint="default" w:ascii="Times New Roman" w:hAnsi="Times New Roman"/>
                <w:sz w:val="24"/>
                <w:szCs w:val="20"/>
              </w:rPr>
              <w:t>。</w:t>
            </w:r>
          </w:p>
          <w:p w14:paraId="32D32432">
            <w:pPr>
              <w:spacing w:beforeAutospacing="0" w:afterAutospacing="0" w:line="520" w:lineRule="exact"/>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3-2</w:t>
            </w:r>
            <w:r>
              <w:rPr>
                <w:rFonts w:hint="default" w:ascii="Times New Roman" w:hAnsi="Times New Roman" w:eastAsia="黑体" w:cs="Times New Roman"/>
                <w:sz w:val="24"/>
                <w:szCs w:val="24"/>
              </w:rPr>
              <w:t xml:space="preserve">  地表水环境质量监测结果一览表</w:t>
            </w:r>
          </w:p>
          <w:tbl>
            <w:tblPr>
              <w:tblStyle w:val="97"/>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266"/>
              <w:gridCol w:w="1268"/>
              <w:gridCol w:w="821"/>
              <w:gridCol w:w="891"/>
              <w:gridCol w:w="807"/>
              <w:gridCol w:w="892"/>
              <w:gridCol w:w="985"/>
              <w:gridCol w:w="778"/>
            </w:tblGrid>
            <w:tr w14:paraId="2FA04EA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66" w:type="dxa"/>
                  <w:tcBorders>
                    <w:top w:val="single" w:color="000000" w:sz="4" w:space="0"/>
                    <w:left w:val="single" w:color="auto" w:sz="0" w:space="0"/>
                    <w:tl2br w:val="nil"/>
                    <w:tr2bl w:val="nil"/>
                  </w:tcBorders>
                  <w:vAlign w:val="center"/>
                </w:tcPr>
                <w:p w14:paraId="08A30080">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6"/>
                      <w:sz w:val="21"/>
                      <w:szCs w:val="21"/>
                      <w14:textFill>
                        <w14:solidFill>
                          <w14:schemeClr w14:val="tx1"/>
                        </w14:solidFill>
                      </w14:textFill>
                    </w:rPr>
                    <w:t>断</w:t>
                  </w:r>
                  <w:r>
                    <w:rPr>
                      <w:rFonts w:ascii="Times New Roman" w:hAnsi="Times New Roman" w:cs="黑体"/>
                      <w:b/>
                      <w:bCs/>
                      <w:color w:val="000000" w:themeColor="text1"/>
                      <w:spacing w:val="5"/>
                      <w:sz w:val="21"/>
                      <w:szCs w:val="21"/>
                      <w14:textFill>
                        <w14:solidFill>
                          <w14:schemeClr w14:val="tx1"/>
                        </w14:solidFill>
                      </w14:textFill>
                    </w:rPr>
                    <w:t>面名称</w:t>
                  </w:r>
                </w:p>
              </w:tc>
              <w:tc>
                <w:tcPr>
                  <w:tcW w:w="1268" w:type="dxa"/>
                  <w:tcBorders>
                    <w:top w:val="single" w:color="000000" w:sz="4" w:space="0"/>
                    <w:tl2br w:val="nil"/>
                    <w:tr2bl w:val="nil"/>
                  </w:tcBorders>
                  <w:vAlign w:val="center"/>
                </w:tcPr>
                <w:p w14:paraId="1A213B78">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9"/>
                      <w:sz w:val="21"/>
                      <w:szCs w:val="21"/>
                      <w14:textFill>
                        <w14:solidFill>
                          <w14:schemeClr w14:val="tx1"/>
                        </w14:solidFill>
                      </w14:textFill>
                    </w:rPr>
                    <w:t>监</w:t>
                  </w:r>
                  <w:r>
                    <w:rPr>
                      <w:rFonts w:ascii="Times New Roman" w:hAnsi="Times New Roman" w:cs="黑体"/>
                      <w:b/>
                      <w:bCs/>
                      <w:color w:val="000000" w:themeColor="text1"/>
                      <w:spacing w:val="7"/>
                      <w:sz w:val="21"/>
                      <w:szCs w:val="21"/>
                      <w14:textFill>
                        <w14:solidFill>
                          <w14:schemeClr w14:val="tx1"/>
                        </w14:solidFill>
                      </w14:textFill>
                    </w:rPr>
                    <w:t>测结果</w:t>
                  </w:r>
                </w:p>
              </w:tc>
              <w:tc>
                <w:tcPr>
                  <w:tcW w:w="821" w:type="dxa"/>
                  <w:tcBorders>
                    <w:top w:val="single" w:color="000000" w:sz="4" w:space="0"/>
                    <w:tl2br w:val="nil"/>
                    <w:tr2bl w:val="nil"/>
                  </w:tcBorders>
                  <w:vAlign w:val="center"/>
                </w:tcPr>
                <w:p w14:paraId="00BA9B3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黑体"/>
                      <w:b/>
                      <w:bCs/>
                      <w:color w:val="000000" w:themeColor="text1"/>
                      <w:spacing w:val="2"/>
                      <w:sz w:val="21"/>
                      <w:szCs w:val="21"/>
                      <w14:textFill>
                        <w14:solidFill>
                          <w14:schemeClr w14:val="tx1"/>
                        </w14:solidFill>
                      </w14:textFill>
                    </w:rPr>
                    <w:t>单位</w:t>
                  </w:r>
                </w:p>
              </w:tc>
              <w:tc>
                <w:tcPr>
                  <w:tcW w:w="891" w:type="dxa"/>
                  <w:tcBorders>
                    <w:top w:val="single" w:color="000000" w:sz="4" w:space="0"/>
                    <w:tl2br w:val="nil"/>
                    <w:tr2bl w:val="nil"/>
                  </w:tcBorders>
                  <w:vAlign w:val="center"/>
                </w:tcPr>
                <w:p w14:paraId="4E2E7D37">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黑体"/>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pH</w:t>
                  </w:r>
                  <w:r>
                    <w:rPr>
                      <w:rFonts w:ascii="Times New Roman" w:hAnsi="Times New Roman" w:cs="黑体"/>
                      <w:b/>
                      <w:bCs/>
                      <w:color w:val="000000" w:themeColor="text1"/>
                      <w:spacing w:val="11"/>
                      <w:sz w:val="21"/>
                      <w:szCs w:val="21"/>
                      <w14:textFill>
                        <w14:solidFill>
                          <w14:schemeClr w14:val="tx1"/>
                        </w14:solidFill>
                      </w14:textFill>
                    </w:rPr>
                    <w:t>值</w:t>
                  </w:r>
                </w:p>
              </w:tc>
              <w:tc>
                <w:tcPr>
                  <w:tcW w:w="807" w:type="dxa"/>
                  <w:tcBorders>
                    <w:top w:val="single" w:color="000000" w:sz="4" w:space="0"/>
                    <w:tl2br w:val="nil"/>
                    <w:tr2bl w:val="nil"/>
                  </w:tcBorders>
                  <w:vAlign w:val="center"/>
                </w:tcPr>
                <w:p w14:paraId="3773310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pacing w:val="4"/>
                      <w:sz w:val="21"/>
                      <w:szCs w:val="21"/>
                      <w14:textFill>
                        <w14:solidFill>
                          <w14:schemeClr w14:val="tx1"/>
                        </w14:solidFill>
                      </w14:textFill>
                    </w:rPr>
                    <w:t>CO</w:t>
                  </w:r>
                  <w:r>
                    <w:rPr>
                      <w:rFonts w:ascii="Times New Roman" w:hAnsi="Times New Roman" w:cs="Times New Roman"/>
                      <w:b/>
                      <w:bCs/>
                      <w:color w:val="000000" w:themeColor="text1"/>
                      <w:spacing w:val="3"/>
                      <w:sz w:val="21"/>
                      <w:szCs w:val="21"/>
                      <w14:textFill>
                        <w14:solidFill>
                          <w14:schemeClr w14:val="tx1"/>
                        </w14:solidFill>
                      </w14:textFill>
                    </w:rPr>
                    <w:t>D</w:t>
                  </w:r>
                </w:p>
              </w:tc>
              <w:tc>
                <w:tcPr>
                  <w:tcW w:w="892" w:type="dxa"/>
                  <w:tcBorders>
                    <w:top w:val="single" w:color="000000" w:sz="4" w:space="0"/>
                    <w:tl2br w:val="nil"/>
                    <w:tr2bl w:val="nil"/>
                  </w:tcBorders>
                  <w:vAlign w:val="center"/>
                </w:tcPr>
                <w:p w14:paraId="12570BA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BOD</w:t>
                  </w:r>
                  <w:r>
                    <w:rPr>
                      <w:rFonts w:ascii="Times New Roman" w:hAnsi="Times New Roman" w:cs="Times New Roman"/>
                      <w:b/>
                      <w:bCs/>
                      <w:color w:val="000000" w:themeColor="text1"/>
                      <w:spacing w:val="19"/>
                      <w:position w:val="-1"/>
                      <w:sz w:val="21"/>
                      <w:szCs w:val="21"/>
                      <w:vertAlign w:val="subscript"/>
                      <w14:textFill>
                        <w14:solidFill>
                          <w14:schemeClr w14:val="tx1"/>
                        </w14:solidFill>
                      </w14:textFill>
                    </w:rPr>
                    <w:t>5</w:t>
                  </w:r>
                </w:p>
              </w:tc>
              <w:tc>
                <w:tcPr>
                  <w:tcW w:w="985" w:type="dxa"/>
                  <w:tcBorders>
                    <w:top w:val="single" w:color="000000" w:sz="4" w:space="0"/>
                    <w:tl2br w:val="nil"/>
                    <w:tr2bl w:val="nil"/>
                  </w:tcBorders>
                  <w:vAlign w:val="center"/>
                </w:tcPr>
                <w:p w14:paraId="3042CABB">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NH</w:t>
                  </w:r>
                  <w:r>
                    <w:rPr>
                      <w:rFonts w:ascii="Times New Roman" w:hAnsi="Times New Roman" w:cs="Times New Roman"/>
                      <w:b/>
                      <w:bCs/>
                      <w:color w:val="000000" w:themeColor="text1"/>
                      <w:spacing w:val="14"/>
                      <w:position w:val="-1"/>
                      <w:sz w:val="21"/>
                      <w:szCs w:val="21"/>
                      <w:vertAlign w:val="subscript"/>
                      <w14:textFill>
                        <w14:solidFill>
                          <w14:schemeClr w14:val="tx1"/>
                        </w14:solidFill>
                      </w14:textFill>
                    </w:rPr>
                    <w:t>3</w:t>
                  </w:r>
                  <w:r>
                    <w:rPr>
                      <w:rFonts w:ascii="Times New Roman" w:hAnsi="Times New Roman" w:cs="Times New Roman"/>
                      <w:b/>
                      <w:bCs/>
                      <w:color w:val="000000" w:themeColor="text1"/>
                      <w:spacing w:val="13"/>
                      <w:sz w:val="21"/>
                      <w:szCs w:val="21"/>
                      <w14:textFill>
                        <w14:solidFill>
                          <w14:schemeClr w14:val="tx1"/>
                        </w14:solidFill>
                      </w14:textFill>
                    </w:rPr>
                    <w:t>-</w:t>
                  </w:r>
                  <w:r>
                    <w:rPr>
                      <w:rFonts w:ascii="Times New Roman" w:hAnsi="Times New Roman" w:cs="Times New Roman"/>
                      <w:b/>
                      <w:bCs/>
                      <w:color w:val="000000" w:themeColor="text1"/>
                      <w:sz w:val="21"/>
                      <w:szCs w:val="21"/>
                      <w14:textFill>
                        <w14:solidFill>
                          <w14:schemeClr w14:val="tx1"/>
                        </w14:solidFill>
                      </w14:textFill>
                    </w:rPr>
                    <w:t>N</w:t>
                  </w:r>
                </w:p>
              </w:tc>
              <w:tc>
                <w:tcPr>
                  <w:tcW w:w="778" w:type="dxa"/>
                  <w:tcBorders>
                    <w:top w:val="single" w:color="000000" w:sz="4" w:space="0"/>
                    <w:right w:val="single" w:color="000000" w:sz="4" w:space="0"/>
                    <w:tl2br w:val="nil"/>
                    <w:tr2bl w:val="nil"/>
                  </w:tcBorders>
                  <w:vAlign w:val="center"/>
                </w:tcPr>
                <w:p w14:paraId="4443E636">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pacing w:val="2"/>
                      <w:sz w:val="21"/>
                      <w:szCs w:val="21"/>
                      <w14:textFill>
                        <w14:solidFill>
                          <w14:schemeClr w14:val="tx1"/>
                        </w14:solidFill>
                      </w14:textFill>
                    </w:rPr>
                    <w:t>T</w:t>
                  </w:r>
                  <w:r>
                    <w:rPr>
                      <w:rFonts w:ascii="Times New Roman" w:hAnsi="Times New Roman" w:cs="Times New Roman"/>
                      <w:b/>
                      <w:bCs/>
                      <w:color w:val="000000" w:themeColor="text1"/>
                      <w:spacing w:val="1"/>
                      <w:sz w:val="21"/>
                      <w:szCs w:val="21"/>
                      <w14:textFill>
                        <w14:solidFill>
                          <w14:schemeClr w14:val="tx1"/>
                        </w14:solidFill>
                      </w14:textFill>
                    </w:rPr>
                    <w:t>P</w:t>
                  </w:r>
                </w:p>
              </w:tc>
            </w:tr>
            <w:tr w14:paraId="5942D56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66" w:type="dxa"/>
                  <w:tcBorders>
                    <w:left w:val="single" w:color="000000" w:sz="4" w:space="0"/>
                    <w:tl2br w:val="nil"/>
                    <w:tr2bl w:val="nil"/>
                  </w:tcBorders>
                  <w:vAlign w:val="center"/>
                </w:tcPr>
                <w:p w14:paraId="153777B5">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高村桥</w:t>
                  </w:r>
                </w:p>
              </w:tc>
              <w:tc>
                <w:tcPr>
                  <w:tcW w:w="1268" w:type="dxa"/>
                  <w:tcBorders>
                    <w:tl2br w:val="nil"/>
                    <w:tr2bl w:val="nil"/>
                  </w:tcBorders>
                  <w:vAlign w:val="center"/>
                </w:tcPr>
                <w:p w14:paraId="4074E1D1">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7"/>
                      <w:sz w:val="21"/>
                      <w:szCs w:val="21"/>
                      <w14:textFill>
                        <w14:solidFill>
                          <w14:schemeClr w14:val="tx1"/>
                        </w14:solidFill>
                      </w14:textFill>
                    </w:rPr>
                    <w:t>年</w:t>
                  </w:r>
                  <w:r>
                    <w:rPr>
                      <w:rFonts w:ascii="Times New Roman" w:hAnsi="Times New Roman"/>
                      <w:color w:val="000000" w:themeColor="text1"/>
                      <w:spacing w:val="6"/>
                      <w:sz w:val="21"/>
                      <w:szCs w:val="21"/>
                      <w14:textFill>
                        <w14:solidFill>
                          <w14:schemeClr w14:val="tx1"/>
                        </w14:solidFill>
                      </w14:textFill>
                    </w:rPr>
                    <w:t>均值</w:t>
                  </w:r>
                </w:p>
              </w:tc>
              <w:tc>
                <w:tcPr>
                  <w:tcW w:w="821" w:type="dxa"/>
                  <w:tcBorders>
                    <w:tl2br w:val="nil"/>
                    <w:tr2bl w:val="nil"/>
                  </w:tcBorders>
                  <w:vAlign w:val="center"/>
                </w:tcPr>
                <w:p w14:paraId="543130B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3"/>
                      <w:sz w:val="21"/>
                      <w:szCs w:val="21"/>
                      <w14:textFill>
                        <w14:solidFill>
                          <w14:schemeClr w14:val="tx1"/>
                        </w14:solidFill>
                      </w14:textFill>
                    </w:rPr>
                    <w:t>mg</w:t>
                  </w:r>
                  <w:r>
                    <w:rPr>
                      <w:rFonts w:ascii="Times New Roman" w:hAnsi="Times New Roman" w:cs="Times New Roman"/>
                      <w:color w:val="000000" w:themeColor="text1"/>
                      <w:spacing w:val="18"/>
                      <w:position w:val="3"/>
                      <w:sz w:val="21"/>
                      <w:szCs w:val="21"/>
                      <w14:textFill>
                        <w14:solidFill>
                          <w14:schemeClr w14:val="tx1"/>
                        </w14:solidFill>
                      </w14:textFill>
                    </w:rPr>
                    <w:t>/</w:t>
                  </w:r>
                  <w:r>
                    <w:rPr>
                      <w:rFonts w:ascii="Times New Roman" w:hAnsi="Times New Roman" w:cs="Times New Roman"/>
                      <w:color w:val="000000" w:themeColor="text1"/>
                      <w:position w:val="3"/>
                      <w:sz w:val="21"/>
                      <w:szCs w:val="21"/>
                      <w14:textFill>
                        <w14:solidFill>
                          <w14:schemeClr w14:val="tx1"/>
                        </w14:solidFill>
                      </w14:textFill>
                    </w:rPr>
                    <w:t>L</w:t>
                  </w:r>
                </w:p>
              </w:tc>
              <w:tc>
                <w:tcPr>
                  <w:tcW w:w="891" w:type="dxa"/>
                  <w:tcBorders>
                    <w:tl2br w:val="nil"/>
                    <w:tr2bl w:val="nil"/>
                  </w:tcBorders>
                  <w:vAlign w:val="center"/>
                </w:tcPr>
                <w:p w14:paraId="5CEE77EE">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w:t>
                  </w:r>
                  <w:r>
                    <w:rPr>
                      <w:rFonts w:ascii="Times New Roman" w:hAnsi="Times New Roman" w:cs="Times New Roman"/>
                      <w:color w:val="000000" w:themeColor="text1"/>
                      <w:spacing w:val="2"/>
                      <w:sz w:val="21"/>
                      <w:szCs w:val="21"/>
                      <w14:textFill>
                        <w14:solidFill>
                          <w14:schemeClr w14:val="tx1"/>
                        </w14:solidFill>
                      </w14:textFill>
                    </w:rPr>
                    <w:t>~</w:t>
                  </w:r>
                  <w:r>
                    <w:rPr>
                      <w:rFonts w:ascii="Times New Roman" w:hAnsi="Times New Roman" w:cs="Times New Roman"/>
                      <w:color w:val="000000" w:themeColor="text1"/>
                      <w:spacing w:val="1"/>
                      <w:sz w:val="21"/>
                      <w:szCs w:val="21"/>
                      <w14:textFill>
                        <w14:solidFill>
                          <w14:schemeClr w14:val="tx1"/>
                        </w14:solidFill>
                      </w14:textFill>
                    </w:rPr>
                    <w:t>9</w:t>
                  </w:r>
                </w:p>
              </w:tc>
              <w:tc>
                <w:tcPr>
                  <w:tcW w:w="807" w:type="dxa"/>
                  <w:tcBorders>
                    <w:tl2br w:val="nil"/>
                    <w:tr2bl w:val="nil"/>
                  </w:tcBorders>
                  <w:vAlign w:val="center"/>
                </w:tcPr>
                <w:p w14:paraId="7D3C00D1">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14</w:t>
                  </w:r>
                </w:p>
              </w:tc>
              <w:tc>
                <w:tcPr>
                  <w:tcW w:w="892" w:type="dxa"/>
                  <w:tcBorders>
                    <w:tl2br w:val="nil"/>
                    <w:tr2bl w:val="nil"/>
                  </w:tcBorders>
                  <w:vAlign w:val="center"/>
                </w:tcPr>
                <w:p w14:paraId="58BD3F66">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2.8</w:t>
                  </w:r>
                </w:p>
              </w:tc>
              <w:tc>
                <w:tcPr>
                  <w:tcW w:w="985" w:type="dxa"/>
                  <w:tcBorders>
                    <w:tl2br w:val="nil"/>
                    <w:tr2bl w:val="nil"/>
                  </w:tcBorders>
                  <w:vAlign w:val="center"/>
                </w:tcPr>
                <w:p w14:paraId="7F88FA5E">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0.64</w:t>
                  </w:r>
                </w:p>
              </w:tc>
              <w:tc>
                <w:tcPr>
                  <w:tcW w:w="778" w:type="dxa"/>
                  <w:tcBorders>
                    <w:right w:val="single" w:color="000000" w:sz="4" w:space="0"/>
                    <w:tl2br w:val="nil"/>
                    <w:tr2bl w:val="nil"/>
                  </w:tcBorders>
                  <w:vAlign w:val="center"/>
                </w:tcPr>
                <w:p w14:paraId="291EC3B0">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0.137</w:t>
                  </w:r>
                </w:p>
              </w:tc>
            </w:tr>
            <w:tr w14:paraId="79617C3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534" w:type="dxa"/>
                  <w:gridSpan w:val="2"/>
                  <w:tcBorders>
                    <w:left w:val="single" w:color="000000" w:sz="4" w:space="0"/>
                    <w:tl2br w:val="nil"/>
                    <w:tr2bl w:val="nil"/>
                  </w:tcBorders>
                  <w:vAlign w:val="center"/>
                </w:tcPr>
                <w:p w14:paraId="571ACDD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Ⅲ</w:t>
                  </w:r>
                  <w:r>
                    <w:rPr>
                      <w:rFonts w:ascii="Times New Roman" w:hAnsi="Times New Roman"/>
                      <w:color w:val="000000" w:themeColor="text1"/>
                      <w:spacing w:val="9"/>
                      <w:sz w:val="21"/>
                      <w:szCs w:val="21"/>
                      <w14:textFill>
                        <w14:solidFill>
                          <w14:schemeClr w14:val="tx1"/>
                        </w14:solidFill>
                      </w14:textFill>
                    </w:rPr>
                    <w:t>类标准限值</w:t>
                  </w:r>
                </w:p>
              </w:tc>
              <w:tc>
                <w:tcPr>
                  <w:tcW w:w="821" w:type="dxa"/>
                  <w:tcBorders>
                    <w:tl2br w:val="nil"/>
                    <w:tr2bl w:val="nil"/>
                  </w:tcBorders>
                  <w:vAlign w:val="center"/>
                </w:tcPr>
                <w:p w14:paraId="1DF5B01A">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3"/>
                      <w:sz w:val="21"/>
                      <w:szCs w:val="21"/>
                      <w14:textFill>
                        <w14:solidFill>
                          <w14:schemeClr w14:val="tx1"/>
                        </w14:solidFill>
                      </w14:textFill>
                    </w:rPr>
                    <w:t>mg</w:t>
                  </w:r>
                  <w:r>
                    <w:rPr>
                      <w:rFonts w:ascii="Times New Roman" w:hAnsi="Times New Roman" w:cs="Times New Roman"/>
                      <w:color w:val="000000" w:themeColor="text1"/>
                      <w:spacing w:val="18"/>
                      <w:position w:val="3"/>
                      <w:sz w:val="21"/>
                      <w:szCs w:val="21"/>
                      <w14:textFill>
                        <w14:solidFill>
                          <w14:schemeClr w14:val="tx1"/>
                        </w14:solidFill>
                      </w14:textFill>
                    </w:rPr>
                    <w:t>/</w:t>
                  </w:r>
                  <w:r>
                    <w:rPr>
                      <w:rFonts w:ascii="Times New Roman" w:hAnsi="Times New Roman" w:cs="Times New Roman"/>
                      <w:color w:val="000000" w:themeColor="text1"/>
                      <w:position w:val="3"/>
                      <w:sz w:val="21"/>
                      <w:szCs w:val="21"/>
                      <w14:textFill>
                        <w14:solidFill>
                          <w14:schemeClr w14:val="tx1"/>
                        </w14:solidFill>
                      </w14:textFill>
                    </w:rPr>
                    <w:t>L</w:t>
                  </w:r>
                </w:p>
              </w:tc>
              <w:tc>
                <w:tcPr>
                  <w:tcW w:w="891" w:type="dxa"/>
                  <w:tcBorders>
                    <w:tl2br w:val="nil"/>
                    <w:tr2bl w:val="nil"/>
                  </w:tcBorders>
                  <w:vAlign w:val="center"/>
                </w:tcPr>
                <w:p w14:paraId="46F7C8E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6~</w:t>
                  </w:r>
                  <w:r>
                    <w:rPr>
                      <w:rFonts w:ascii="Times New Roman" w:hAnsi="Times New Roman" w:cs="Times New Roman"/>
                      <w:color w:val="000000" w:themeColor="text1"/>
                      <w:spacing w:val="1"/>
                      <w:sz w:val="21"/>
                      <w:szCs w:val="21"/>
                      <w14:textFill>
                        <w14:solidFill>
                          <w14:schemeClr w14:val="tx1"/>
                        </w14:solidFill>
                      </w14:textFill>
                    </w:rPr>
                    <w:t>9</w:t>
                  </w:r>
                </w:p>
              </w:tc>
              <w:tc>
                <w:tcPr>
                  <w:tcW w:w="807" w:type="dxa"/>
                  <w:tcBorders>
                    <w:tl2br w:val="nil"/>
                    <w:tr2bl w:val="nil"/>
                  </w:tcBorders>
                  <w:vAlign w:val="center"/>
                </w:tcPr>
                <w:p w14:paraId="13B0E395">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2</w:t>
                  </w:r>
                  <w:r>
                    <w:rPr>
                      <w:rFonts w:ascii="Times New Roman" w:hAnsi="Times New Roman" w:cs="Times New Roman"/>
                      <w:color w:val="000000" w:themeColor="text1"/>
                      <w:spacing w:val="2"/>
                      <w:sz w:val="21"/>
                      <w:szCs w:val="21"/>
                      <w14:textFill>
                        <w14:solidFill>
                          <w14:schemeClr w14:val="tx1"/>
                        </w14:solidFill>
                      </w14:textFill>
                    </w:rPr>
                    <w:t>0</w:t>
                  </w:r>
                </w:p>
              </w:tc>
              <w:tc>
                <w:tcPr>
                  <w:tcW w:w="892" w:type="dxa"/>
                  <w:tcBorders>
                    <w:tl2br w:val="nil"/>
                    <w:tr2bl w:val="nil"/>
                  </w:tcBorders>
                  <w:vAlign w:val="center"/>
                </w:tcPr>
                <w:p w14:paraId="25A833C1">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
                      <w:sz w:val="21"/>
                      <w:szCs w:val="21"/>
                      <w14:textFill>
                        <w14:solidFill>
                          <w14:schemeClr w14:val="tx1"/>
                        </w14:solidFill>
                      </w14:textFill>
                    </w:rPr>
                    <w:t>4</w:t>
                  </w:r>
                </w:p>
              </w:tc>
              <w:tc>
                <w:tcPr>
                  <w:tcW w:w="985" w:type="dxa"/>
                  <w:tcBorders>
                    <w:tl2br w:val="nil"/>
                    <w:tr2bl w:val="nil"/>
                  </w:tcBorders>
                  <w:vAlign w:val="center"/>
                </w:tcPr>
                <w:p w14:paraId="751454D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1.0</w:t>
                  </w:r>
                </w:p>
              </w:tc>
              <w:tc>
                <w:tcPr>
                  <w:tcW w:w="778" w:type="dxa"/>
                  <w:tcBorders>
                    <w:right w:val="single" w:color="000000" w:sz="4" w:space="0"/>
                    <w:tl2br w:val="nil"/>
                    <w:tr2bl w:val="nil"/>
                  </w:tcBorders>
                  <w:vAlign w:val="center"/>
                </w:tcPr>
                <w:p w14:paraId="6BCFB39D">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0.</w:t>
                  </w:r>
                  <w:r>
                    <w:rPr>
                      <w:rFonts w:ascii="Times New Roman" w:hAnsi="Times New Roman" w:cs="Times New Roman"/>
                      <w:color w:val="000000" w:themeColor="text1"/>
                      <w:spacing w:val="1"/>
                      <w:sz w:val="21"/>
                      <w:szCs w:val="21"/>
                      <w14:textFill>
                        <w14:solidFill>
                          <w14:schemeClr w14:val="tx1"/>
                        </w14:solidFill>
                      </w14:textFill>
                    </w:rPr>
                    <w:t>2</w:t>
                  </w:r>
                </w:p>
              </w:tc>
            </w:tr>
            <w:tr w14:paraId="7DE8B77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534" w:type="dxa"/>
                  <w:gridSpan w:val="2"/>
                  <w:tcBorders>
                    <w:left w:val="single" w:color="000000" w:sz="4" w:space="0"/>
                    <w:tl2br w:val="nil"/>
                    <w:tr2bl w:val="nil"/>
                  </w:tcBorders>
                  <w:vAlign w:val="center"/>
                </w:tcPr>
                <w:p w14:paraId="5750DEE1">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7"/>
                      <w:sz w:val="21"/>
                      <w:szCs w:val="21"/>
                      <w14:textFill>
                        <w14:solidFill>
                          <w14:schemeClr w14:val="tx1"/>
                        </w14:solidFill>
                      </w14:textFill>
                    </w:rPr>
                    <w:t>超标率</w:t>
                  </w:r>
                </w:p>
              </w:tc>
              <w:tc>
                <w:tcPr>
                  <w:tcW w:w="821" w:type="dxa"/>
                  <w:tcBorders>
                    <w:tl2br w:val="nil"/>
                    <w:tr2bl w:val="nil"/>
                  </w:tcBorders>
                  <w:vAlign w:val="center"/>
                </w:tcPr>
                <w:p w14:paraId="063724F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position w:val="2"/>
                      <w:sz w:val="21"/>
                      <w:szCs w:val="21"/>
                      <w14:textFill>
                        <w14:solidFill>
                          <w14:schemeClr w14:val="tx1"/>
                        </w14:solidFill>
                      </w14:textFill>
                    </w:rPr>
                    <w:t>%</w:t>
                  </w:r>
                </w:p>
              </w:tc>
              <w:tc>
                <w:tcPr>
                  <w:tcW w:w="891" w:type="dxa"/>
                  <w:tcBorders>
                    <w:tl2br w:val="nil"/>
                    <w:tr2bl w:val="nil"/>
                  </w:tcBorders>
                  <w:vAlign w:val="center"/>
                </w:tcPr>
                <w:p w14:paraId="749B7534">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807" w:type="dxa"/>
                  <w:tcBorders>
                    <w:tl2br w:val="nil"/>
                    <w:tr2bl w:val="nil"/>
                  </w:tcBorders>
                  <w:vAlign w:val="center"/>
                </w:tcPr>
                <w:p w14:paraId="5AD0A857">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892" w:type="dxa"/>
                  <w:tcBorders>
                    <w:tl2br w:val="nil"/>
                    <w:tr2bl w:val="nil"/>
                  </w:tcBorders>
                  <w:vAlign w:val="center"/>
                </w:tcPr>
                <w:p w14:paraId="5AA99B7F">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985" w:type="dxa"/>
                  <w:tcBorders>
                    <w:tl2br w:val="nil"/>
                    <w:tr2bl w:val="nil"/>
                  </w:tcBorders>
                  <w:vAlign w:val="center"/>
                </w:tcPr>
                <w:p w14:paraId="01E9C54C">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778" w:type="dxa"/>
                  <w:tcBorders>
                    <w:right w:val="single" w:color="000000" w:sz="4" w:space="0"/>
                    <w:tl2br w:val="nil"/>
                    <w:tr2bl w:val="nil"/>
                  </w:tcBorders>
                  <w:vAlign w:val="center"/>
                </w:tcPr>
                <w:p w14:paraId="57DA7F43">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6EB3B2C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355" w:type="dxa"/>
                  <w:gridSpan w:val="3"/>
                  <w:tcBorders>
                    <w:left w:val="single" w:color="000000" w:sz="4" w:space="0"/>
                    <w:bottom w:val="single" w:color="000000" w:sz="4" w:space="0"/>
                    <w:tl2br w:val="nil"/>
                    <w:tr2bl w:val="nil"/>
                  </w:tcBorders>
                  <w:vAlign w:val="center"/>
                </w:tcPr>
                <w:p w14:paraId="3ED61FB8">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9"/>
                      <w:sz w:val="21"/>
                      <w:szCs w:val="21"/>
                      <w14:textFill>
                        <w14:solidFill>
                          <w14:schemeClr w14:val="tx1"/>
                        </w14:solidFill>
                      </w14:textFill>
                    </w:rPr>
                    <w:t>达</w:t>
                  </w:r>
                  <w:r>
                    <w:rPr>
                      <w:rFonts w:ascii="Times New Roman" w:hAnsi="Times New Roman"/>
                      <w:color w:val="000000" w:themeColor="text1"/>
                      <w:spacing w:val="7"/>
                      <w:sz w:val="21"/>
                      <w:szCs w:val="21"/>
                      <w14:textFill>
                        <w14:solidFill>
                          <w14:schemeClr w14:val="tx1"/>
                        </w14:solidFill>
                      </w14:textFill>
                    </w:rPr>
                    <w:t>标情况</w:t>
                  </w:r>
                </w:p>
              </w:tc>
              <w:tc>
                <w:tcPr>
                  <w:tcW w:w="891" w:type="dxa"/>
                  <w:tcBorders>
                    <w:bottom w:val="single" w:color="000000" w:sz="4" w:space="0"/>
                    <w:tl2br w:val="nil"/>
                    <w:tr2bl w:val="nil"/>
                  </w:tcBorders>
                  <w:vAlign w:val="center"/>
                </w:tcPr>
                <w:p w14:paraId="1D236DB0">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807" w:type="dxa"/>
                  <w:tcBorders>
                    <w:bottom w:val="single" w:color="000000" w:sz="4" w:space="0"/>
                    <w:tl2br w:val="nil"/>
                    <w:tr2bl w:val="nil"/>
                  </w:tcBorders>
                  <w:vAlign w:val="center"/>
                </w:tcPr>
                <w:p w14:paraId="066F0C75">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892" w:type="dxa"/>
                  <w:tcBorders>
                    <w:bottom w:val="single" w:color="000000" w:sz="4" w:space="0"/>
                    <w:tl2br w:val="nil"/>
                    <w:tr2bl w:val="nil"/>
                  </w:tcBorders>
                  <w:vAlign w:val="center"/>
                </w:tcPr>
                <w:p w14:paraId="11876968">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985" w:type="dxa"/>
                  <w:tcBorders>
                    <w:bottom w:val="single" w:color="000000" w:sz="4" w:space="0"/>
                    <w:tl2br w:val="nil"/>
                    <w:tr2bl w:val="nil"/>
                  </w:tcBorders>
                  <w:vAlign w:val="center"/>
                </w:tcPr>
                <w:p w14:paraId="45B09F9A">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c>
                <w:tcPr>
                  <w:tcW w:w="778" w:type="dxa"/>
                  <w:tcBorders>
                    <w:bottom w:val="single" w:color="000000" w:sz="4" w:space="0"/>
                    <w:right w:val="single" w:color="000000" w:sz="4" w:space="0"/>
                    <w:tl2br w:val="nil"/>
                    <w:tr2bl w:val="nil"/>
                  </w:tcBorders>
                  <w:vAlign w:val="center"/>
                </w:tcPr>
                <w:p w14:paraId="208A83F2">
                  <w:pPr>
                    <w:keepNext w:val="0"/>
                    <w:keepLines w:val="0"/>
                    <w:pageBreakBefore w:val="0"/>
                    <w:widowControl w:val="0"/>
                    <w:kinsoku/>
                    <w:wordWrap/>
                    <w:overflowPunct/>
                    <w:topLinePunct w:val="0"/>
                    <w:autoSpaceDE w:val="0"/>
                    <w:autoSpaceDN w:val="0"/>
                    <w:bidi w:val="0"/>
                    <w:adjustRightInd/>
                    <w:snapToGrid/>
                    <w:spacing w:line="36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pacing w:val="5"/>
                      <w:sz w:val="21"/>
                      <w:szCs w:val="21"/>
                      <w14:textFill>
                        <w14:solidFill>
                          <w14:schemeClr w14:val="tx1"/>
                        </w14:solidFill>
                      </w14:textFill>
                    </w:rPr>
                    <w:t>达标</w:t>
                  </w:r>
                </w:p>
              </w:tc>
            </w:tr>
          </w:tbl>
          <w:p w14:paraId="4F318097">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宋体"/>
                <w:sz w:val="24"/>
                <w:szCs w:val="20"/>
                <w:u w:val="none" w:color="auto"/>
              </w:rPr>
            </w:pPr>
            <w:r>
              <w:rPr>
                <w:rFonts w:hint="default" w:ascii="Times New Roman" w:hAnsi="Times New Roman"/>
                <w:sz w:val="24"/>
                <w:szCs w:val="20"/>
              </w:rPr>
              <w:t>由表</w:t>
            </w:r>
            <w:r>
              <w:rPr>
                <w:rFonts w:hint="eastAsia" w:ascii="Times New Roman" w:hAnsi="Times New Roman"/>
                <w:sz w:val="24"/>
                <w:szCs w:val="20"/>
                <w:lang w:val="en-US" w:eastAsia="zh-CN"/>
              </w:rPr>
              <w:t>3-2</w:t>
            </w:r>
            <w:r>
              <w:rPr>
                <w:rFonts w:hint="default" w:ascii="Times New Roman" w:hAnsi="Times New Roman"/>
                <w:sz w:val="24"/>
                <w:szCs w:val="20"/>
              </w:rPr>
              <w:t>可知，清潩河高村桥断面地表水环境质量满足《地表水环境质量标准》</w:t>
            </w:r>
            <w:r>
              <w:rPr>
                <w:rFonts w:hint="eastAsia" w:ascii="Times New Roman" w:hAnsi="Times New Roman"/>
                <w:sz w:val="24"/>
                <w:szCs w:val="20"/>
              </w:rPr>
              <w:t>（</w:t>
            </w:r>
            <w:r>
              <w:rPr>
                <w:rFonts w:hint="default" w:ascii="Times New Roman" w:hAnsi="Times New Roman"/>
                <w:sz w:val="24"/>
                <w:szCs w:val="20"/>
              </w:rPr>
              <w:t>GB3838-2002</w:t>
            </w:r>
            <w:r>
              <w:rPr>
                <w:rFonts w:hint="eastAsia" w:ascii="Times New Roman" w:hAnsi="Times New Roman"/>
                <w:sz w:val="24"/>
                <w:szCs w:val="20"/>
              </w:rPr>
              <w:t>）Ⅲ</w:t>
            </w:r>
            <w:r>
              <w:rPr>
                <w:rFonts w:hint="default" w:ascii="Times New Roman" w:hAnsi="Times New Roman"/>
                <w:sz w:val="24"/>
                <w:szCs w:val="20"/>
              </w:rPr>
              <w:t>类标准要求，区域地表水环境质量较好。</w:t>
            </w:r>
          </w:p>
          <w:p w14:paraId="2EF065B1">
            <w:pPr>
              <w:pStyle w:val="13"/>
              <w:widowControl w:val="0"/>
              <w:wordWrap/>
              <w:autoSpaceDE w:val="0"/>
              <w:autoSpaceDN w:val="0"/>
              <w:adjustRightInd w:val="0"/>
              <w:snapToGrid/>
              <w:spacing w:beforeAutospacing="0" w:afterAutospacing="0" w:line="520" w:lineRule="exact"/>
              <w:ind w:firstLine="482" w:firstLineChars="200"/>
              <w:jc w:val="both"/>
              <w:textAlignment w:val="auto"/>
              <w:rPr>
                <w:rFonts w:hint="default" w:ascii="Times New Roman" w:hAnsi="Times New Roman" w:cs="Times New Roman"/>
                <w:b/>
                <w:bCs/>
                <w:sz w:val="24"/>
                <w:szCs w:val="20"/>
                <w:u w:val="none" w:color="auto"/>
              </w:rPr>
            </w:pPr>
            <w:r>
              <w:rPr>
                <w:rFonts w:hint="eastAsia" w:ascii="Times New Roman" w:hAnsi="Times New Roman" w:cs="Times New Roman"/>
                <w:b/>
                <w:bCs/>
                <w:sz w:val="24"/>
                <w:szCs w:val="20"/>
                <w:u w:val="none" w:color="auto"/>
                <w:lang w:val="en-US" w:eastAsia="zh-CN"/>
              </w:rPr>
              <w:t>三</w:t>
            </w:r>
            <w:r>
              <w:rPr>
                <w:rFonts w:hint="eastAsia" w:ascii="Times New Roman" w:hAnsi="Times New Roman" w:cs="Times New Roman"/>
                <w:b/>
                <w:bCs/>
                <w:sz w:val="24"/>
                <w:szCs w:val="20"/>
                <w:u w:val="none" w:color="auto"/>
                <w:lang w:eastAsia="zh-CN"/>
              </w:rPr>
              <w:t>、</w:t>
            </w:r>
            <w:r>
              <w:rPr>
                <w:rFonts w:hint="default" w:ascii="Times New Roman" w:hAnsi="Times New Roman" w:cs="Times New Roman"/>
                <w:b/>
                <w:bCs/>
                <w:sz w:val="24"/>
                <w:szCs w:val="20"/>
                <w:u w:val="none" w:color="auto"/>
              </w:rPr>
              <w:t>环境噪声</w:t>
            </w:r>
          </w:p>
          <w:p w14:paraId="6CC7E1B5">
            <w:pPr>
              <w:pStyle w:val="8"/>
              <w:widowControl w:val="0"/>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spacing w:val="2"/>
                <w:kern w:val="0"/>
                <w:sz w:val="24"/>
                <w:szCs w:val="24"/>
                <w:u w:val="none" w:color="auto"/>
                <w:lang w:val="en-US" w:eastAsia="zh-CN" w:bidi="zh-CN"/>
              </w:rPr>
            </w:pPr>
            <w:r>
              <w:rPr>
                <w:rFonts w:hint="eastAsia" w:ascii="Times New Roman" w:hAnsi="Times New Roman" w:eastAsia="宋体" w:cs="黑体"/>
                <w:spacing w:val="2"/>
                <w:kern w:val="0"/>
                <w:sz w:val="24"/>
                <w:szCs w:val="24"/>
                <w:u w:val="none" w:color="auto"/>
                <w:lang w:val="en-US" w:eastAsia="zh-CN" w:bidi="zh-CN"/>
              </w:rPr>
              <w:t>根据《许昌市人民政府关于印发许昌市声环境功能区调整方案（2021）的通知》（许政〔2022〕46号），本项目所在区域声环境功能区划为3类，应执行《声环境质量标准》（GB3096-2008）中规定的3类功能区标准。</w:t>
            </w:r>
            <w:r>
              <w:rPr>
                <w:rFonts w:hint="default" w:ascii="Times New Roman" w:hAnsi="Times New Roman" w:eastAsia="宋体" w:cs="黑体"/>
                <w:spacing w:val="2"/>
                <w:kern w:val="0"/>
                <w:sz w:val="24"/>
                <w:szCs w:val="24"/>
                <w:u w:val="none" w:color="auto"/>
                <w:lang w:val="en-US" w:eastAsia="zh-CN" w:bidi="zh-CN"/>
              </w:rPr>
              <w:t>根据现场踏勘，</w:t>
            </w:r>
            <w:r>
              <w:rPr>
                <w:rFonts w:hint="eastAsia" w:ascii="Times New Roman" w:hAnsi="Times New Roman" w:eastAsia="宋体" w:cs="黑体"/>
                <w:spacing w:val="2"/>
                <w:kern w:val="0"/>
                <w:sz w:val="24"/>
                <w:szCs w:val="24"/>
                <w:u w:val="none" w:color="auto"/>
                <w:lang w:val="en-US" w:eastAsia="zh-CN" w:bidi="zh-CN"/>
              </w:rPr>
              <w:t>项目周围50m范围内无声环境敏感点，故未进行声环境现状监测。</w:t>
            </w:r>
          </w:p>
          <w:p w14:paraId="07319043">
            <w:pPr>
              <w:wordWrap/>
              <w:adjustRightInd w:val="0"/>
              <w:snapToGrid w:val="0"/>
              <w:spacing w:beforeAutospacing="0" w:afterAutospacing="0" w:line="520" w:lineRule="exact"/>
              <w:ind w:firstLine="482" w:firstLineChars="200"/>
              <w:textAlignment w:val="auto"/>
              <w:rPr>
                <w:rFonts w:hint="default" w:ascii="Times New Roman" w:hAnsi="Times New Roman" w:cs="Times New Roman"/>
                <w:b/>
                <w:bCs/>
                <w:color w:val="000000"/>
                <w:sz w:val="24"/>
                <w:szCs w:val="24"/>
                <w:u w:val="none" w:color="auto"/>
                <w:lang w:val="en-US" w:eastAsia="zh-CN"/>
              </w:rPr>
            </w:pPr>
            <w:r>
              <w:rPr>
                <w:rFonts w:hint="eastAsia" w:ascii="Times New Roman" w:hAnsi="Times New Roman" w:cs="Times New Roman"/>
                <w:b/>
                <w:bCs/>
                <w:color w:val="000000"/>
                <w:sz w:val="24"/>
                <w:szCs w:val="24"/>
                <w:u w:val="none" w:color="auto"/>
                <w:lang w:val="en-US" w:eastAsia="zh-CN"/>
              </w:rPr>
              <w:t>四、地下水、土壤环境</w:t>
            </w:r>
          </w:p>
          <w:p w14:paraId="0D33CE6C">
            <w:pPr>
              <w:widowControl/>
              <w:wordWrap/>
              <w:spacing w:beforeAutospacing="0" w:afterAutospacing="0" w:line="520" w:lineRule="exact"/>
              <w:ind w:firstLine="488" w:firstLineChars="200"/>
              <w:jc w:val="left"/>
              <w:textAlignment w:val="auto"/>
              <w:rPr>
                <w:rFonts w:hint="default" w:ascii="Times New Roman" w:hAnsi="Times New Roman" w:cs="Times New Roman"/>
                <w:sz w:val="20"/>
                <w:szCs w:val="20"/>
                <w:u w:val="none" w:color="auto"/>
              </w:rPr>
            </w:pPr>
            <w:r>
              <w:rPr>
                <w:rFonts w:hint="eastAsia" w:ascii="Times New Roman" w:hAnsi="Times New Roman" w:cs="黑体"/>
                <w:spacing w:val="2"/>
                <w:sz w:val="24"/>
                <w:szCs w:val="24"/>
                <w:u w:val="none" w:color="auto"/>
                <w:lang w:val="en-US" w:eastAsia="zh-CN" w:bidi="zh-CN"/>
              </w:rPr>
              <w:t>根据行业分析，项目无地下水和土壤污染途径，不再开展地下水和土壤污染调查。</w:t>
            </w:r>
          </w:p>
          <w:p w14:paraId="30F8929A">
            <w:pPr>
              <w:pStyle w:val="10"/>
              <w:widowControl w:val="0"/>
              <w:wordWrap/>
              <w:adjustRightInd/>
              <w:snapToGrid/>
              <w:spacing w:beforeAutospacing="0" w:afterAutospacing="0" w:line="520" w:lineRule="exact"/>
              <w:ind w:firstLine="482" w:firstLineChars="200"/>
              <w:textAlignment w:val="auto"/>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五</w:t>
            </w:r>
            <w:r>
              <w:rPr>
                <w:rFonts w:hint="eastAsia" w:ascii="Times New Roman" w:hAnsi="Times New Roman" w:eastAsia="宋体" w:cs="Times New Roman"/>
                <w:b/>
                <w:bCs/>
                <w:sz w:val="24"/>
                <w:szCs w:val="24"/>
                <w:u w:val="none" w:color="auto"/>
                <w:lang w:eastAsia="zh-CN"/>
              </w:rPr>
              <w:t>、</w:t>
            </w:r>
            <w:r>
              <w:rPr>
                <w:rFonts w:hint="default" w:ascii="Times New Roman" w:hAnsi="Times New Roman" w:eastAsia="宋体" w:cs="Times New Roman"/>
                <w:b/>
                <w:bCs/>
                <w:sz w:val="24"/>
                <w:szCs w:val="24"/>
                <w:u w:val="none" w:color="auto"/>
              </w:rPr>
              <w:t>生态环境状况</w:t>
            </w:r>
          </w:p>
          <w:p w14:paraId="7A823450">
            <w:pPr>
              <w:wordWrap/>
              <w:spacing w:beforeAutospacing="0" w:afterAutospacing="0" w:line="520" w:lineRule="exact"/>
              <w:ind w:firstLine="480" w:firstLineChars="200"/>
              <w:jc w:val="both"/>
              <w:textAlignment w:val="auto"/>
              <w:rPr>
                <w:rFonts w:hint="default" w:ascii="Times New Roman" w:hAnsi="Times New Roman" w:cs="Times New Roman"/>
                <w:sz w:val="21"/>
                <w:szCs w:val="20"/>
                <w:u w:val="none" w:color="auto"/>
              </w:rPr>
            </w:pPr>
            <w:r>
              <w:rPr>
                <w:rFonts w:hint="default" w:ascii="Times New Roman" w:hAnsi="Times New Roman" w:eastAsia="宋体" w:cs="宋体"/>
                <w:sz w:val="24"/>
                <w:szCs w:val="20"/>
                <w:u w:val="none" w:color="auto"/>
              </w:rPr>
              <w:t>本项目位于</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河南省许昌市魏都区滨河路与万通路交叉口先进制造业开发区2号</w:t>
            </w:r>
            <w:r>
              <w:rPr>
                <w:rFonts w:hint="eastAsia" w:ascii="Times New Roman" w:hAnsi="Times New Roman" w:cs="Times New Roman"/>
                <w:color w:val="000000" w:themeColor="text1"/>
                <w:sz w:val="24"/>
                <w:szCs w:val="24"/>
                <w:u w:val="none"/>
                <w:lang w:val="en-US" w:eastAsia="zh-CN"/>
                <w14:textFill>
                  <w14:solidFill>
                    <w14:schemeClr w14:val="tx1"/>
                  </w14:solidFill>
                </w14:textFill>
              </w:rPr>
              <w:t>（许昌宜航卫生用品有限公司院内）</w:t>
            </w:r>
            <w:r>
              <w:rPr>
                <w:rFonts w:hint="eastAsia" w:ascii="Times New Roman" w:hAnsi="Times New Roman" w:cs="Times New Roman"/>
                <w:color w:val="000000"/>
                <w:sz w:val="24"/>
                <w:szCs w:val="24"/>
                <w:u w:val="none" w:color="auto"/>
                <w:lang w:eastAsia="zh-CN"/>
              </w:rPr>
              <w:t>，</w:t>
            </w:r>
            <w:r>
              <w:rPr>
                <w:rFonts w:hint="eastAsia" w:ascii="Times New Roman" w:hAnsi="Times New Roman" w:cs="Times New Roman"/>
                <w:color w:val="000000"/>
                <w:sz w:val="24"/>
                <w:szCs w:val="24"/>
                <w:u w:val="none" w:color="auto"/>
                <w:lang w:val="en-US" w:eastAsia="zh-CN"/>
              </w:rPr>
              <w:t>属于许昌魏都区先进制造业开发区。</w:t>
            </w:r>
            <w:r>
              <w:rPr>
                <w:rFonts w:hint="default" w:ascii="Times New Roman" w:hAnsi="Times New Roman" w:cs="Times New Roman"/>
                <w:color w:val="000000"/>
                <w:sz w:val="24"/>
                <w:szCs w:val="24"/>
                <w:u w:val="none" w:color="auto"/>
                <w:lang w:eastAsia="zh-CN"/>
              </w:rPr>
              <w:t>项</w:t>
            </w:r>
            <w:r>
              <w:rPr>
                <w:rFonts w:hint="default" w:ascii="Times New Roman" w:hAnsi="Times New Roman" w:eastAsia="宋体" w:cs="Times New Roman"/>
                <w:kern w:val="0"/>
                <w:sz w:val="24"/>
                <w:szCs w:val="24"/>
                <w:u w:val="none" w:color="auto"/>
              </w:rPr>
              <w:t>目周围以</w:t>
            </w:r>
            <w:r>
              <w:rPr>
                <w:rFonts w:hint="eastAsia" w:ascii="Times New Roman" w:hAnsi="Times New Roman" w:cs="Times New Roman"/>
                <w:kern w:val="0"/>
                <w:sz w:val="24"/>
                <w:szCs w:val="24"/>
                <w:u w:val="none" w:color="auto"/>
                <w:lang w:eastAsia="zh-CN"/>
              </w:rPr>
              <w:t>城市</w:t>
            </w:r>
            <w:r>
              <w:rPr>
                <w:rFonts w:hint="default" w:ascii="Times New Roman" w:hAnsi="Times New Roman" w:eastAsia="宋体" w:cs="Times New Roman"/>
                <w:kern w:val="0"/>
                <w:sz w:val="24"/>
                <w:szCs w:val="24"/>
                <w:u w:val="none" w:color="auto"/>
              </w:rPr>
              <w:t>生态系统为主，生态结构相对简单。树木以人工种植林为主。区域内没有大型哺乳类野生动物，也没有国家和地方重点保护的珍稀濒危动物，不属于特殊保护地区、社会关注地区、生态脆弱区和特殊地貌景观区。区域气候和土壤条件适宜植物生长，生态环境良好。</w:t>
            </w:r>
          </w:p>
        </w:tc>
      </w:tr>
      <w:tr w14:paraId="1E9CA8E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14:paraId="141EC136">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1"/>
                <w:szCs w:val="20"/>
                <w:u w:val="none" w:color="auto"/>
              </w:rPr>
            </w:pPr>
            <w:r>
              <w:rPr>
                <w:rFonts w:hint="default" w:ascii="Times New Roman" w:hAnsi="Times New Roman" w:cs="Times New Roman"/>
                <w:sz w:val="24"/>
                <w:szCs w:val="24"/>
                <w:u w:val="none" w:color="auto"/>
              </w:rPr>
              <w:t>环境保护目标</w:t>
            </w:r>
          </w:p>
        </w:tc>
        <w:tc>
          <w:tcPr>
            <w:tcW w:w="7723" w:type="dxa"/>
            <w:tcBorders>
              <w:top w:val="single" w:color="000000" w:sz="4" w:space="0"/>
              <w:left w:val="single" w:color="000000" w:sz="4" w:space="0"/>
              <w:bottom w:val="single" w:color="000000" w:sz="4" w:space="0"/>
            </w:tcBorders>
            <w:vAlign w:val="center"/>
          </w:tcPr>
          <w:p w14:paraId="11D4E1B7">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宋体" w:cs="宋体"/>
                <w:b/>
                <w:bCs/>
                <w:sz w:val="24"/>
                <w:szCs w:val="20"/>
                <w:u w:val="none" w:color="auto"/>
                <w:lang w:val="en-US" w:eastAsia="zh-CN"/>
              </w:rPr>
            </w:pPr>
            <w:r>
              <w:rPr>
                <w:rFonts w:hint="default" w:ascii="Times New Roman" w:hAnsi="Times New Roman" w:eastAsia="黑体" w:cs="宋体"/>
                <w:b w:val="0"/>
                <w:bCs w:val="0"/>
                <w:sz w:val="24"/>
                <w:szCs w:val="20"/>
                <w:u w:val="none" w:color="auto"/>
                <w:lang w:val="en-US" w:eastAsia="zh-CN"/>
              </w:rPr>
              <w:t>表</w:t>
            </w:r>
            <w:r>
              <w:rPr>
                <w:rFonts w:hint="eastAsia" w:ascii="Times New Roman" w:hAnsi="Times New Roman" w:eastAsia="黑体" w:cs="宋体"/>
                <w:b w:val="0"/>
                <w:bCs w:val="0"/>
                <w:sz w:val="24"/>
                <w:szCs w:val="20"/>
                <w:u w:val="none" w:color="auto"/>
                <w:lang w:val="en-US" w:eastAsia="zh-CN"/>
              </w:rPr>
              <w:t>3-3</w:t>
            </w:r>
            <w:r>
              <w:rPr>
                <w:rFonts w:hint="default" w:ascii="Times New Roman" w:hAnsi="Times New Roman" w:eastAsia="黑体" w:cs="宋体"/>
                <w:b w:val="0"/>
                <w:bCs w:val="0"/>
                <w:sz w:val="24"/>
                <w:szCs w:val="20"/>
                <w:u w:val="none" w:color="auto"/>
                <w:lang w:val="en-US" w:eastAsia="zh-CN"/>
              </w:rPr>
              <w:t xml:space="preserve">  主要环境保护目标</w:t>
            </w:r>
          </w:p>
          <w:tbl>
            <w:tblPr>
              <w:tblStyle w:val="23"/>
              <w:tblW w:w="77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83"/>
              <w:gridCol w:w="1450"/>
              <w:gridCol w:w="548"/>
              <w:gridCol w:w="666"/>
              <w:gridCol w:w="1227"/>
              <w:gridCol w:w="882"/>
              <w:gridCol w:w="2349"/>
            </w:tblGrid>
            <w:tr w14:paraId="5D927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83" w:type="dxa"/>
                  <w:tcBorders>
                    <w:top w:val="single" w:color="000040" w:sz="4" w:space="0"/>
                    <w:left w:val="single" w:color="auto" w:sz="0" w:space="0"/>
                    <w:bottom w:val="single" w:color="000040" w:sz="4" w:space="0"/>
                    <w:right w:val="single" w:color="000040" w:sz="4" w:space="0"/>
                    <w:tl2br w:val="nil"/>
                    <w:tr2bl w:val="nil"/>
                  </w:tcBorders>
                  <w:vAlign w:val="center"/>
                </w:tcPr>
                <w:p w14:paraId="4713FD0B">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环境要素</w:t>
                  </w:r>
                </w:p>
              </w:tc>
              <w:tc>
                <w:tcPr>
                  <w:tcW w:w="1450" w:type="dxa"/>
                  <w:tcBorders>
                    <w:top w:val="single" w:color="000040" w:sz="4" w:space="0"/>
                    <w:left w:val="single" w:color="000040" w:sz="4" w:space="0"/>
                    <w:bottom w:val="single" w:color="000040" w:sz="4" w:space="0"/>
                    <w:right w:val="single" w:color="000040" w:sz="4" w:space="0"/>
                    <w:tl2br w:val="nil"/>
                    <w:tr2bl w:val="nil"/>
                  </w:tcBorders>
                  <w:vAlign w:val="center"/>
                </w:tcPr>
                <w:p w14:paraId="5BF57582">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环境保护对象名称</w:t>
                  </w:r>
                </w:p>
              </w:tc>
              <w:tc>
                <w:tcPr>
                  <w:tcW w:w="548" w:type="dxa"/>
                  <w:tcBorders>
                    <w:top w:val="single" w:color="000040" w:sz="4" w:space="0"/>
                    <w:left w:val="single" w:color="000040" w:sz="4" w:space="0"/>
                    <w:bottom w:val="single" w:color="000040" w:sz="4" w:space="0"/>
                    <w:right w:val="single" w:color="000040" w:sz="4" w:space="0"/>
                    <w:tl2br w:val="nil"/>
                    <w:tr2bl w:val="nil"/>
                  </w:tcBorders>
                  <w:vAlign w:val="center"/>
                </w:tcPr>
                <w:p w14:paraId="72108466">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性质</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07D0BC49">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方位</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01374BD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离最近场界距离(m)</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25EF8584">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eastAsia="宋体" w:cs="Times New Roman"/>
                      <w:color w:val="000000"/>
                      <w:sz w:val="21"/>
                      <w:szCs w:val="21"/>
                      <w:u w:val="none" w:color="auto"/>
                      <w:lang w:eastAsia="zh-CN"/>
                    </w:rPr>
                  </w:pPr>
                  <w:r>
                    <w:rPr>
                      <w:rFonts w:hint="default" w:ascii="Times New Roman" w:hAnsi="Times New Roman" w:cs="Times New Roman"/>
                      <w:color w:val="000000"/>
                      <w:sz w:val="21"/>
                      <w:szCs w:val="21"/>
                      <w:u w:val="none" w:color="auto"/>
                      <w:lang w:eastAsia="zh-CN"/>
                    </w:rPr>
                    <w:t>规模（人）</w:t>
                  </w:r>
                </w:p>
              </w:tc>
              <w:tc>
                <w:tcPr>
                  <w:tcW w:w="2349" w:type="dxa"/>
                  <w:tcBorders>
                    <w:top w:val="single" w:color="000040" w:sz="4" w:space="0"/>
                    <w:left w:val="single" w:color="000040" w:sz="4" w:space="0"/>
                    <w:bottom w:val="single" w:color="000040" w:sz="4" w:space="0"/>
                    <w:right w:val="single" w:color="000040" w:sz="4" w:space="0"/>
                    <w:tl2br w:val="nil"/>
                    <w:tr2bl w:val="nil"/>
                  </w:tcBorders>
                  <w:vAlign w:val="center"/>
                </w:tcPr>
                <w:p w14:paraId="12DC7EE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C00000"/>
                      <w:sz w:val="21"/>
                      <w:szCs w:val="21"/>
                      <w:u w:val="none" w:color="auto"/>
                    </w:rPr>
                  </w:pPr>
                  <w:r>
                    <w:rPr>
                      <w:rFonts w:hint="default" w:ascii="Times New Roman" w:hAnsi="Times New Roman" w:cs="Times New Roman"/>
                      <w:color w:val="000000"/>
                      <w:sz w:val="21"/>
                      <w:szCs w:val="21"/>
                      <w:u w:val="none" w:color="auto"/>
                    </w:rPr>
                    <w:t>环境执行标准</w:t>
                  </w:r>
                </w:p>
              </w:tc>
            </w:tr>
            <w:tr w14:paraId="4C23F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583" w:type="dxa"/>
                  <w:vMerge w:val="restart"/>
                  <w:tcBorders>
                    <w:top w:val="single" w:color="000040" w:sz="4" w:space="0"/>
                    <w:left w:val="single" w:color="000040" w:sz="4" w:space="0"/>
                    <w:right w:val="single" w:color="000040" w:sz="4" w:space="0"/>
                    <w:tl2br w:val="nil"/>
                    <w:tr2bl w:val="nil"/>
                  </w:tcBorders>
                  <w:vAlign w:val="center"/>
                </w:tcPr>
                <w:p w14:paraId="6AFBCCA9">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大气环境</w:t>
                  </w:r>
                </w:p>
              </w:tc>
              <w:tc>
                <w:tcPr>
                  <w:tcW w:w="1450" w:type="dxa"/>
                  <w:tcBorders>
                    <w:top w:val="single" w:color="000040" w:sz="4" w:space="0"/>
                    <w:left w:val="single" w:color="000040" w:sz="4" w:space="0"/>
                    <w:right w:val="single" w:color="000040" w:sz="4" w:space="0"/>
                    <w:tl2br w:val="nil"/>
                    <w:tr2bl w:val="nil"/>
                  </w:tcBorders>
                  <w:vAlign w:val="center"/>
                </w:tcPr>
                <w:p w14:paraId="53C085A8">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魏都区高桥营办事处敬老院</w:t>
                  </w:r>
                </w:p>
              </w:tc>
              <w:tc>
                <w:tcPr>
                  <w:tcW w:w="548" w:type="dxa"/>
                  <w:tcBorders>
                    <w:top w:val="single" w:color="000040" w:sz="4" w:space="0"/>
                    <w:left w:val="single" w:color="000040" w:sz="4" w:space="0"/>
                    <w:right w:val="single" w:color="000040" w:sz="4" w:space="0"/>
                    <w:tl2br w:val="nil"/>
                    <w:tr2bl w:val="nil"/>
                  </w:tcBorders>
                  <w:vAlign w:val="center"/>
                </w:tcPr>
                <w:p w14:paraId="06408131">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养老</w:t>
                  </w:r>
                </w:p>
              </w:tc>
              <w:tc>
                <w:tcPr>
                  <w:tcW w:w="666" w:type="dxa"/>
                  <w:tcBorders>
                    <w:top w:val="single" w:color="000040" w:sz="4" w:space="0"/>
                    <w:left w:val="single" w:color="000040" w:sz="4" w:space="0"/>
                    <w:right w:val="single" w:color="000040" w:sz="4" w:space="0"/>
                    <w:tl2br w:val="nil"/>
                    <w:tr2bl w:val="nil"/>
                  </w:tcBorders>
                  <w:vAlign w:val="center"/>
                </w:tcPr>
                <w:p w14:paraId="6636ED58">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W</w:t>
                  </w:r>
                </w:p>
              </w:tc>
              <w:tc>
                <w:tcPr>
                  <w:tcW w:w="1227" w:type="dxa"/>
                  <w:tcBorders>
                    <w:top w:val="single" w:color="000040" w:sz="4" w:space="0"/>
                    <w:left w:val="single" w:color="000040" w:sz="4" w:space="0"/>
                    <w:right w:val="single" w:color="000040" w:sz="4" w:space="0"/>
                    <w:tl2br w:val="nil"/>
                    <w:tr2bl w:val="nil"/>
                  </w:tcBorders>
                  <w:vAlign w:val="center"/>
                </w:tcPr>
                <w:p w14:paraId="5C064717">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371</w:t>
                  </w:r>
                </w:p>
              </w:tc>
              <w:tc>
                <w:tcPr>
                  <w:tcW w:w="882" w:type="dxa"/>
                  <w:tcBorders>
                    <w:top w:val="single" w:color="000040" w:sz="4" w:space="0"/>
                    <w:left w:val="single" w:color="000040" w:sz="4" w:space="0"/>
                    <w:bottom w:val="single" w:color="000040" w:sz="4" w:space="0"/>
                    <w:right w:val="single" w:color="000040" w:sz="4" w:space="0"/>
                    <w:tl2br w:val="nil"/>
                    <w:tr2bl w:val="nil"/>
                  </w:tcBorders>
                  <w:vAlign w:val="center"/>
                </w:tcPr>
                <w:p w14:paraId="207D27F3">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kern w:val="2"/>
                      <w:sz w:val="21"/>
                      <w:szCs w:val="21"/>
                      <w:u w:val="none" w:color="auto"/>
                      <w:lang w:val="en-US" w:eastAsia="zh-CN" w:bidi="ar-SA"/>
                    </w:rPr>
                  </w:pPr>
                  <w:r>
                    <w:rPr>
                      <w:rFonts w:hint="eastAsia" w:ascii="Times New Roman" w:hAnsi="Times New Roman" w:cs="Times New Roman"/>
                      <w:color w:val="000000"/>
                      <w:kern w:val="2"/>
                      <w:sz w:val="21"/>
                      <w:szCs w:val="21"/>
                      <w:u w:val="none" w:color="auto"/>
                      <w:lang w:val="en-US" w:eastAsia="zh-CN" w:bidi="ar-SA"/>
                    </w:rPr>
                    <w:t>500</w:t>
                  </w:r>
                </w:p>
              </w:tc>
              <w:tc>
                <w:tcPr>
                  <w:tcW w:w="2349" w:type="dxa"/>
                  <w:vMerge w:val="restart"/>
                  <w:tcBorders>
                    <w:top w:val="single" w:color="000040" w:sz="4" w:space="0"/>
                    <w:left w:val="single" w:color="000040" w:sz="4" w:space="0"/>
                    <w:right w:val="single" w:color="000040" w:sz="4" w:space="0"/>
                    <w:tl2br w:val="nil"/>
                    <w:tr2bl w:val="nil"/>
                  </w:tcBorders>
                  <w:vAlign w:val="center"/>
                </w:tcPr>
                <w:p w14:paraId="7FA7FFB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C00000"/>
                      <w:sz w:val="21"/>
                      <w:szCs w:val="21"/>
                      <w:u w:val="none" w:color="auto"/>
                    </w:rPr>
                  </w:pPr>
                  <w:r>
                    <w:rPr>
                      <w:rFonts w:hint="default" w:ascii="Times New Roman" w:hAnsi="Times New Roman" w:cs="Times New Roman"/>
                      <w:color w:val="000000"/>
                      <w:sz w:val="21"/>
                      <w:szCs w:val="21"/>
                      <w:u w:val="none" w:color="auto"/>
                    </w:rPr>
                    <w:t>《环境空气质量标准》（GB3095-2012）二级标准</w:t>
                  </w:r>
                </w:p>
              </w:tc>
            </w:tr>
            <w:tr w14:paraId="0B209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13" w:hRule="atLeast"/>
                <w:jc w:val="center"/>
              </w:trPr>
              <w:tc>
                <w:tcPr>
                  <w:tcW w:w="583" w:type="dxa"/>
                  <w:vMerge w:val="continue"/>
                  <w:tcBorders>
                    <w:left w:val="single" w:color="000040" w:sz="4" w:space="0"/>
                    <w:right w:val="single" w:color="000040" w:sz="4" w:space="0"/>
                    <w:tl2br w:val="nil"/>
                    <w:tr2bl w:val="nil"/>
                  </w:tcBorders>
                  <w:vAlign w:val="center"/>
                </w:tcPr>
                <w:p w14:paraId="48F0A04A">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p>
              </w:tc>
              <w:tc>
                <w:tcPr>
                  <w:tcW w:w="1450" w:type="dxa"/>
                  <w:tcBorders>
                    <w:top w:val="single" w:color="000040" w:sz="4" w:space="0"/>
                    <w:left w:val="single" w:color="000040" w:sz="4" w:space="0"/>
                    <w:right w:val="single" w:color="000040" w:sz="4" w:space="0"/>
                    <w:tl2br w:val="nil"/>
                    <w:tr2bl w:val="nil"/>
                  </w:tcBorders>
                  <w:vAlign w:val="center"/>
                </w:tcPr>
                <w:p w14:paraId="07F5D522">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宏伟佳苑</w:t>
                  </w:r>
                </w:p>
              </w:tc>
              <w:tc>
                <w:tcPr>
                  <w:tcW w:w="548" w:type="dxa"/>
                  <w:tcBorders>
                    <w:top w:val="single" w:color="000040" w:sz="4" w:space="0"/>
                    <w:left w:val="single" w:color="000040" w:sz="4" w:space="0"/>
                    <w:right w:val="single" w:color="000040" w:sz="4" w:space="0"/>
                    <w:tl2br w:val="nil"/>
                    <w:tr2bl w:val="nil"/>
                  </w:tcBorders>
                  <w:vAlign w:val="center"/>
                </w:tcPr>
                <w:p w14:paraId="18D092FE">
                  <w:pPr>
                    <w:widowControl w:val="0"/>
                    <w:wordWrap/>
                    <w:autoSpaceDE w:val="0"/>
                    <w:autoSpaceDN w:val="0"/>
                    <w:spacing w:beforeAutospacing="0" w:afterAutospacing="0" w:line="360" w:lineRule="exact"/>
                    <w:ind w:left="0" w:leftChars="0" w:right="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居住</w:t>
                  </w:r>
                </w:p>
              </w:tc>
              <w:tc>
                <w:tcPr>
                  <w:tcW w:w="666" w:type="dxa"/>
                  <w:tcBorders>
                    <w:top w:val="single" w:color="000040" w:sz="4" w:space="0"/>
                    <w:left w:val="single" w:color="000040" w:sz="4" w:space="0"/>
                    <w:right w:val="single" w:color="000040" w:sz="4" w:space="0"/>
                    <w:tl2br w:val="nil"/>
                    <w:tr2bl w:val="nil"/>
                  </w:tcBorders>
                  <w:vAlign w:val="center"/>
                </w:tcPr>
                <w:p w14:paraId="0E157AD7">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SW</w:t>
                  </w:r>
                </w:p>
              </w:tc>
              <w:tc>
                <w:tcPr>
                  <w:tcW w:w="1227" w:type="dxa"/>
                  <w:tcBorders>
                    <w:top w:val="single" w:color="000040" w:sz="4" w:space="0"/>
                    <w:left w:val="single" w:color="000040" w:sz="4" w:space="0"/>
                    <w:right w:val="single" w:color="000040" w:sz="4" w:space="0"/>
                    <w:tl2br w:val="nil"/>
                    <w:tr2bl w:val="nil"/>
                  </w:tcBorders>
                  <w:vAlign w:val="center"/>
                </w:tcPr>
                <w:p w14:paraId="34C9061B">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414</w:t>
                  </w:r>
                </w:p>
              </w:tc>
              <w:tc>
                <w:tcPr>
                  <w:tcW w:w="882" w:type="dxa"/>
                  <w:tcBorders>
                    <w:top w:val="single" w:color="000040" w:sz="4" w:space="0"/>
                    <w:left w:val="single" w:color="000040" w:sz="4" w:space="0"/>
                    <w:right w:val="single" w:color="000040" w:sz="4" w:space="0"/>
                    <w:tl2br w:val="nil"/>
                    <w:tr2bl w:val="nil"/>
                  </w:tcBorders>
                  <w:vAlign w:val="center"/>
                </w:tcPr>
                <w:p w14:paraId="0AFCB3A8">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1000</w:t>
                  </w:r>
                </w:p>
              </w:tc>
              <w:tc>
                <w:tcPr>
                  <w:tcW w:w="2349" w:type="dxa"/>
                  <w:vMerge w:val="continue"/>
                  <w:tcBorders>
                    <w:left w:val="single" w:color="000040" w:sz="4" w:space="0"/>
                    <w:right w:val="single" w:color="000040" w:sz="4" w:space="0"/>
                    <w:tl2br w:val="nil"/>
                    <w:tr2bl w:val="nil"/>
                  </w:tcBorders>
                  <w:vAlign w:val="center"/>
                </w:tcPr>
                <w:p w14:paraId="6107B736">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C00000"/>
                      <w:sz w:val="21"/>
                      <w:szCs w:val="21"/>
                      <w:u w:val="none" w:color="auto"/>
                    </w:rPr>
                  </w:pPr>
                </w:p>
              </w:tc>
            </w:tr>
            <w:tr w14:paraId="523B0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583" w:type="dxa"/>
                  <w:vMerge w:val="continue"/>
                  <w:tcBorders>
                    <w:left w:val="single" w:color="000040" w:sz="4" w:space="0"/>
                    <w:bottom w:val="single" w:color="000040" w:sz="4" w:space="0"/>
                    <w:right w:val="single" w:color="000040" w:sz="4" w:space="0"/>
                    <w:tl2br w:val="nil"/>
                    <w:tr2bl w:val="nil"/>
                  </w:tcBorders>
                  <w:vAlign w:val="center"/>
                </w:tcPr>
                <w:p w14:paraId="5E25C357">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p>
              </w:tc>
              <w:tc>
                <w:tcPr>
                  <w:tcW w:w="1450" w:type="dxa"/>
                  <w:tcBorders>
                    <w:top w:val="single" w:color="000040" w:sz="4" w:space="0"/>
                    <w:left w:val="single" w:color="000040" w:sz="4" w:space="0"/>
                    <w:right w:val="single" w:color="000040" w:sz="4" w:space="0"/>
                    <w:tl2br w:val="nil"/>
                    <w:tr2bl w:val="nil"/>
                  </w:tcBorders>
                  <w:vAlign w:val="center"/>
                </w:tcPr>
                <w:p w14:paraId="6DEC7AA4">
                  <w:pPr>
                    <w:widowControl w:val="0"/>
                    <w:wordWrap/>
                    <w:autoSpaceDE w:val="0"/>
                    <w:autoSpaceDN w:val="0"/>
                    <w:spacing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北部新城居民小区</w:t>
                  </w:r>
                </w:p>
              </w:tc>
              <w:tc>
                <w:tcPr>
                  <w:tcW w:w="548" w:type="dxa"/>
                  <w:tcBorders>
                    <w:top w:val="single" w:color="000040" w:sz="4" w:space="0"/>
                    <w:left w:val="single" w:color="000040" w:sz="4" w:space="0"/>
                    <w:right w:val="single" w:color="000040" w:sz="4" w:space="0"/>
                    <w:tl2br w:val="nil"/>
                    <w:tr2bl w:val="nil"/>
                  </w:tcBorders>
                  <w:vAlign w:val="center"/>
                </w:tcPr>
                <w:p w14:paraId="40B0E4BC">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居住</w:t>
                  </w:r>
                </w:p>
              </w:tc>
              <w:tc>
                <w:tcPr>
                  <w:tcW w:w="666" w:type="dxa"/>
                  <w:tcBorders>
                    <w:top w:val="single" w:color="000040" w:sz="4" w:space="0"/>
                    <w:left w:val="single" w:color="000040" w:sz="4" w:space="0"/>
                    <w:right w:val="single" w:color="000040" w:sz="4" w:space="0"/>
                    <w:tl2br w:val="nil"/>
                    <w:tr2bl w:val="nil"/>
                  </w:tcBorders>
                  <w:vAlign w:val="center"/>
                </w:tcPr>
                <w:p w14:paraId="21322D11">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SE</w:t>
                  </w:r>
                </w:p>
              </w:tc>
              <w:tc>
                <w:tcPr>
                  <w:tcW w:w="1227" w:type="dxa"/>
                  <w:tcBorders>
                    <w:top w:val="single" w:color="000040" w:sz="4" w:space="0"/>
                    <w:left w:val="single" w:color="000040" w:sz="4" w:space="0"/>
                    <w:right w:val="single" w:color="000040" w:sz="4" w:space="0"/>
                    <w:tl2br w:val="nil"/>
                    <w:tr2bl w:val="nil"/>
                  </w:tcBorders>
                  <w:vAlign w:val="center"/>
                </w:tcPr>
                <w:p w14:paraId="518884C1">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481</w:t>
                  </w:r>
                </w:p>
              </w:tc>
              <w:tc>
                <w:tcPr>
                  <w:tcW w:w="882" w:type="dxa"/>
                  <w:tcBorders>
                    <w:top w:val="single" w:color="000040" w:sz="4" w:space="0"/>
                    <w:left w:val="single" w:color="000040" w:sz="4" w:space="0"/>
                    <w:right w:val="single" w:color="000040" w:sz="4" w:space="0"/>
                    <w:tl2br w:val="nil"/>
                    <w:tr2bl w:val="nil"/>
                  </w:tcBorders>
                  <w:vAlign w:val="center"/>
                </w:tcPr>
                <w:p w14:paraId="1F17B593">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800</w:t>
                  </w:r>
                </w:p>
              </w:tc>
              <w:tc>
                <w:tcPr>
                  <w:tcW w:w="2349" w:type="dxa"/>
                  <w:vMerge w:val="continue"/>
                  <w:tcBorders>
                    <w:left w:val="single" w:color="000040" w:sz="4" w:space="0"/>
                    <w:bottom w:val="single" w:color="000040" w:sz="4" w:space="0"/>
                    <w:right w:val="single" w:color="000040" w:sz="4" w:space="0"/>
                    <w:tl2br w:val="nil"/>
                    <w:tr2bl w:val="nil"/>
                  </w:tcBorders>
                  <w:vAlign w:val="center"/>
                </w:tcPr>
                <w:p w14:paraId="46D70636">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C00000"/>
                      <w:sz w:val="21"/>
                      <w:szCs w:val="21"/>
                      <w:u w:val="none" w:color="auto"/>
                    </w:rPr>
                  </w:pPr>
                </w:p>
              </w:tc>
            </w:tr>
            <w:tr w14:paraId="1C43E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20" w:hRule="atLeast"/>
                <w:jc w:val="center"/>
              </w:trPr>
              <w:tc>
                <w:tcPr>
                  <w:tcW w:w="583" w:type="dxa"/>
                  <w:vMerge w:val="restart"/>
                  <w:tcBorders>
                    <w:top w:val="single" w:color="000040" w:sz="4" w:space="0"/>
                    <w:left w:val="single" w:color="000040" w:sz="4" w:space="0"/>
                    <w:bottom w:val="single" w:color="000040" w:sz="4" w:space="0"/>
                    <w:right w:val="single" w:color="000040" w:sz="4" w:space="0"/>
                    <w:tl2br w:val="nil"/>
                    <w:tr2bl w:val="nil"/>
                  </w:tcBorders>
                  <w:vAlign w:val="center"/>
                </w:tcPr>
                <w:p w14:paraId="44AD4B72">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地表水环境</w:t>
                  </w:r>
                </w:p>
              </w:tc>
              <w:tc>
                <w:tcPr>
                  <w:tcW w:w="1450" w:type="dxa"/>
                  <w:tcBorders>
                    <w:top w:val="single" w:color="000040" w:sz="4" w:space="0"/>
                    <w:left w:val="single" w:color="000040" w:sz="4" w:space="0"/>
                    <w:bottom w:val="single" w:color="000040" w:sz="4" w:space="0"/>
                    <w:right w:val="single" w:color="000040" w:sz="4" w:space="0"/>
                    <w:tl2br w:val="nil"/>
                    <w:tr2bl w:val="nil"/>
                  </w:tcBorders>
                  <w:vAlign w:val="center"/>
                </w:tcPr>
                <w:p w14:paraId="0C578CAD">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清潩河</w:t>
                  </w:r>
                </w:p>
              </w:tc>
              <w:tc>
                <w:tcPr>
                  <w:tcW w:w="548" w:type="dxa"/>
                  <w:tcBorders>
                    <w:top w:val="single" w:color="000040" w:sz="4" w:space="0"/>
                    <w:left w:val="single" w:color="000040" w:sz="4" w:space="0"/>
                    <w:bottom w:val="single" w:color="000040" w:sz="4" w:space="0"/>
                    <w:right w:val="single" w:color="000040" w:sz="4" w:space="0"/>
                    <w:tl2br w:val="nil"/>
                    <w:tr2bl w:val="nil"/>
                  </w:tcBorders>
                  <w:vAlign w:val="center"/>
                </w:tcPr>
                <w:p w14:paraId="4D664C32">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景观</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6D6A3AB6">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050409B6">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246</w:t>
                  </w:r>
                </w:p>
              </w:tc>
              <w:tc>
                <w:tcPr>
                  <w:tcW w:w="3231" w:type="dxa"/>
                  <w:gridSpan w:val="2"/>
                  <w:vMerge w:val="restart"/>
                  <w:tcBorders>
                    <w:top w:val="single" w:color="000040" w:sz="4" w:space="0"/>
                    <w:left w:val="single" w:color="000040" w:sz="4" w:space="0"/>
                    <w:bottom w:val="single" w:color="000040" w:sz="4" w:space="0"/>
                    <w:right w:val="single" w:color="000040" w:sz="4" w:space="0"/>
                    <w:tl2br w:val="nil"/>
                    <w:tr2bl w:val="nil"/>
                  </w:tcBorders>
                  <w:vAlign w:val="center"/>
                </w:tcPr>
                <w:p w14:paraId="1C8F01BB">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r>
                    <w:rPr>
                      <w:rFonts w:hint="default" w:ascii="Times New Roman" w:hAnsi="Times New Roman" w:cs="Times New Roman"/>
                      <w:color w:val="000000"/>
                      <w:sz w:val="21"/>
                      <w:szCs w:val="21"/>
                      <w:u w:val="none" w:color="auto"/>
                    </w:rPr>
                    <w:t>《地表水环境质量标准》（GB3838-2002）中</w:t>
                  </w:r>
                  <w:r>
                    <w:rPr>
                      <w:rFonts w:hint="default" w:ascii="Times New Roman" w:hAnsi="Times New Roman" w:eastAsia="仿宋" w:cs="Times New Roman"/>
                      <w:color w:val="000000"/>
                      <w:sz w:val="21"/>
                      <w:szCs w:val="21"/>
                      <w:highlight w:val="none"/>
                      <w:u w:val="none" w:color="auto"/>
                    </w:rPr>
                    <w:t>Ⅲ</w:t>
                  </w:r>
                  <w:r>
                    <w:rPr>
                      <w:rFonts w:hint="default" w:ascii="Times New Roman" w:hAnsi="Times New Roman" w:cs="Times New Roman"/>
                      <w:color w:val="000000"/>
                      <w:sz w:val="21"/>
                      <w:szCs w:val="21"/>
                      <w:u w:val="none" w:color="auto"/>
                    </w:rPr>
                    <w:t>类标准</w:t>
                  </w:r>
                </w:p>
              </w:tc>
            </w:tr>
            <w:tr w14:paraId="1DFB38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20" w:hRule="atLeast"/>
                <w:jc w:val="center"/>
              </w:trPr>
              <w:tc>
                <w:tcPr>
                  <w:tcW w:w="583" w:type="dxa"/>
                  <w:vMerge w:val="continue"/>
                  <w:tcBorders>
                    <w:top w:val="single" w:color="000040" w:sz="4" w:space="0"/>
                    <w:left w:val="single" w:color="000040" w:sz="4" w:space="0"/>
                    <w:bottom w:val="single" w:color="000040" w:sz="4" w:space="0"/>
                    <w:right w:val="single" w:color="000040" w:sz="4" w:space="0"/>
                    <w:tl2br w:val="nil"/>
                    <w:tr2bl w:val="nil"/>
                  </w:tcBorders>
                  <w:vAlign w:val="center"/>
                </w:tcPr>
                <w:p w14:paraId="70702B7B">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p>
              </w:tc>
              <w:tc>
                <w:tcPr>
                  <w:tcW w:w="1450" w:type="dxa"/>
                  <w:tcBorders>
                    <w:top w:val="single" w:color="000040" w:sz="4" w:space="0"/>
                    <w:left w:val="single" w:color="000040" w:sz="4" w:space="0"/>
                    <w:bottom w:val="single" w:color="000040" w:sz="4" w:space="0"/>
                    <w:right w:val="single" w:color="000040" w:sz="4" w:space="0"/>
                    <w:tl2br w:val="nil"/>
                    <w:tr2bl w:val="nil"/>
                  </w:tcBorders>
                  <w:vAlign w:val="center"/>
                </w:tcPr>
                <w:p w14:paraId="238A2F40">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灞陵河</w:t>
                  </w:r>
                </w:p>
              </w:tc>
              <w:tc>
                <w:tcPr>
                  <w:tcW w:w="548" w:type="dxa"/>
                  <w:tcBorders>
                    <w:top w:val="single" w:color="000040" w:sz="4" w:space="0"/>
                    <w:left w:val="single" w:color="000040" w:sz="4" w:space="0"/>
                    <w:bottom w:val="single" w:color="000040" w:sz="4" w:space="0"/>
                    <w:right w:val="single" w:color="000040" w:sz="4" w:space="0"/>
                    <w:tl2br w:val="nil"/>
                    <w:tr2bl w:val="nil"/>
                  </w:tcBorders>
                  <w:vAlign w:val="center"/>
                </w:tcPr>
                <w:p w14:paraId="12B9C9C0">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景观</w:t>
                  </w:r>
                </w:p>
              </w:tc>
              <w:tc>
                <w:tcPr>
                  <w:tcW w:w="666" w:type="dxa"/>
                  <w:tcBorders>
                    <w:top w:val="single" w:color="000040" w:sz="4" w:space="0"/>
                    <w:left w:val="single" w:color="000040" w:sz="4" w:space="0"/>
                    <w:bottom w:val="single" w:color="000040" w:sz="4" w:space="0"/>
                    <w:right w:val="single" w:color="000040" w:sz="4" w:space="0"/>
                    <w:tl2br w:val="nil"/>
                    <w:tr2bl w:val="nil"/>
                  </w:tcBorders>
                  <w:vAlign w:val="center"/>
                </w:tcPr>
                <w:p w14:paraId="58201580">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W</w:t>
                  </w:r>
                </w:p>
              </w:tc>
              <w:tc>
                <w:tcPr>
                  <w:tcW w:w="1227" w:type="dxa"/>
                  <w:tcBorders>
                    <w:top w:val="single" w:color="000040" w:sz="4" w:space="0"/>
                    <w:left w:val="single" w:color="000040" w:sz="4" w:space="0"/>
                    <w:bottom w:val="single" w:color="000040" w:sz="4" w:space="0"/>
                    <w:right w:val="single" w:color="000040" w:sz="4" w:space="0"/>
                    <w:tl2br w:val="nil"/>
                    <w:tr2bl w:val="nil"/>
                  </w:tcBorders>
                  <w:vAlign w:val="center"/>
                </w:tcPr>
                <w:p w14:paraId="61FC718A">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900</w:t>
                  </w:r>
                </w:p>
              </w:tc>
              <w:tc>
                <w:tcPr>
                  <w:tcW w:w="3231" w:type="dxa"/>
                  <w:gridSpan w:val="2"/>
                  <w:vMerge w:val="continue"/>
                  <w:tcBorders>
                    <w:top w:val="single" w:color="000040" w:sz="4" w:space="0"/>
                    <w:left w:val="single" w:color="000040" w:sz="4" w:space="0"/>
                    <w:bottom w:val="single" w:color="000040" w:sz="4" w:space="0"/>
                    <w:right w:val="single" w:color="000040" w:sz="4" w:space="0"/>
                    <w:tl2br w:val="nil"/>
                    <w:tr2bl w:val="nil"/>
                  </w:tcBorders>
                  <w:vAlign w:val="center"/>
                </w:tcPr>
                <w:p w14:paraId="07E3FE97">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rPr>
                  </w:pPr>
                </w:p>
              </w:tc>
            </w:tr>
            <w:tr w14:paraId="5FE0B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583" w:type="dxa"/>
                  <w:tcBorders>
                    <w:top w:val="single" w:color="000040" w:sz="4" w:space="0"/>
                    <w:left w:val="single" w:color="000040" w:sz="4" w:space="0"/>
                    <w:bottom w:val="single" w:color="000040" w:sz="4" w:space="0"/>
                    <w:right w:val="single" w:color="000040" w:sz="4" w:space="0"/>
                    <w:tl2br w:val="nil"/>
                    <w:tr2bl w:val="nil"/>
                  </w:tcBorders>
                  <w:vAlign w:val="center"/>
                </w:tcPr>
                <w:p w14:paraId="7060D6B0">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lang w:eastAsia="zh-CN"/>
                    </w:rPr>
                  </w:pPr>
                  <w:r>
                    <w:rPr>
                      <w:rFonts w:hint="default" w:ascii="Times New Roman" w:hAnsi="Times New Roman" w:eastAsia="宋体" w:cs="Times New Roman"/>
                      <w:color w:val="000000"/>
                      <w:sz w:val="21"/>
                      <w:szCs w:val="21"/>
                      <w:u w:val="none" w:color="auto"/>
                      <w:lang w:val="en-US" w:eastAsia="zh-CN"/>
                    </w:rPr>
                    <w:t>声环境</w:t>
                  </w:r>
                </w:p>
              </w:tc>
              <w:tc>
                <w:tcPr>
                  <w:tcW w:w="7122" w:type="dxa"/>
                  <w:gridSpan w:val="6"/>
                  <w:tcBorders>
                    <w:top w:val="single" w:color="000040" w:sz="4" w:space="0"/>
                    <w:left w:val="single" w:color="000040" w:sz="4" w:space="0"/>
                    <w:bottom w:val="single" w:color="000040" w:sz="4" w:space="0"/>
                    <w:right w:val="single" w:color="000040" w:sz="4" w:space="0"/>
                    <w:tl2br w:val="nil"/>
                    <w:tr2bl w:val="nil"/>
                  </w:tcBorders>
                  <w:vAlign w:val="center"/>
                </w:tcPr>
                <w:p w14:paraId="5ACD8FE4">
                  <w:pPr>
                    <w:widowControl w:val="0"/>
                    <w:wordWrap/>
                    <w:autoSpaceDE w:val="0"/>
                    <w:autoSpaceDN w:val="0"/>
                    <w:adjustRightInd w:val="0"/>
                    <w:snapToGrid w:val="0"/>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color="auto"/>
                    </w:rPr>
                  </w:pPr>
                  <w:r>
                    <w:rPr>
                      <w:rFonts w:hint="eastAsia" w:ascii="Times New Roman" w:hAnsi="Times New Roman" w:cs="Times New Roman"/>
                      <w:sz w:val="21"/>
                      <w:szCs w:val="21"/>
                      <w:u w:val="none" w:color="auto"/>
                      <w:lang w:val="en-US" w:eastAsia="zh-CN"/>
                    </w:rPr>
                    <w:t>厂界</w:t>
                  </w:r>
                  <w:r>
                    <w:rPr>
                      <w:rFonts w:hint="eastAsia" w:ascii="Times New Roman" w:hAnsi="Times New Roman" w:cs="Times New Roman"/>
                      <w:color w:val="auto"/>
                      <w:sz w:val="21"/>
                      <w:szCs w:val="21"/>
                      <w:u w:val="none" w:color="auto"/>
                      <w:lang w:val="en-US" w:eastAsia="zh-CN"/>
                    </w:rPr>
                    <w:t>外50米范围内</w:t>
                  </w:r>
                  <w:r>
                    <w:rPr>
                      <w:rFonts w:hint="eastAsia" w:ascii="Times New Roman" w:hAnsi="Times New Roman" w:cs="Times New Roman"/>
                      <w:sz w:val="21"/>
                      <w:szCs w:val="21"/>
                      <w:u w:val="none" w:color="auto"/>
                      <w:lang w:val="en-US" w:eastAsia="zh-CN"/>
                    </w:rPr>
                    <w:t>无声环境保护目标</w:t>
                  </w:r>
                </w:p>
              </w:tc>
            </w:tr>
            <w:tr w14:paraId="13624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19" w:hRule="atLeast"/>
                <w:jc w:val="center"/>
              </w:trPr>
              <w:tc>
                <w:tcPr>
                  <w:tcW w:w="583" w:type="dxa"/>
                  <w:tcBorders>
                    <w:top w:val="single" w:color="000040" w:sz="4" w:space="0"/>
                    <w:left w:val="single" w:color="000040" w:sz="4" w:space="0"/>
                    <w:bottom w:val="single" w:color="000040" w:sz="4" w:space="0"/>
                    <w:right w:val="single" w:color="000040" w:sz="4" w:space="0"/>
                    <w:tl2br w:val="nil"/>
                    <w:tr2bl w:val="nil"/>
                  </w:tcBorders>
                  <w:vAlign w:val="center"/>
                </w:tcPr>
                <w:p w14:paraId="00FA1C1D">
                  <w:pPr>
                    <w:widowControl w:val="0"/>
                    <w:wordWrap/>
                    <w:autoSpaceDE w:val="0"/>
                    <w:autoSpaceDN w:val="0"/>
                    <w:adjustRightInd w:val="0"/>
                    <w:snapToGrid w:val="0"/>
                    <w:spacing w:beforeAutospacing="0" w:afterAutospacing="0" w:line="360" w:lineRule="exact"/>
                    <w:jc w:val="center"/>
                    <w:textAlignment w:val="auto"/>
                    <w:rPr>
                      <w:rFonts w:hint="default" w:ascii="Times New Roman" w:hAnsi="Times New Roman" w:cs="Times New Roman"/>
                      <w:color w:val="000000"/>
                      <w:sz w:val="21"/>
                      <w:szCs w:val="21"/>
                      <w:u w:val="none" w:color="auto"/>
                      <w:lang w:eastAsia="zh-CN"/>
                    </w:rPr>
                  </w:pPr>
                  <w:r>
                    <w:rPr>
                      <w:rFonts w:hint="default" w:ascii="Times New Roman" w:hAnsi="Times New Roman" w:cs="Times New Roman"/>
                      <w:color w:val="000000"/>
                      <w:sz w:val="21"/>
                      <w:szCs w:val="21"/>
                      <w:u w:val="none" w:color="auto"/>
                      <w:lang w:eastAsia="zh-CN"/>
                    </w:rPr>
                    <w:t>地下水</w:t>
                  </w:r>
                </w:p>
              </w:tc>
              <w:tc>
                <w:tcPr>
                  <w:tcW w:w="7122" w:type="dxa"/>
                  <w:gridSpan w:val="6"/>
                  <w:tcBorders>
                    <w:top w:val="single" w:color="000040" w:sz="4" w:space="0"/>
                    <w:left w:val="single" w:color="000040" w:sz="4" w:space="0"/>
                    <w:bottom w:val="single" w:color="000040" w:sz="4" w:space="0"/>
                    <w:right w:val="single" w:color="000040" w:sz="4" w:space="0"/>
                    <w:tl2br w:val="nil"/>
                    <w:tr2bl w:val="nil"/>
                  </w:tcBorders>
                  <w:vAlign w:val="center"/>
                </w:tcPr>
                <w:p w14:paraId="1D56654F">
                  <w:pPr>
                    <w:widowControl w:val="0"/>
                    <w:wordWrap/>
                    <w:autoSpaceDE w:val="0"/>
                    <w:autoSpaceDN w:val="0"/>
                    <w:spacing w:beforeAutospacing="0" w:afterAutospacing="0" w:line="360" w:lineRule="exact"/>
                    <w:ind w:left="0" w:leftChars="0" w:right="0"/>
                    <w:jc w:val="center"/>
                    <w:textAlignment w:val="auto"/>
                    <w:rPr>
                      <w:rFonts w:hint="default" w:ascii="Times New Roman" w:hAnsi="Times New Roman" w:cs="Times New Roman"/>
                      <w:color w:val="000000"/>
                      <w:sz w:val="21"/>
                      <w:szCs w:val="21"/>
                      <w:u w:val="none" w:color="auto"/>
                    </w:rPr>
                  </w:pPr>
                  <w:r>
                    <w:rPr>
                      <w:rFonts w:hint="eastAsia" w:ascii="Times New Roman" w:hAnsi="Times New Roman" w:cs="Times New Roman"/>
                      <w:color w:val="auto"/>
                      <w:sz w:val="21"/>
                      <w:szCs w:val="21"/>
                      <w:u w:val="none" w:color="auto"/>
                      <w:lang w:val="en-US" w:eastAsia="zh-CN"/>
                    </w:rPr>
                    <w:t>厂区500米范围内无地下水环境保护目标</w:t>
                  </w:r>
                </w:p>
              </w:tc>
            </w:tr>
          </w:tbl>
          <w:p w14:paraId="6C53CFD7">
            <w:pPr>
              <w:pStyle w:val="44"/>
              <w:widowControl w:val="0"/>
              <w:wordWrap/>
              <w:autoSpaceDE w:val="0"/>
              <w:adjustRightInd/>
              <w:snapToGrid/>
              <w:spacing w:before="0" w:beforeAutospacing="0" w:afterAutospacing="0" w:line="240" w:lineRule="auto"/>
              <w:ind w:left="0" w:right="0"/>
              <w:jc w:val="both"/>
              <w:textAlignment w:val="auto"/>
              <w:rPr>
                <w:rFonts w:hint="default" w:ascii="Times New Roman" w:hAnsi="Times New Roman" w:cs="Times New Roman"/>
                <w:sz w:val="21"/>
                <w:szCs w:val="20"/>
                <w:u w:val="none" w:color="auto"/>
              </w:rPr>
            </w:pPr>
          </w:p>
        </w:tc>
      </w:tr>
      <w:tr w14:paraId="4323257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031" w:type="dxa"/>
            <w:tcBorders>
              <w:top w:val="single" w:color="000000" w:sz="4" w:space="0"/>
              <w:bottom w:val="single" w:color="000000" w:sz="4" w:space="0"/>
              <w:right w:val="single" w:color="000000" w:sz="4" w:space="0"/>
            </w:tcBorders>
            <w:vAlign w:val="center"/>
          </w:tcPr>
          <w:p w14:paraId="7A47940C">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污染物排放控制标准</w:t>
            </w:r>
          </w:p>
        </w:tc>
        <w:tc>
          <w:tcPr>
            <w:tcW w:w="7723" w:type="dxa"/>
            <w:tcBorders>
              <w:top w:val="single" w:color="000000" w:sz="4" w:space="0"/>
              <w:left w:val="single" w:color="000000" w:sz="4" w:space="0"/>
              <w:bottom w:val="single" w:color="000000" w:sz="4" w:space="0"/>
            </w:tcBorders>
            <w:vAlign w:val="center"/>
          </w:tcPr>
          <w:p w14:paraId="28C8610B">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cs="Times New Roman"/>
                <w:b/>
                <w:bCs/>
                <w:sz w:val="24"/>
                <w:szCs w:val="24"/>
                <w:u w:val="none" w:color="auto"/>
                <w:lang w:val="en-US" w:eastAsia="zh-CN" w:bidi="zh-CN"/>
              </w:rPr>
              <w:t>1</w:t>
            </w:r>
            <w:r>
              <w:rPr>
                <w:rFonts w:hint="eastAsia" w:ascii="Times New Roman" w:hAnsi="Times New Roman" w:eastAsia="宋体" w:cs="Times New Roman"/>
                <w:b/>
                <w:bCs/>
                <w:sz w:val="24"/>
                <w:szCs w:val="24"/>
                <w:u w:val="none" w:color="auto"/>
                <w:lang w:val="en-US" w:eastAsia="zh-CN" w:bidi="zh-CN"/>
              </w:rPr>
              <w:t>、</w:t>
            </w:r>
            <w:r>
              <w:rPr>
                <w:rFonts w:hint="eastAsia" w:ascii="Times New Roman" w:hAnsi="Times New Roman" w:cs="Times New Roman"/>
                <w:b/>
                <w:bCs/>
                <w:sz w:val="24"/>
                <w:szCs w:val="24"/>
                <w:u w:val="none" w:color="auto"/>
                <w:lang w:val="en-US" w:eastAsia="zh-CN" w:bidi="zh-CN"/>
              </w:rPr>
              <w:t>废气</w:t>
            </w:r>
          </w:p>
          <w:p w14:paraId="04D83003">
            <w:pPr>
              <w:wordWrap/>
              <w:spacing w:beforeAutospacing="0" w:afterAutospacing="0" w:line="520" w:lineRule="exact"/>
              <w:ind w:firstLine="480" w:firstLineChars="200"/>
              <w:jc w:val="both"/>
              <w:textAlignment w:val="auto"/>
              <w:rPr>
                <w:rFonts w:hint="eastAsia" w:ascii="Times New Roman" w:hAnsi="Times New Roman" w:eastAsia="宋体" w:cs="Times New Roman"/>
                <w:kern w:val="0"/>
                <w:sz w:val="24"/>
                <w:szCs w:val="24"/>
                <w:u w:val="none" w:color="auto"/>
                <w:lang w:val="en-US" w:eastAsia="zh-CN"/>
              </w:rPr>
            </w:pPr>
            <w:r>
              <w:rPr>
                <w:rFonts w:hint="eastAsia" w:ascii="Times New Roman" w:hAnsi="Times New Roman" w:eastAsia="宋体" w:cs="Times New Roman"/>
                <w:kern w:val="0"/>
                <w:sz w:val="24"/>
                <w:szCs w:val="24"/>
                <w:u w:val="none" w:color="auto"/>
                <w:lang w:val="en-US" w:eastAsia="zh-CN"/>
              </w:rPr>
              <w:t>项目运营期</w:t>
            </w:r>
            <w:r>
              <w:rPr>
                <w:rFonts w:hint="eastAsia" w:ascii="Times New Roman" w:hAnsi="Times New Roman" w:cs="Times New Roman"/>
                <w:kern w:val="0"/>
                <w:sz w:val="24"/>
                <w:szCs w:val="24"/>
                <w:u w:val="none" w:color="auto"/>
                <w:lang w:val="en-US" w:eastAsia="zh-CN"/>
              </w:rPr>
              <w:t>废气</w:t>
            </w:r>
            <w:r>
              <w:rPr>
                <w:rFonts w:hint="eastAsia" w:ascii="Times New Roman" w:hAnsi="Times New Roman" w:eastAsia="宋体" w:cs="Times New Roman"/>
                <w:kern w:val="0"/>
                <w:sz w:val="24"/>
                <w:szCs w:val="24"/>
                <w:u w:val="none" w:color="auto"/>
                <w:lang w:val="en-US" w:eastAsia="zh-CN"/>
              </w:rPr>
              <w:t>执行标准</w:t>
            </w:r>
            <w:r>
              <w:rPr>
                <w:rFonts w:hint="default" w:ascii="Times New Roman" w:hAnsi="Times New Roman" w:eastAsia="宋体" w:cs="Times New Roman"/>
                <w:kern w:val="0"/>
                <w:sz w:val="24"/>
                <w:szCs w:val="24"/>
                <w:u w:val="none" w:color="auto"/>
                <w:lang w:val="en-US" w:eastAsia="zh-CN"/>
              </w:rPr>
              <w:t>见下表。</w:t>
            </w:r>
          </w:p>
          <w:p w14:paraId="419B4F49">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黑体" w:cs="宋体"/>
                <w:b w:val="0"/>
                <w:bCs w:val="0"/>
                <w:sz w:val="24"/>
                <w:szCs w:val="20"/>
                <w:u w:val="none" w:color="auto"/>
                <w:lang w:val="en-US" w:eastAsia="zh-CN"/>
              </w:rPr>
            </w:pPr>
            <w:r>
              <w:rPr>
                <w:rFonts w:hint="default" w:ascii="Times New Roman" w:hAnsi="Times New Roman" w:eastAsia="黑体" w:cs="宋体"/>
                <w:b w:val="0"/>
                <w:bCs w:val="0"/>
                <w:sz w:val="24"/>
                <w:szCs w:val="20"/>
                <w:u w:val="none" w:color="auto"/>
                <w:lang w:val="en-US" w:eastAsia="zh-CN"/>
              </w:rPr>
              <w:t>表</w:t>
            </w:r>
            <w:r>
              <w:rPr>
                <w:rFonts w:hint="eastAsia" w:ascii="Times New Roman" w:hAnsi="Times New Roman" w:eastAsia="黑体" w:cs="宋体"/>
                <w:b w:val="0"/>
                <w:bCs w:val="0"/>
                <w:sz w:val="24"/>
                <w:szCs w:val="20"/>
                <w:u w:val="none" w:color="auto"/>
                <w:lang w:val="en-US" w:eastAsia="zh-CN"/>
              </w:rPr>
              <w:t>3-4</w:t>
            </w:r>
            <w:r>
              <w:rPr>
                <w:rFonts w:hint="default" w:ascii="Times New Roman" w:hAnsi="Times New Roman" w:eastAsia="黑体" w:cs="宋体"/>
                <w:b w:val="0"/>
                <w:bCs w:val="0"/>
                <w:sz w:val="24"/>
                <w:szCs w:val="20"/>
                <w:u w:val="none" w:color="auto"/>
                <w:lang w:val="en-US" w:eastAsia="zh-CN"/>
              </w:rPr>
              <w:t xml:space="preserve">  废气污染物排放标准</w:t>
            </w:r>
          </w:p>
          <w:tbl>
            <w:tblPr>
              <w:tblStyle w:val="24"/>
              <w:tblpPr w:leftFromText="181" w:rightFromText="181" w:vertAnchor="text" w:horzAnchor="margin" w:tblpX="1" w:tblpY="1"/>
              <w:tblW w:w="76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2073"/>
              <w:gridCol w:w="1120"/>
              <w:gridCol w:w="2445"/>
              <w:gridCol w:w="1569"/>
            </w:tblGrid>
            <w:tr w14:paraId="0A13B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64" w:type="dxa"/>
                  <w:gridSpan w:val="2"/>
                  <w:vAlign w:val="center"/>
                </w:tcPr>
                <w:p w14:paraId="5A62364F">
                  <w:pPr>
                    <w:pStyle w:val="71"/>
                    <w:widowControl w:val="0"/>
                    <w:wordWrap/>
                    <w:autoSpaceDE w:val="0"/>
                    <w:autoSpaceDN w:val="0"/>
                    <w:adjustRightInd/>
                    <w:snapToGrid/>
                    <w:spacing w:beforeAutospacing="0" w:afterAutospacing="0"/>
                    <w:textAlignment w:val="auto"/>
                    <w:rPr>
                      <w:rFonts w:hint="default" w:ascii="Times New Roman" w:hAnsi="Times New Roman" w:eastAsia="宋体"/>
                      <w:b/>
                      <w:bCs/>
                      <w:sz w:val="21"/>
                      <w:szCs w:val="21"/>
                      <w:u w:val="none" w:color="auto"/>
                    </w:rPr>
                  </w:pPr>
                  <w:r>
                    <w:rPr>
                      <w:rFonts w:hint="default" w:ascii="Times New Roman" w:hAnsi="Times New Roman" w:eastAsia="宋体"/>
                      <w:b/>
                      <w:bCs/>
                      <w:sz w:val="21"/>
                      <w:szCs w:val="21"/>
                      <w:u w:val="none" w:color="auto"/>
                    </w:rPr>
                    <w:t>执行标准</w:t>
                  </w:r>
                </w:p>
              </w:tc>
              <w:tc>
                <w:tcPr>
                  <w:tcW w:w="5134" w:type="dxa"/>
                  <w:gridSpan w:val="3"/>
                  <w:vAlign w:val="center"/>
                </w:tcPr>
                <w:p w14:paraId="226076A2">
                  <w:pPr>
                    <w:pStyle w:val="71"/>
                    <w:widowControl w:val="0"/>
                    <w:wordWrap/>
                    <w:autoSpaceDE w:val="0"/>
                    <w:autoSpaceDN w:val="0"/>
                    <w:adjustRightInd/>
                    <w:snapToGrid/>
                    <w:spacing w:beforeAutospacing="0" w:afterAutospacing="0"/>
                    <w:textAlignment w:val="auto"/>
                    <w:rPr>
                      <w:rFonts w:hint="default" w:ascii="Times New Roman" w:hAnsi="Times New Roman" w:eastAsia="宋体"/>
                      <w:b/>
                      <w:bCs/>
                      <w:sz w:val="21"/>
                      <w:szCs w:val="21"/>
                      <w:u w:val="none" w:color="auto"/>
                    </w:rPr>
                  </w:pPr>
                  <w:r>
                    <w:rPr>
                      <w:rFonts w:hint="default" w:ascii="Times New Roman" w:hAnsi="Times New Roman" w:eastAsia="宋体"/>
                      <w:b/>
                      <w:bCs/>
                      <w:sz w:val="21"/>
                      <w:szCs w:val="21"/>
                      <w:u w:val="none" w:color="auto"/>
                    </w:rPr>
                    <w:t>标准值</w:t>
                  </w:r>
                </w:p>
              </w:tc>
            </w:tr>
            <w:tr w14:paraId="198DF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491" w:type="dxa"/>
                  <w:vMerge w:val="restart"/>
                  <w:vAlign w:val="center"/>
                </w:tcPr>
                <w:p w14:paraId="32902257">
                  <w:pPr>
                    <w:pStyle w:val="71"/>
                    <w:widowControl w:val="0"/>
                    <w:wordWrap/>
                    <w:autoSpaceDE w:val="0"/>
                    <w:autoSpaceDN w:val="0"/>
                    <w:adjustRightInd/>
                    <w:snapToGrid/>
                    <w:spacing w:beforeAutospacing="0" w:afterAutospacing="0"/>
                    <w:textAlignment w:val="auto"/>
                    <w:rPr>
                      <w:rFonts w:hint="eastAsia" w:ascii="Times New Roman" w:hAnsi="Times New Roman" w:eastAsia="宋体" w:cs="宋体"/>
                      <w:sz w:val="21"/>
                      <w:szCs w:val="21"/>
                      <w:u w:val="none" w:color="auto"/>
                      <w:lang w:val="en-US" w:eastAsia="zh-CN"/>
                    </w:rPr>
                  </w:pPr>
                  <w:r>
                    <w:rPr>
                      <w:rFonts w:hint="eastAsia" w:ascii="Times New Roman" w:hAnsi="Times New Roman" w:eastAsia="宋体" w:cs="宋体"/>
                      <w:sz w:val="21"/>
                      <w:szCs w:val="21"/>
                      <w:u w:val="none" w:color="auto"/>
                      <w:lang w:val="en-US" w:eastAsia="zh-CN"/>
                    </w:rPr>
                    <w:t>运营期</w:t>
                  </w:r>
                </w:p>
              </w:tc>
              <w:tc>
                <w:tcPr>
                  <w:tcW w:w="2073" w:type="dxa"/>
                  <w:vMerge w:val="restart"/>
                  <w:vAlign w:val="center"/>
                </w:tcPr>
                <w:p w14:paraId="4B3343BF">
                  <w:pPr>
                    <w:pStyle w:val="71"/>
                    <w:widowControl w:val="0"/>
                    <w:wordWrap/>
                    <w:autoSpaceDE w:val="0"/>
                    <w:autoSpaceDN w:val="0"/>
                    <w:adjustRightInd/>
                    <w:snapToGrid/>
                    <w:spacing w:beforeAutospacing="0" w:afterAutospacing="0"/>
                    <w:jc w:val="both"/>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《合成树脂工业污染物排放标准》（GB31572-2015</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及2024年修改单</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）表5</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、表9</w:t>
                  </w:r>
                </w:p>
              </w:tc>
              <w:tc>
                <w:tcPr>
                  <w:tcW w:w="1120" w:type="dxa"/>
                  <w:vMerge w:val="restart"/>
                  <w:vAlign w:val="center"/>
                </w:tcPr>
                <w:p w14:paraId="73B92013">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非甲烷总烃</w:t>
                  </w:r>
                </w:p>
              </w:tc>
              <w:tc>
                <w:tcPr>
                  <w:tcW w:w="2445" w:type="dxa"/>
                  <w:vAlign w:val="center"/>
                </w:tcPr>
                <w:p w14:paraId="1DE1D005">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eastAsia="宋体"/>
                      <w:color w:val="000000" w:themeColor="text1"/>
                      <w:sz w:val="21"/>
                      <w:szCs w:val="21"/>
                      <w:u w:val="none" w:color="auto"/>
                      <w:lang w:val="en-US"/>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车间或生产设施排气筒</w:t>
                  </w:r>
                </w:p>
              </w:tc>
              <w:tc>
                <w:tcPr>
                  <w:tcW w:w="1569" w:type="dxa"/>
                  <w:vAlign w:val="center"/>
                </w:tcPr>
                <w:p w14:paraId="1D6BF7BE">
                  <w:pPr>
                    <w:pStyle w:val="71"/>
                    <w:widowControl w:val="0"/>
                    <w:wordWrap/>
                    <w:autoSpaceDE w:val="0"/>
                    <w:autoSpaceDN w:val="0"/>
                    <w:adjustRightInd/>
                    <w:snapToGrid/>
                    <w:spacing w:beforeAutospacing="0" w:afterAutospacing="0"/>
                    <w:textAlignment w:val="auto"/>
                    <w:rPr>
                      <w:rFonts w:hint="default" w:ascii="Times New Roman" w:hAnsi="Times New Roman" w:eastAsia="宋体"/>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10EBB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491" w:type="dxa"/>
                  <w:vMerge w:val="continue"/>
                  <w:vAlign w:val="center"/>
                </w:tcPr>
                <w:p w14:paraId="65639230">
                  <w:pPr>
                    <w:pStyle w:val="71"/>
                    <w:widowControl w:val="0"/>
                    <w:wordWrap/>
                    <w:autoSpaceDE w:val="0"/>
                    <w:autoSpaceDN w:val="0"/>
                    <w:adjustRightInd/>
                    <w:snapToGrid/>
                    <w:spacing w:beforeAutospacing="0" w:afterAutospacing="0"/>
                    <w:textAlignment w:val="auto"/>
                    <w:rPr>
                      <w:rFonts w:hint="default"/>
                    </w:rPr>
                  </w:pPr>
                </w:p>
              </w:tc>
              <w:tc>
                <w:tcPr>
                  <w:tcW w:w="2073" w:type="dxa"/>
                  <w:vMerge w:val="continue"/>
                  <w:vAlign w:val="center"/>
                </w:tcPr>
                <w:p w14:paraId="0FD941E0">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1120" w:type="dxa"/>
                  <w:vMerge w:val="continue"/>
                  <w:vAlign w:val="center"/>
                </w:tcPr>
                <w:p w14:paraId="7D7F8067">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2445" w:type="dxa"/>
                  <w:vAlign w:val="center"/>
                </w:tcPr>
                <w:p w14:paraId="299019AA">
                  <w:pPr>
                    <w:pStyle w:val="71"/>
                    <w:widowControl w:val="0"/>
                    <w:wordWrap/>
                    <w:autoSpaceDE w:val="0"/>
                    <w:autoSpaceDN w:val="0"/>
                    <w:adjustRightInd/>
                    <w:snapToGrid/>
                    <w:spacing w:beforeAutospacing="0" w:afterAutospacing="0"/>
                    <w:ind w:left="0" w:leftChars="0" w:right="0" w:firstLine="0" w:firstLineChars="0"/>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单位产品非甲烷总烃排放量（kg/t产品）</w:t>
                  </w:r>
                </w:p>
              </w:tc>
              <w:tc>
                <w:tcPr>
                  <w:tcW w:w="1569" w:type="dxa"/>
                  <w:vAlign w:val="center"/>
                </w:tcPr>
                <w:p w14:paraId="37880CCE">
                  <w:pPr>
                    <w:pStyle w:val="71"/>
                    <w:widowControl w:val="0"/>
                    <w:wordWrap/>
                    <w:autoSpaceDE w:val="0"/>
                    <w:autoSpaceDN w:val="0"/>
                    <w:adjustRightInd/>
                    <w:snapToGrid/>
                    <w:spacing w:beforeAutospacing="0" w:afterAutospacing="0"/>
                    <w:ind w:left="0" w:leftChars="0" w:right="0" w:firstLine="0" w:firstLineChars="0"/>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0.3</w:t>
                  </w:r>
                </w:p>
              </w:tc>
            </w:tr>
            <w:tr w14:paraId="572ED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491" w:type="dxa"/>
                  <w:vMerge w:val="continue"/>
                  <w:vAlign w:val="center"/>
                </w:tcPr>
                <w:p w14:paraId="23AF759C">
                  <w:pPr>
                    <w:pStyle w:val="71"/>
                    <w:widowControl w:val="0"/>
                    <w:wordWrap/>
                    <w:autoSpaceDE w:val="0"/>
                    <w:autoSpaceDN w:val="0"/>
                    <w:adjustRightInd/>
                    <w:snapToGrid/>
                    <w:spacing w:beforeAutospacing="0" w:afterAutospacing="0"/>
                    <w:textAlignment w:val="auto"/>
                    <w:rPr>
                      <w:rFonts w:hint="default"/>
                    </w:rPr>
                  </w:pPr>
                </w:p>
              </w:tc>
              <w:tc>
                <w:tcPr>
                  <w:tcW w:w="2073" w:type="dxa"/>
                  <w:vMerge w:val="continue"/>
                  <w:vAlign w:val="center"/>
                </w:tcPr>
                <w:p w14:paraId="4900C28F">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1120" w:type="dxa"/>
                  <w:vMerge w:val="continue"/>
                  <w:vAlign w:val="center"/>
                </w:tcPr>
                <w:p w14:paraId="41ED9F82">
                  <w:pPr>
                    <w:pStyle w:val="71"/>
                    <w:widowControl w:val="0"/>
                    <w:wordWrap/>
                    <w:autoSpaceDE w:val="0"/>
                    <w:autoSpaceDN w:val="0"/>
                    <w:adjustRightInd/>
                    <w:snapToGrid/>
                    <w:spacing w:beforeAutospacing="0" w:afterAutospacing="0"/>
                    <w:textAlignment w:val="auto"/>
                    <w:rPr>
                      <w:rFonts w:hint="default"/>
                      <w:color w:val="000000" w:themeColor="text1"/>
                      <w14:textFill>
                        <w14:solidFill>
                          <w14:schemeClr w14:val="tx1"/>
                        </w14:solidFill>
                      </w14:textFill>
                    </w:rPr>
                  </w:pPr>
                </w:p>
              </w:tc>
              <w:tc>
                <w:tcPr>
                  <w:tcW w:w="2445" w:type="dxa"/>
                  <w:vAlign w:val="center"/>
                </w:tcPr>
                <w:p w14:paraId="6E7AEE96">
                  <w:pPr>
                    <w:pStyle w:val="71"/>
                    <w:widowControl w:val="0"/>
                    <w:wordWrap/>
                    <w:autoSpaceDE w:val="0"/>
                    <w:autoSpaceDN w:val="0"/>
                    <w:adjustRightInd/>
                    <w:snapToGrid/>
                    <w:spacing w:beforeAutospacing="0" w:afterAutospacing="0"/>
                    <w:ind w:left="0" w:leftChars="0" w:right="0" w:firstLine="0" w:firstLineChars="0"/>
                    <w:jc w:val="both"/>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企业边界大气污染物浓度限值</w:t>
                  </w:r>
                </w:p>
              </w:tc>
              <w:tc>
                <w:tcPr>
                  <w:tcW w:w="1569" w:type="dxa"/>
                  <w:vAlign w:val="center"/>
                </w:tcPr>
                <w:p w14:paraId="0BC328F9">
                  <w:pPr>
                    <w:pStyle w:val="71"/>
                    <w:widowControl w:val="0"/>
                    <w:wordWrap/>
                    <w:autoSpaceDE w:val="0"/>
                    <w:autoSpaceDN w:val="0"/>
                    <w:adjustRightInd/>
                    <w:snapToGrid/>
                    <w:spacing w:beforeAutospacing="0" w:afterAutospacing="0"/>
                    <w:ind w:left="0" w:leftChars="0" w:right="0" w:firstLine="0" w:firstLineChars="0"/>
                    <w:textAlignment w:val="auto"/>
                    <w:rPr>
                      <w:rFonts w:hint="default"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64AD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491" w:type="dxa"/>
                  <w:vMerge w:val="continue"/>
                  <w:vAlign w:val="center"/>
                </w:tcPr>
                <w:p w14:paraId="5E9397E8">
                  <w:pPr>
                    <w:pStyle w:val="71"/>
                    <w:widowControl w:val="0"/>
                    <w:wordWrap/>
                    <w:autoSpaceDE w:val="0"/>
                    <w:autoSpaceDN w:val="0"/>
                    <w:adjustRightInd/>
                    <w:snapToGrid/>
                    <w:spacing w:beforeAutospacing="0" w:afterAutospacing="0"/>
                    <w:textAlignment w:val="auto"/>
                    <w:rPr>
                      <w:rFonts w:hint="default"/>
                    </w:rPr>
                  </w:pPr>
                </w:p>
              </w:tc>
              <w:tc>
                <w:tcPr>
                  <w:tcW w:w="2073" w:type="dxa"/>
                  <w:vAlign w:val="center"/>
                </w:tcPr>
                <w:p w14:paraId="128B7E44">
                  <w:pPr>
                    <w:pStyle w:val="71"/>
                    <w:widowControl w:val="0"/>
                    <w:wordWrap/>
                    <w:autoSpaceDE w:val="0"/>
                    <w:autoSpaceDN w:val="0"/>
                    <w:adjustRightInd/>
                    <w:snapToGrid/>
                    <w:spacing w:beforeAutospacing="0" w:afterAutospacing="0"/>
                    <w:jc w:val="both"/>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《大气污染物综合排放标准》（GB16297-1996）</w:t>
                  </w:r>
                </w:p>
              </w:tc>
              <w:tc>
                <w:tcPr>
                  <w:tcW w:w="1120" w:type="dxa"/>
                  <w:vAlign w:val="center"/>
                </w:tcPr>
                <w:p w14:paraId="73524013">
                  <w:pPr>
                    <w:pStyle w:val="71"/>
                    <w:widowControl w:val="0"/>
                    <w:wordWrap/>
                    <w:autoSpaceDE w:val="0"/>
                    <w:autoSpaceDN w:val="0"/>
                    <w:adjustRightInd/>
                    <w:snapToGrid/>
                    <w:spacing w:beforeAutospacing="0" w:afterAutospacing="0"/>
                    <w:textAlignment w:val="auto"/>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c>
                <w:tcPr>
                  <w:tcW w:w="2445" w:type="dxa"/>
                  <w:vAlign w:val="center"/>
                </w:tcPr>
                <w:p w14:paraId="7B918295">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无组织排放监控浓度限值</w:t>
                  </w:r>
                </w:p>
              </w:tc>
              <w:tc>
                <w:tcPr>
                  <w:tcW w:w="1569" w:type="dxa"/>
                  <w:vAlign w:val="center"/>
                </w:tcPr>
                <w:p w14:paraId="2E8826FC">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39AFA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91" w:type="dxa"/>
                  <w:vMerge w:val="continue"/>
                  <w:vAlign w:val="center"/>
                </w:tcPr>
                <w:p w14:paraId="2DAB7E7A">
                  <w:pPr>
                    <w:pStyle w:val="71"/>
                    <w:widowControl w:val="0"/>
                    <w:wordWrap/>
                    <w:autoSpaceDE w:val="0"/>
                    <w:autoSpaceDN w:val="0"/>
                    <w:adjustRightInd/>
                    <w:snapToGrid/>
                    <w:spacing w:beforeAutospacing="0" w:afterAutospacing="0"/>
                    <w:textAlignment w:val="auto"/>
                    <w:rPr>
                      <w:rFonts w:hint="default"/>
                      <w:color w:val="C00000"/>
                    </w:rPr>
                  </w:pPr>
                </w:p>
              </w:tc>
              <w:tc>
                <w:tcPr>
                  <w:tcW w:w="2073" w:type="dxa"/>
                  <w:vMerge w:val="restart"/>
                  <w:vAlign w:val="center"/>
                </w:tcPr>
                <w:p w14:paraId="554C066E">
                  <w:pPr>
                    <w:pStyle w:val="71"/>
                    <w:widowControl w:val="0"/>
                    <w:wordWrap/>
                    <w:autoSpaceDE w:val="0"/>
                    <w:autoSpaceDN w:val="0"/>
                    <w:adjustRightInd/>
                    <w:snapToGrid/>
                    <w:spacing w:beforeAutospacing="0" w:afterAutospacing="0"/>
                    <w:jc w:val="both"/>
                    <w:textAlignment w:val="auto"/>
                    <w:rPr>
                      <w:rFonts w:hint="default" w:ascii="Times New Roman" w:hAnsi="Times New Roman" w:eastAsia="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begin"/>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separate"/>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挥发性有机物无组织排放控制标准（GB37822</w:t>
                  </w:r>
                  <w:r>
                    <w:rPr>
                      <w:rFonts w:hint="eastAsia" w:ascii="Times New Roman" w:hAnsi="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2019）</w:t>
                  </w: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fldChar w:fldCharType="end"/>
                  </w:r>
                </w:p>
              </w:tc>
              <w:tc>
                <w:tcPr>
                  <w:tcW w:w="1120" w:type="dxa"/>
                  <w:vMerge w:val="restart"/>
                  <w:vAlign w:val="center"/>
                </w:tcPr>
                <w:p w14:paraId="41B0629A">
                  <w:pPr>
                    <w:pStyle w:val="71"/>
                    <w:widowControl w:val="0"/>
                    <w:wordWrap/>
                    <w:autoSpaceDE w:val="0"/>
                    <w:autoSpaceDN w:val="0"/>
                    <w:adjustRightInd/>
                    <w:snapToGrid/>
                    <w:spacing w:beforeAutospacing="0" w:afterAutospacing="0"/>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2445" w:type="dxa"/>
                  <w:vAlign w:val="center"/>
                </w:tcPr>
                <w:p w14:paraId="3DBB0DBD">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监控点处1h平均浓度值</w:t>
                  </w:r>
                </w:p>
              </w:tc>
              <w:tc>
                <w:tcPr>
                  <w:tcW w:w="1569" w:type="dxa"/>
                  <w:vAlign w:val="center"/>
                </w:tcPr>
                <w:p w14:paraId="490F0B51">
                  <w:pPr>
                    <w:pStyle w:val="71"/>
                    <w:widowControl w:val="0"/>
                    <w:wordWrap/>
                    <w:autoSpaceDE w:val="0"/>
                    <w:autoSpaceDN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r w14:paraId="02AC8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91" w:type="dxa"/>
                  <w:vMerge w:val="continue"/>
                  <w:vAlign w:val="center"/>
                </w:tcPr>
                <w:p w14:paraId="581D041A">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color w:val="C00000"/>
                    </w:rPr>
                  </w:pPr>
                </w:p>
              </w:tc>
              <w:tc>
                <w:tcPr>
                  <w:tcW w:w="2073" w:type="dxa"/>
                  <w:vMerge w:val="continue"/>
                  <w:vAlign w:val="center"/>
                </w:tcPr>
                <w:p w14:paraId="5001B68E">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color w:val="000000" w:themeColor="text1"/>
                      <w14:textFill>
                        <w14:solidFill>
                          <w14:schemeClr w14:val="tx1"/>
                        </w14:solidFill>
                      </w14:textFill>
                    </w:rPr>
                  </w:pPr>
                </w:p>
              </w:tc>
              <w:tc>
                <w:tcPr>
                  <w:tcW w:w="1120" w:type="dxa"/>
                  <w:vMerge w:val="continue"/>
                  <w:vAlign w:val="center"/>
                </w:tcPr>
                <w:p w14:paraId="014D6DBF">
                  <w:pPr>
                    <w:pStyle w:val="71"/>
                    <w:widowControl w:val="0"/>
                    <w:wordWrap/>
                    <w:autoSpaceDE w:val="0"/>
                    <w:autoSpaceDN w:val="0"/>
                    <w:adjustRightInd/>
                    <w:snapToGrid/>
                    <w:spacing w:beforeAutospacing="0" w:afterAutospacing="0"/>
                    <w:ind w:left="0" w:leftChars="0" w:right="0" w:rightChars="0" w:firstLine="0" w:firstLineChars="0"/>
                    <w:textAlignment w:val="auto"/>
                    <w:rPr>
                      <w:rFonts w:hint="default"/>
                      <w:color w:val="000000" w:themeColor="text1"/>
                      <w14:textFill>
                        <w14:solidFill>
                          <w14:schemeClr w14:val="tx1"/>
                        </w14:solidFill>
                      </w14:textFill>
                    </w:rPr>
                  </w:pPr>
                </w:p>
              </w:tc>
              <w:tc>
                <w:tcPr>
                  <w:tcW w:w="2445" w:type="dxa"/>
                  <w:vAlign w:val="center"/>
                </w:tcPr>
                <w:p w14:paraId="2A21EC81">
                  <w:pPr>
                    <w:pStyle w:val="71"/>
                    <w:widowControl w:val="0"/>
                    <w:wordWrap/>
                    <w:autoSpaceDE w:val="0"/>
                    <w:autoSpaceDN w:val="0"/>
                    <w:adjustRightInd/>
                    <w:snapToGrid/>
                    <w:spacing w:beforeAutospacing="0" w:afterAutospacing="0"/>
                    <w:ind w:left="0" w:leftChars="0" w:right="0" w:rightChars="0" w:firstLine="0" w:firstLineChars="0"/>
                    <w:jc w:val="both"/>
                    <w:textAlignment w:val="auto"/>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监控点处任意一次浓度值</w:t>
                  </w:r>
                </w:p>
              </w:tc>
              <w:tc>
                <w:tcPr>
                  <w:tcW w:w="1569" w:type="dxa"/>
                  <w:vAlign w:val="center"/>
                </w:tcPr>
                <w:p w14:paraId="3D4351F1">
                  <w:pPr>
                    <w:pStyle w:val="71"/>
                    <w:widowControl w:val="0"/>
                    <w:wordWrap/>
                    <w:autoSpaceDE w:val="0"/>
                    <w:autoSpaceDN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eastAsia="宋体" w:cs="Times New Roman"/>
                      <w:color w:val="000000" w:themeColor="text1"/>
                      <w:sz w:val="21"/>
                      <w:szCs w:val="21"/>
                      <w:u w:val="none" w:color="auto"/>
                      <w:vertAlign w:val="superscript"/>
                      <w:lang w:val="en-US"/>
                      <w14:textFill>
                        <w14:solidFill>
                          <w14:schemeClr w14:val="tx1"/>
                        </w14:solidFill>
                      </w14:textFill>
                    </w:rPr>
                    <w:t>3</w:t>
                  </w:r>
                </w:p>
              </w:tc>
            </w:tr>
          </w:tbl>
          <w:p w14:paraId="658C27E3">
            <w:pPr>
              <w:keepNext w:val="0"/>
              <w:keepLines w:val="0"/>
              <w:pageBreakBefore w:val="0"/>
              <w:suppressLineNumbers w:val="0"/>
              <w:kinsoku/>
              <w:wordWrap/>
              <w:overflowPunct/>
              <w:topLinePunct w:val="0"/>
              <w:autoSpaceDE w:val="0"/>
              <w:autoSpaceDN w:val="0"/>
              <w:bidi w:val="0"/>
              <w:spacing w:beforeAutospacing="0" w:afterAutospacing="0" w:line="360" w:lineRule="exact"/>
              <w:jc w:val="both"/>
              <w:textAlignment w:val="auto"/>
              <w:rPr>
                <w:rFonts w:hint="eastAsia"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lang w:val="en-US" w:eastAsia="zh-CN"/>
              </w:rPr>
              <w:t>注：非甲烷总烃参考执行河南省</w:t>
            </w:r>
            <w:r>
              <w:rPr>
                <w:rFonts w:hint="default" w:ascii="Times New Roman" w:hAnsi="Times New Roman" w:eastAsia="宋体" w:cs="Times New Roman"/>
                <w:sz w:val="21"/>
                <w:szCs w:val="21"/>
                <w:lang w:val="en-US" w:bidi="ar-SA"/>
              </w:rPr>
              <w:t>《关于全省开展工业企业挥发性有机物专项治理工作中排放建议值的通知》（豫环攻坚办〔2017〕162号）</w:t>
            </w:r>
            <w:r>
              <w:rPr>
                <w:rFonts w:hint="default" w:ascii="Times New Roman" w:hAnsi="Times New Roman" w:eastAsia="宋体" w:cs="Times New Roman"/>
                <w:sz w:val="21"/>
                <w:szCs w:val="21"/>
                <w:lang w:val="en-US" w:eastAsia="zh-CN" w:bidi="ar-SA"/>
              </w:rPr>
              <w:t>有组织浓度限值</w:t>
            </w:r>
            <w:r>
              <w:rPr>
                <w:rFonts w:hint="eastAsia" w:ascii="Times New Roman" w:hAnsi="Times New Roman" w:cs="Times New Roman"/>
                <w:b w:val="0"/>
                <w:color w:val="auto"/>
                <w:sz w:val="21"/>
                <w:szCs w:val="21"/>
                <w:lang w:val="en-US" w:eastAsia="zh-CN"/>
              </w:rPr>
              <w:t>80</w:t>
            </w:r>
            <w:r>
              <w:rPr>
                <w:rFonts w:hint="default" w:ascii="Times New Roman" w:hAnsi="Times New Roman" w:eastAsia="宋体" w:cs="Times New Roman"/>
                <w:b w:val="0"/>
                <w:color w:val="auto"/>
                <w:sz w:val="21"/>
                <w:szCs w:val="21"/>
              </w:rPr>
              <w:t>mg/m³（去除效率70%）</w:t>
            </w:r>
            <w:r>
              <w:rPr>
                <w:rFonts w:hint="default" w:ascii="Times New Roman" w:hAnsi="Times New Roman" w:eastAsia="宋体" w:cs="Times New Roman"/>
                <w:b w:val="0"/>
                <w:color w:val="auto"/>
                <w:sz w:val="21"/>
                <w:szCs w:val="21"/>
                <w:lang w:eastAsia="zh-CN"/>
              </w:rPr>
              <w:t>，厂界无组织浓度限值</w:t>
            </w:r>
            <w:r>
              <w:rPr>
                <w:rFonts w:hint="default" w:ascii="Times New Roman" w:hAnsi="Times New Roman" w:eastAsia="宋体" w:cs="Times New Roman"/>
                <w:b w:val="0"/>
                <w:color w:val="auto"/>
                <w:sz w:val="21"/>
                <w:szCs w:val="21"/>
              </w:rPr>
              <w:t>2.0mg/m³</w:t>
            </w:r>
            <w:r>
              <w:rPr>
                <w:rFonts w:hint="eastAsia" w:ascii="Times New Roman" w:hAnsi="Times New Roman" w:cs="Times New Roman"/>
                <w:b w:val="0"/>
                <w:color w:val="auto"/>
                <w:sz w:val="21"/>
                <w:szCs w:val="21"/>
                <w:lang w:eastAsia="zh-CN"/>
              </w:rPr>
              <w:t>；</w:t>
            </w:r>
            <w:r>
              <w:rPr>
                <w:rFonts w:hint="default" w:ascii="Times New Roman" w:hAnsi="Times New Roman" w:eastAsia="宋体" w:cs="Times New Roman"/>
                <w:sz w:val="21"/>
                <w:szCs w:val="21"/>
                <w:u w:val="none"/>
                <w:lang w:val="en-US" w:eastAsia="zh-CN"/>
              </w:rPr>
              <w:t>《</w:t>
            </w:r>
            <w:r>
              <w:rPr>
                <w:rFonts w:hint="eastAsia" w:ascii="Times New Roman" w:hAnsi="Times New Roman" w:eastAsia="宋体" w:cs="Times New Roman"/>
                <w:sz w:val="21"/>
                <w:szCs w:val="21"/>
                <w:u w:val="none"/>
                <w:lang w:val="en-US" w:eastAsia="zh-CN"/>
              </w:rPr>
              <w:t>河南省重污染天气重点行业应急减排（2024年修订版）</w:t>
            </w:r>
            <w:r>
              <w:rPr>
                <w:rFonts w:hint="default" w:ascii="Times New Roman" w:hAnsi="Times New Roman" w:eastAsia="宋体" w:cs="Times New Roman"/>
                <w:sz w:val="21"/>
                <w:szCs w:val="21"/>
                <w:u w:val="none"/>
                <w:lang w:val="en-US" w:eastAsia="zh-CN"/>
              </w:rPr>
              <w:t>》</w:t>
            </w:r>
            <w:r>
              <w:rPr>
                <w:rFonts w:hint="eastAsia" w:ascii="Times New Roman" w:hAnsi="Times New Roman" w:eastAsia="宋体" w:cs="Times New Roman"/>
                <w:sz w:val="21"/>
                <w:szCs w:val="21"/>
                <w:u w:val="none"/>
                <w:lang w:val="en-US" w:eastAsia="zh-CN"/>
              </w:rPr>
              <w:t>塑料制品行业A级</w:t>
            </w:r>
            <w:r>
              <w:rPr>
                <w:rFonts w:hint="eastAsia" w:ascii="Times New Roman" w:hAnsi="Times New Roman" w:cs="Times New Roman"/>
                <w:kern w:val="0"/>
                <w:sz w:val="21"/>
                <w:szCs w:val="21"/>
                <w:u w:val="none"/>
                <w:lang w:val="en-US" w:eastAsia="zh-CN"/>
              </w:rPr>
              <w:t>企业绩效分级指标，</w:t>
            </w:r>
            <w:r>
              <w:rPr>
                <w:rFonts w:hint="eastAsia" w:ascii="Times New Roman" w:hAnsi="Times New Roman" w:eastAsia="宋体" w:cs="Times New Roman"/>
                <w:sz w:val="21"/>
                <w:szCs w:val="21"/>
                <w:u w:val="none"/>
              </w:rPr>
              <w:t>车间或生产设施排气筒排放的</w:t>
            </w:r>
            <w:r>
              <w:rPr>
                <w:rFonts w:hint="default" w:ascii="Times New Roman" w:hAnsi="Times New Roman" w:eastAsia="宋体" w:cs="Times New Roman"/>
                <w:sz w:val="21"/>
                <w:szCs w:val="21"/>
                <w:u w:val="none"/>
              </w:rPr>
              <w:t>NMHC</w:t>
            </w:r>
            <w:r>
              <w:rPr>
                <w:rFonts w:hint="eastAsia" w:ascii="Times New Roman" w:hAnsi="Times New Roman" w:eastAsia="宋体" w:cs="Times New Roman"/>
                <w:sz w:val="21"/>
                <w:szCs w:val="21"/>
                <w:u w:val="none"/>
              </w:rPr>
              <w:t>为</w:t>
            </w:r>
            <w:r>
              <w:rPr>
                <w:rFonts w:hint="eastAsia" w:ascii="Times New Roman" w:hAnsi="Times New Roman" w:eastAsia="宋体" w:cs="Times New Roman"/>
                <w:sz w:val="21"/>
                <w:szCs w:val="21"/>
                <w:u w:val="none"/>
                <w:lang w:val="en-US" w:eastAsia="zh-CN"/>
              </w:rPr>
              <w:t>10</w:t>
            </w:r>
            <w:r>
              <w:rPr>
                <w:rFonts w:hint="default" w:ascii="Times New Roman" w:hAnsi="Times New Roman" w:eastAsia="宋体" w:cs="Times New Roman"/>
                <w:sz w:val="21"/>
                <w:szCs w:val="21"/>
                <w:u w:val="none"/>
              </w:rPr>
              <w:t>mg/m</w:t>
            </w:r>
            <w:r>
              <w:rPr>
                <w:rFonts w:hint="default" w:ascii="Times New Roman" w:hAnsi="Times New Roman" w:eastAsia="宋体" w:cs="Times New Roman"/>
                <w:sz w:val="21"/>
                <w:szCs w:val="21"/>
                <w:u w:val="none"/>
                <w:vertAlign w:val="superscript"/>
              </w:rPr>
              <w:t>3</w:t>
            </w:r>
            <w:r>
              <w:rPr>
                <w:rFonts w:hint="eastAsia" w:ascii="Times New Roman" w:hAnsi="Times New Roman" w:cs="Times New Roman"/>
                <w:sz w:val="21"/>
                <w:szCs w:val="21"/>
                <w:u w:val="none"/>
                <w:vertAlign w:val="baseline"/>
                <w:lang w:eastAsia="zh-CN"/>
              </w:rPr>
              <w:t>，</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生产车间或生产设备的无组织排放监控点</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浓度低于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4mg/m³</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，企业边界</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1hNMHC</w:t>
            </w:r>
            <w:r>
              <w:rPr>
                <w:rFonts w:hint="eastAsia"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平均浓度低于</w:t>
            </w:r>
            <w:r>
              <w:rPr>
                <w:rFonts w:hint="default" w:ascii="Times New Roman" w:hAnsi="Times New Roman" w:eastAsia="宋体" w:cs="Times New Roman"/>
                <w:b w:val="0"/>
                <w:bCs/>
                <w:color w:val="000000" w:themeColor="text1"/>
                <w:sz w:val="21"/>
                <w:szCs w:val="21"/>
                <w:u w:val="none" w:color="auto"/>
                <w:lang w:val="en-US" w:eastAsia="zh-CN"/>
                <w14:textFill>
                  <w14:solidFill>
                    <w14:schemeClr w14:val="tx1"/>
                  </w14:solidFill>
                </w14:textFill>
              </w:rPr>
              <w:t>2mg/m³</w:t>
            </w:r>
            <w:r>
              <w:rPr>
                <w:rFonts w:hint="eastAsia" w:ascii="Times New Roman" w:hAnsi="Times New Roman" w:eastAsia="宋体" w:cs="Times New Roman"/>
                <w:sz w:val="21"/>
                <w:szCs w:val="21"/>
                <w:u w:val="none"/>
                <w:lang w:val="en-US" w:eastAsia="zh-CN"/>
              </w:rPr>
              <w:t>。</w:t>
            </w:r>
          </w:p>
          <w:p w14:paraId="603CD9A3">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cs="Times New Roman"/>
                <w:b/>
                <w:bCs/>
                <w:sz w:val="24"/>
                <w:szCs w:val="24"/>
                <w:u w:val="none" w:color="auto"/>
                <w:lang w:val="en-US" w:eastAsia="zh-CN" w:bidi="zh-CN"/>
              </w:rPr>
              <w:t>2</w:t>
            </w:r>
            <w:r>
              <w:rPr>
                <w:rFonts w:hint="eastAsia" w:ascii="Times New Roman" w:hAnsi="Times New Roman" w:eastAsia="宋体" w:cs="Times New Roman"/>
                <w:b/>
                <w:bCs/>
                <w:sz w:val="24"/>
                <w:szCs w:val="24"/>
                <w:u w:val="none" w:color="auto"/>
                <w:lang w:val="en-US" w:eastAsia="zh-CN" w:bidi="zh-CN"/>
              </w:rPr>
              <w:t>、</w:t>
            </w:r>
            <w:r>
              <w:rPr>
                <w:rFonts w:hint="eastAsia" w:ascii="Times New Roman" w:hAnsi="Times New Roman" w:cs="Times New Roman"/>
                <w:b/>
                <w:bCs/>
                <w:sz w:val="24"/>
                <w:szCs w:val="24"/>
                <w:u w:val="none" w:color="auto"/>
                <w:lang w:val="en-US" w:eastAsia="zh-CN" w:bidi="zh-CN"/>
              </w:rPr>
              <w:t>废水</w:t>
            </w:r>
          </w:p>
          <w:p w14:paraId="0ACCCE83">
            <w:pPr>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cs="Times New Roman"/>
                <w:b w:val="0"/>
                <w:bCs w:val="0"/>
                <w:sz w:val="24"/>
                <w:szCs w:val="24"/>
                <w:lang w:val="en-US" w:eastAsia="zh-CN" w:bidi="zh-CN"/>
              </w:rPr>
              <w:t>厂区</w:t>
            </w:r>
            <w:r>
              <w:rPr>
                <w:rFonts w:hint="eastAsia" w:ascii="Times New Roman" w:hAnsi="Times New Roman" w:eastAsia="宋体" w:cs="Times New Roman"/>
                <w:b w:val="0"/>
                <w:bCs w:val="0"/>
                <w:sz w:val="24"/>
                <w:szCs w:val="24"/>
                <w:lang w:val="en-US" w:eastAsia="zh-CN" w:bidi="zh-CN"/>
              </w:rPr>
              <w:t>运营期</w:t>
            </w:r>
            <w:r>
              <w:rPr>
                <w:rFonts w:hint="eastAsia" w:ascii="Times New Roman" w:hAnsi="Times New Roman" w:cs="Times New Roman"/>
                <w:b w:val="0"/>
                <w:bCs w:val="0"/>
                <w:sz w:val="24"/>
                <w:szCs w:val="24"/>
                <w:lang w:val="en-US" w:eastAsia="zh-CN" w:bidi="zh-CN"/>
              </w:rPr>
              <w:t>废水</w:t>
            </w:r>
            <w:r>
              <w:rPr>
                <w:rFonts w:hint="eastAsia" w:ascii="Times New Roman" w:hAnsi="Times New Roman" w:eastAsia="宋体" w:cs="Times New Roman"/>
                <w:b w:val="0"/>
                <w:bCs w:val="0"/>
                <w:sz w:val="24"/>
                <w:szCs w:val="24"/>
                <w:lang w:val="en-US" w:eastAsia="zh-CN" w:bidi="zh-CN"/>
              </w:rPr>
              <w:t>执行《污水综合排放标准》（GB8978-1996）表4三级标准和</w:t>
            </w:r>
            <w:r>
              <w:rPr>
                <w:rFonts w:hint="eastAsia" w:ascii="Times New Roman" w:hAnsi="Times New Roman" w:cs="Times New Roman"/>
                <w:b w:val="0"/>
                <w:bCs w:val="0"/>
                <w:sz w:val="24"/>
                <w:szCs w:val="24"/>
                <w:lang w:val="en-US" w:eastAsia="zh-CN" w:bidi="zh-CN"/>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r>
              <w:rPr>
                <w:rFonts w:hint="eastAsia" w:ascii="Times New Roman" w:hAnsi="Times New Roman" w:eastAsia="宋体" w:cs="Times New Roman"/>
                <w:sz w:val="24"/>
                <w:szCs w:val="20"/>
                <w:lang w:val="en-US" w:eastAsia="zh-CN"/>
              </w:rPr>
              <w:t>。</w:t>
            </w:r>
            <w:r>
              <w:rPr>
                <w:rFonts w:hint="eastAsia" w:ascii="Times New Roman" w:hAnsi="Times New Roman" w:eastAsia="宋体" w:cs="Times New Roman"/>
                <w:b w:val="0"/>
                <w:bCs w:val="0"/>
                <w:sz w:val="24"/>
                <w:szCs w:val="24"/>
                <w:lang w:val="en-US" w:eastAsia="zh-CN" w:bidi="zh-CN"/>
              </w:rPr>
              <w:t>具体标准限值见下表：</w:t>
            </w:r>
          </w:p>
          <w:p w14:paraId="5AEB3228">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3-5</w:t>
            </w:r>
            <w:r>
              <w:rPr>
                <w:rFonts w:hint="default" w:ascii="Times New Roman" w:hAnsi="Times New Roman" w:eastAsia="黑体" w:cs="Times New Roman"/>
                <w:b w:val="0"/>
                <w:bCs w:val="0"/>
                <w:color w:val="auto"/>
                <w:sz w:val="24"/>
                <w:szCs w:val="24"/>
                <w:lang w:val="en-US" w:eastAsia="zh-CN"/>
              </w:rPr>
              <w:t xml:space="preserve">  污水排放标准           单位：mg/L</w:t>
            </w:r>
          </w:p>
          <w:tbl>
            <w:tblPr>
              <w:tblStyle w:val="23"/>
              <w:tblW w:w="76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364"/>
              <w:gridCol w:w="925"/>
              <w:gridCol w:w="875"/>
              <w:gridCol w:w="913"/>
              <w:gridCol w:w="675"/>
              <w:gridCol w:w="946"/>
            </w:tblGrid>
            <w:tr w14:paraId="7ED402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tcBorders>
                    <w:tl2br w:val="nil"/>
                    <w:tr2bl w:val="nil"/>
                  </w:tcBorders>
                  <w:vAlign w:val="center"/>
                </w:tcPr>
                <w:p w14:paraId="2D2B33F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tc>
              <w:tc>
                <w:tcPr>
                  <w:tcW w:w="4334" w:type="dxa"/>
                  <w:gridSpan w:val="5"/>
                  <w:tcBorders>
                    <w:tl2br w:val="nil"/>
                    <w:tr2bl w:val="nil"/>
                  </w:tcBorders>
                  <w:vAlign w:val="center"/>
                </w:tcPr>
                <w:p w14:paraId="5295A6B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ascii="Times New Roman" w:hAnsi="Times New Roman" w:cs="Times New Roman"/>
                      <w:b/>
                      <w:bCs/>
                      <w:sz w:val="21"/>
                      <w:szCs w:val="21"/>
                      <w:lang w:eastAsia="zh-CN"/>
                    </w:rPr>
                  </w:pPr>
                  <w:r>
                    <w:rPr>
                      <w:rFonts w:hint="eastAsia" w:ascii="Times New Roman" w:hAnsi="Times New Roman" w:cs="Times New Roman"/>
                      <w:b/>
                      <w:bCs/>
                      <w:sz w:val="21"/>
                      <w:szCs w:val="21"/>
                      <w:lang w:val="en-US" w:eastAsia="zh-CN"/>
                    </w:rPr>
                    <w:t>三</w:t>
                  </w:r>
                  <w:r>
                    <w:rPr>
                      <w:rFonts w:hint="default" w:ascii="Times New Roman" w:hAnsi="Times New Roman" w:eastAsia="宋体" w:cs="Times New Roman"/>
                      <w:b/>
                      <w:bCs/>
                      <w:sz w:val="21"/>
                      <w:szCs w:val="21"/>
                    </w:rPr>
                    <w:t>级标准</w:t>
                  </w:r>
                </w:p>
              </w:tc>
            </w:tr>
            <w:tr w14:paraId="6C22F3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restart"/>
                  <w:tcBorders>
                    <w:tl2br w:val="nil"/>
                    <w:tr2bl w:val="nil"/>
                  </w:tcBorders>
                  <w:vAlign w:val="center"/>
                </w:tcPr>
                <w:p w14:paraId="3AF24401">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firstLine="0" w:firstLineChars="0"/>
                    <w:jc w:val="center"/>
                    <w:textAlignment w:val="auto"/>
                    <w:rPr>
                      <w:rFonts w:hint="default" w:ascii="Times New Roman" w:hAnsi="Times New Roman" w:eastAsia="宋体" w:cs="宋体"/>
                      <w:kern w:val="0"/>
                      <w:sz w:val="21"/>
                      <w:szCs w:val="21"/>
                      <w:lang w:val="zh-CN" w:eastAsia="zh-CN" w:bidi="zh-CN"/>
                    </w:rPr>
                  </w:pPr>
                  <w:r>
                    <w:rPr>
                      <w:rFonts w:hint="default" w:ascii="Times New Roman" w:hAnsi="Times New Roman" w:eastAsia="宋体" w:cs="宋体"/>
                      <w:color w:val="000000"/>
                      <w:kern w:val="0"/>
                      <w:sz w:val="21"/>
                      <w:szCs w:val="21"/>
                      <w:lang w:val="zh-CN" w:eastAsia="zh-CN" w:bidi="zh-CN"/>
                    </w:rPr>
                    <w:t>《污水综合排放标准》（GB8978-1996）表4</w:t>
                  </w:r>
                  <w:r>
                    <w:rPr>
                      <w:rFonts w:hint="eastAsia" w:ascii="Times New Roman" w:hAnsi="Times New Roman" w:eastAsia="宋体" w:cs="宋体"/>
                      <w:color w:val="000000"/>
                      <w:kern w:val="0"/>
                      <w:sz w:val="21"/>
                      <w:szCs w:val="21"/>
                      <w:lang w:val="en-US" w:eastAsia="zh-CN" w:bidi="zh-CN"/>
                    </w:rPr>
                    <w:t>三</w:t>
                  </w:r>
                  <w:r>
                    <w:rPr>
                      <w:rFonts w:hint="default" w:ascii="Times New Roman" w:hAnsi="Times New Roman" w:eastAsia="宋体" w:cs="宋体"/>
                      <w:color w:val="000000"/>
                      <w:kern w:val="0"/>
                      <w:sz w:val="21"/>
                      <w:szCs w:val="21"/>
                      <w:lang w:val="zh-CN" w:eastAsia="zh-CN" w:bidi="zh-CN"/>
                    </w:rPr>
                    <w:t>级标准</w:t>
                  </w:r>
                </w:p>
              </w:tc>
              <w:tc>
                <w:tcPr>
                  <w:tcW w:w="925" w:type="dxa"/>
                  <w:tcBorders>
                    <w:tl2br w:val="nil"/>
                    <w:tr2bl w:val="nil"/>
                  </w:tcBorders>
                  <w:vAlign w:val="center"/>
                </w:tcPr>
                <w:p w14:paraId="73D98537">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pH</w:t>
                  </w:r>
                </w:p>
              </w:tc>
              <w:tc>
                <w:tcPr>
                  <w:tcW w:w="875" w:type="dxa"/>
                  <w:tcBorders>
                    <w:tl2br w:val="nil"/>
                    <w:tr2bl w:val="nil"/>
                  </w:tcBorders>
                  <w:vAlign w:val="center"/>
                </w:tcPr>
                <w:p w14:paraId="5FFAC640">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COD</w:t>
                  </w:r>
                </w:p>
              </w:tc>
              <w:tc>
                <w:tcPr>
                  <w:tcW w:w="913" w:type="dxa"/>
                  <w:tcBorders>
                    <w:tl2br w:val="nil"/>
                    <w:tr2bl w:val="nil"/>
                  </w:tcBorders>
                  <w:vAlign w:val="center"/>
                </w:tcPr>
                <w:p w14:paraId="424F9E94">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675" w:type="dxa"/>
                  <w:tcBorders>
                    <w:tl2br w:val="nil"/>
                    <w:tr2bl w:val="nil"/>
                  </w:tcBorders>
                  <w:vAlign w:val="center"/>
                </w:tcPr>
                <w:p w14:paraId="649859A5">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SS</w:t>
                  </w:r>
                </w:p>
              </w:tc>
              <w:tc>
                <w:tcPr>
                  <w:tcW w:w="946" w:type="dxa"/>
                  <w:tcBorders>
                    <w:tl2br w:val="nil"/>
                    <w:tr2bl w:val="nil"/>
                  </w:tcBorders>
                  <w:vAlign w:val="center"/>
                </w:tcPr>
                <w:p w14:paraId="781DBB17">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14:paraId="6906F3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364" w:type="dxa"/>
                  <w:vMerge w:val="continue"/>
                  <w:tcBorders>
                    <w:tl2br w:val="nil"/>
                    <w:tr2bl w:val="nil"/>
                  </w:tcBorders>
                  <w:vAlign w:val="center"/>
                </w:tcPr>
                <w:p w14:paraId="0E1DA01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20" w:firstLineChars="200"/>
                    <w:jc w:val="center"/>
                    <w:textAlignment w:val="auto"/>
                    <w:rPr>
                      <w:rFonts w:hint="default" w:ascii="Times New Roman" w:hAnsi="Times New Roman" w:eastAsia="宋体" w:cs="宋体"/>
                      <w:kern w:val="0"/>
                      <w:sz w:val="21"/>
                      <w:szCs w:val="21"/>
                      <w:lang w:val="zh-CN" w:eastAsia="zh-CN" w:bidi="zh-CN"/>
                    </w:rPr>
                  </w:pPr>
                </w:p>
              </w:tc>
              <w:tc>
                <w:tcPr>
                  <w:tcW w:w="925" w:type="dxa"/>
                  <w:tcBorders>
                    <w:tl2br w:val="nil"/>
                    <w:tr2bl w:val="nil"/>
                  </w:tcBorders>
                  <w:vAlign w:val="center"/>
                </w:tcPr>
                <w:p w14:paraId="128EA8CB">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kern w:val="0"/>
                      <w:sz w:val="21"/>
                      <w:szCs w:val="21"/>
                      <w:lang w:val="en-US" w:eastAsia="zh-CN"/>
                    </w:rPr>
                    <w:t>6~9</w:t>
                  </w:r>
                </w:p>
              </w:tc>
              <w:tc>
                <w:tcPr>
                  <w:tcW w:w="875" w:type="dxa"/>
                  <w:tcBorders>
                    <w:tl2br w:val="nil"/>
                    <w:tr2bl w:val="nil"/>
                  </w:tcBorders>
                  <w:vAlign w:val="center"/>
                </w:tcPr>
                <w:p w14:paraId="112511C3">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500</w:t>
                  </w:r>
                </w:p>
              </w:tc>
              <w:tc>
                <w:tcPr>
                  <w:tcW w:w="913" w:type="dxa"/>
                  <w:tcBorders>
                    <w:tl2br w:val="nil"/>
                    <w:tr2bl w:val="nil"/>
                  </w:tcBorders>
                  <w:vAlign w:val="center"/>
                </w:tcPr>
                <w:p w14:paraId="42CB006C">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300</w:t>
                  </w:r>
                </w:p>
              </w:tc>
              <w:tc>
                <w:tcPr>
                  <w:tcW w:w="675" w:type="dxa"/>
                  <w:tcBorders>
                    <w:tl2br w:val="nil"/>
                    <w:tr2bl w:val="nil"/>
                  </w:tcBorders>
                  <w:vAlign w:val="center"/>
                </w:tcPr>
                <w:p w14:paraId="2B8E1BA9">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400</w:t>
                  </w:r>
                </w:p>
              </w:tc>
              <w:tc>
                <w:tcPr>
                  <w:tcW w:w="946" w:type="dxa"/>
                  <w:tcBorders>
                    <w:tl2br w:val="nil"/>
                    <w:tr2bl w:val="nil"/>
                  </w:tcBorders>
                  <w:vAlign w:val="center"/>
                </w:tcPr>
                <w:p w14:paraId="7A59A85C">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eastAsia" w:ascii="Times New Roman" w:hAnsi="Times New Roman" w:cs="Times New Roman"/>
                      <w:color w:val="auto"/>
                      <w:sz w:val="21"/>
                      <w:szCs w:val="21"/>
                      <w:lang w:val="en-US" w:eastAsia="zh-CN"/>
                    </w:rPr>
                    <w:t>/</w:t>
                  </w:r>
                </w:p>
              </w:tc>
            </w:tr>
            <w:tr w14:paraId="719A3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restart"/>
                  <w:tcBorders>
                    <w:tl2br w:val="nil"/>
                    <w:tr2bl w:val="nil"/>
                  </w:tcBorders>
                  <w:vAlign w:val="center"/>
                </w:tcPr>
                <w:p w14:paraId="60B61288">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宋体"/>
                      <w:kern w:val="0"/>
                      <w:sz w:val="21"/>
                      <w:szCs w:val="21"/>
                      <w:lang w:val="zh-CN" w:eastAsia="zh-CN" w:bidi="zh-CN"/>
                    </w:rPr>
                  </w:pPr>
                  <w:r>
                    <w:rPr>
                      <w:rFonts w:hint="eastAsia" w:ascii="Times New Roman" w:hAnsi="Times New Roman" w:eastAsia="宋体" w:cs="Times New Roman"/>
                      <w:b w:val="0"/>
                      <w:bCs w:val="0"/>
                      <w:sz w:val="21"/>
                      <w:szCs w:val="21"/>
                      <w:lang w:val="en-US" w:eastAsia="zh-CN" w:bidi="zh-CN"/>
                    </w:rPr>
                    <w:t>许昌市鸿瀚环境技术管理有限公司进水水质要求</w:t>
                  </w:r>
                </w:p>
              </w:tc>
              <w:tc>
                <w:tcPr>
                  <w:tcW w:w="925" w:type="dxa"/>
                  <w:tcBorders>
                    <w:tl2br w:val="nil"/>
                    <w:tr2bl w:val="nil"/>
                  </w:tcBorders>
                  <w:vAlign w:val="center"/>
                </w:tcPr>
                <w:p w14:paraId="2C3B1EE9">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pH</w:t>
                  </w:r>
                </w:p>
              </w:tc>
              <w:tc>
                <w:tcPr>
                  <w:tcW w:w="875" w:type="dxa"/>
                  <w:tcBorders>
                    <w:tl2br w:val="nil"/>
                    <w:tr2bl w:val="nil"/>
                  </w:tcBorders>
                  <w:vAlign w:val="center"/>
                </w:tcPr>
                <w:p w14:paraId="31F11FE7">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COD</w:t>
                  </w:r>
                </w:p>
              </w:tc>
              <w:tc>
                <w:tcPr>
                  <w:tcW w:w="913" w:type="dxa"/>
                  <w:tcBorders>
                    <w:tl2br w:val="nil"/>
                    <w:tr2bl w:val="nil"/>
                  </w:tcBorders>
                  <w:vAlign w:val="center"/>
                </w:tcPr>
                <w:p w14:paraId="00EF3E6C">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675" w:type="dxa"/>
                  <w:tcBorders>
                    <w:tl2br w:val="nil"/>
                    <w:tr2bl w:val="nil"/>
                  </w:tcBorders>
                  <w:vAlign w:val="center"/>
                </w:tcPr>
                <w:p w14:paraId="5A406C9A">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SS</w:t>
                  </w:r>
                </w:p>
              </w:tc>
              <w:tc>
                <w:tcPr>
                  <w:tcW w:w="946" w:type="dxa"/>
                  <w:tcBorders>
                    <w:tl2br w:val="nil"/>
                    <w:tr2bl w:val="nil"/>
                  </w:tcBorders>
                  <w:vAlign w:val="center"/>
                </w:tcPr>
                <w:p w14:paraId="6EB0FA35">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14:paraId="3F828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364" w:type="dxa"/>
                  <w:vMerge w:val="continue"/>
                  <w:tcBorders>
                    <w:tl2br w:val="nil"/>
                    <w:tr2bl w:val="nil"/>
                  </w:tcBorders>
                  <w:vAlign w:val="center"/>
                </w:tcPr>
                <w:p w14:paraId="0E685B8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eastAsia="宋体" w:cs="Times New Roman"/>
                      <w:sz w:val="21"/>
                      <w:szCs w:val="21"/>
                    </w:rPr>
                  </w:pPr>
                </w:p>
              </w:tc>
              <w:tc>
                <w:tcPr>
                  <w:tcW w:w="925" w:type="dxa"/>
                  <w:tcBorders>
                    <w:tl2br w:val="nil"/>
                    <w:tr2bl w:val="nil"/>
                  </w:tcBorders>
                  <w:vAlign w:val="center"/>
                </w:tcPr>
                <w:p w14:paraId="60C3686C">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textAlignment w:val="auto"/>
                    <w:rPr>
                      <w:rFonts w:hint="default" w:ascii="Times New Roman" w:hAnsi="Times New Roman" w:eastAsia="宋体" w:cs="Times New Roman"/>
                      <w:sz w:val="21"/>
                      <w:szCs w:val="21"/>
                    </w:rPr>
                  </w:pPr>
                  <w:r>
                    <w:rPr>
                      <w:rFonts w:hint="default" w:ascii="Times New Roman" w:hAnsi="Times New Roman" w:cs="Times New Roman"/>
                      <w:color w:val="auto"/>
                      <w:kern w:val="0"/>
                      <w:sz w:val="21"/>
                      <w:szCs w:val="21"/>
                      <w:lang w:val="en-US" w:eastAsia="zh-CN"/>
                    </w:rPr>
                    <w:t>6~9</w:t>
                  </w:r>
                </w:p>
              </w:tc>
              <w:tc>
                <w:tcPr>
                  <w:tcW w:w="875" w:type="dxa"/>
                  <w:tcBorders>
                    <w:tl2br w:val="nil"/>
                    <w:tr2bl w:val="nil"/>
                  </w:tcBorders>
                  <w:vAlign w:val="center"/>
                </w:tcPr>
                <w:p w14:paraId="558A9864">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cs="Times New Roman"/>
                      <w:color w:val="auto"/>
                      <w:sz w:val="21"/>
                      <w:szCs w:val="21"/>
                      <w:lang w:val="en-US" w:eastAsia="zh-CN"/>
                    </w:rPr>
                    <w:t>450</w:t>
                  </w:r>
                </w:p>
              </w:tc>
              <w:tc>
                <w:tcPr>
                  <w:tcW w:w="913" w:type="dxa"/>
                  <w:tcBorders>
                    <w:tl2br w:val="nil"/>
                    <w:tr2bl w:val="nil"/>
                  </w:tcBorders>
                  <w:vAlign w:val="center"/>
                </w:tcPr>
                <w:p w14:paraId="7FD1A558">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675" w:type="dxa"/>
                  <w:tcBorders>
                    <w:tl2br w:val="nil"/>
                    <w:tr2bl w:val="nil"/>
                  </w:tcBorders>
                  <w:vAlign w:val="center"/>
                </w:tcPr>
                <w:p w14:paraId="1E220CFA">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cs="Times New Roman"/>
                      <w:color w:val="auto"/>
                      <w:sz w:val="21"/>
                      <w:szCs w:val="21"/>
                      <w:lang w:val="en-US" w:eastAsia="zh-CN"/>
                    </w:rPr>
                    <w:t>800</w:t>
                  </w:r>
                </w:p>
              </w:tc>
              <w:tc>
                <w:tcPr>
                  <w:tcW w:w="946" w:type="dxa"/>
                  <w:tcBorders>
                    <w:tl2br w:val="nil"/>
                    <w:tr2bl w:val="nil"/>
                  </w:tcBorders>
                  <w:vAlign w:val="center"/>
                </w:tcPr>
                <w:p w14:paraId="4D0771B5">
                  <w:pPr>
                    <w:pStyle w:val="48"/>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cs="Times New Roman"/>
                      <w:color w:val="auto"/>
                      <w:sz w:val="21"/>
                      <w:szCs w:val="21"/>
                      <w:lang w:val="en-US" w:eastAsia="zh-CN"/>
                    </w:rPr>
                    <w:t>45</w:t>
                  </w:r>
                </w:p>
              </w:tc>
            </w:tr>
          </w:tbl>
          <w:p w14:paraId="4DCB2C62">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eastAsia="宋体" w:cs="Times New Roman"/>
                <w:b/>
                <w:bCs/>
                <w:sz w:val="24"/>
                <w:szCs w:val="24"/>
                <w:u w:val="none" w:color="auto"/>
                <w:lang w:val="en-US" w:eastAsia="zh-CN" w:bidi="zh-CN"/>
              </w:rPr>
              <w:t>3、噪声</w:t>
            </w:r>
          </w:p>
          <w:p w14:paraId="1108C73B">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运营期噪声执行《工业企业厂界环境噪声排放标准》（GB12348-2008）</w:t>
            </w:r>
            <w:r>
              <w:rPr>
                <w:rFonts w:hint="eastAsia" w:ascii="Times New Roman" w:hAnsi="Times New Roman" w:eastAsia="宋体" w:cs="Times New Roman"/>
                <w:b w:val="0"/>
                <w:bCs w:val="0"/>
                <w:sz w:val="24"/>
                <w:szCs w:val="24"/>
                <w:u w:val="none" w:color="auto"/>
                <w:lang w:val="en-US" w:eastAsia="zh-CN" w:bidi="zh-CN"/>
              </w:rPr>
              <w:t>3</w:t>
            </w:r>
            <w:r>
              <w:rPr>
                <w:rFonts w:hint="default" w:ascii="Times New Roman" w:hAnsi="Times New Roman" w:eastAsia="宋体" w:cs="Times New Roman"/>
                <w:b w:val="0"/>
                <w:bCs w:val="0"/>
                <w:sz w:val="24"/>
                <w:szCs w:val="24"/>
                <w:u w:val="none" w:color="auto"/>
                <w:lang w:val="en-US" w:eastAsia="zh-CN" w:bidi="zh-CN"/>
              </w:rPr>
              <w:t>类。具体标准详见表</w:t>
            </w:r>
            <w:r>
              <w:rPr>
                <w:rFonts w:hint="eastAsia" w:ascii="Times New Roman" w:hAnsi="Times New Roman" w:cs="Times New Roman"/>
                <w:b w:val="0"/>
                <w:bCs w:val="0"/>
                <w:sz w:val="24"/>
                <w:szCs w:val="24"/>
                <w:u w:val="none" w:color="auto"/>
                <w:lang w:val="en-US" w:eastAsia="zh-CN" w:bidi="zh-CN"/>
              </w:rPr>
              <w:t>3-6</w:t>
            </w:r>
            <w:r>
              <w:rPr>
                <w:rFonts w:hint="default" w:ascii="Times New Roman" w:hAnsi="Times New Roman" w:eastAsia="宋体" w:cs="Times New Roman"/>
                <w:b w:val="0"/>
                <w:bCs w:val="0"/>
                <w:sz w:val="24"/>
                <w:szCs w:val="24"/>
                <w:u w:val="none" w:color="auto"/>
                <w:lang w:val="en-US" w:eastAsia="zh-CN" w:bidi="zh-CN"/>
              </w:rPr>
              <w:t>。</w:t>
            </w:r>
          </w:p>
          <w:p w14:paraId="3EFEE9FF">
            <w:pPr>
              <w:widowControl w:val="0"/>
              <w:wordWrap/>
              <w:autoSpaceDE w:val="0"/>
              <w:autoSpaceDN w:val="0"/>
              <w:adjustRightInd/>
              <w:snapToGrid/>
              <w:spacing w:beforeAutospacing="0" w:afterAutospacing="0" w:line="520" w:lineRule="exact"/>
              <w:ind w:firstLine="480" w:firstLineChars="200"/>
              <w:jc w:val="center"/>
              <w:textAlignment w:val="auto"/>
              <w:rPr>
                <w:rFonts w:hint="default" w:ascii="Times New Roman" w:hAnsi="Times New Roman" w:eastAsia="黑体" w:cs="宋体"/>
                <w:b w:val="0"/>
                <w:bCs w:val="0"/>
                <w:sz w:val="24"/>
                <w:szCs w:val="24"/>
                <w:u w:val="none" w:color="auto"/>
                <w:lang w:val="en-US" w:eastAsia="zh-CN"/>
              </w:rPr>
            </w:pPr>
            <w:r>
              <w:rPr>
                <w:rFonts w:hint="default" w:ascii="Times New Roman" w:hAnsi="Times New Roman" w:eastAsia="黑体" w:cs="宋体"/>
                <w:b w:val="0"/>
                <w:bCs w:val="0"/>
                <w:sz w:val="24"/>
                <w:szCs w:val="20"/>
                <w:u w:val="none" w:color="auto"/>
                <w:lang w:val="en-US" w:eastAsia="zh-CN"/>
              </w:rPr>
              <w:t>表</w:t>
            </w:r>
            <w:r>
              <w:rPr>
                <w:rFonts w:hint="eastAsia" w:ascii="Times New Roman" w:hAnsi="Times New Roman" w:eastAsia="黑体" w:cs="宋体"/>
                <w:b w:val="0"/>
                <w:bCs w:val="0"/>
                <w:sz w:val="24"/>
                <w:szCs w:val="20"/>
                <w:u w:val="none" w:color="auto"/>
                <w:lang w:val="en-US" w:eastAsia="zh-CN"/>
              </w:rPr>
              <w:t>3-6</w:t>
            </w:r>
            <w:r>
              <w:rPr>
                <w:rFonts w:hint="default" w:ascii="Times New Roman" w:hAnsi="Times New Roman" w:eastAsia="黑体" w:cs="宋体"/>
                <w:b w:val="0"/>
                <w:bCs w:val="0"/>
                <w:sz w:val="24"/>
                <w:szCs w:val="20"/>
                <w:u w:val="none" w:color="auto"/>
                <w:lang w:val="en-US" w:eastAsia="zh-CN"/>
              </w:rPr>
              <w:t xml:space="preserve">  工业企业厂界环境噪声排放标准</w:t>
            </w:r>
            <w:r>
              <w:rPr>
                <w:rFonts w:hint="eastAsia" w:ascii="Times New Roman" w:hAnsi="Times New Roman" w:eastAsia="黑体" w:cs="宋体"/>
                <w:b w:val="0"/>
                <w:bCs w:val="0"/>
                <w:sz w:val="24"/>
                <w:szCs w:val="20"/>
                <w:u w:val="none" w:color="auto"/>
                <w:lang w:val="en-US" w:eastAsia="zh-CN"/>
              </w:rPr>
              <w:t xml:space="preserve"> </w:t>
            </w:r>
            <w:r>
              <w:rPr>
                <w:rFonts w:hint="eastAsia" w:ascii="Times New Roman" w:hAnsi="Times New Roman" w:eastAsia="黑体" w:cs="宋体"/>
                <w:b w:val="0"/>
                <w:bCs w:val="0"/>
                <w:sz w:val="24"/>
                <w:szCs w:val="24"/>
                <w:u w:val="none" w:color="auto"/>
                <w:lang w:val="en-US" w:eastAsia="zh-CN"/>
              </w:rPr>
              <w:t xml:space="preserve">   单位：</w:t>
            </w:r>
            <w:r>
              <w:rPr>
                <w:rFonts w:hint="default" w:ascii="Times New Roman" w:hAnsi="Times New Roman" w:eastAsia="宋体" w:cs="Times New Roman"/>
                <w:b/>
                <w:bCs/>
                <w:sz w:val="24"/>
                <w:szCs w:val="24"/>
                <w:u w:val="none" w:color="auto"/>
                <w:lang w:val="en-US" w:eastAsia="zh-CN"/>
              </w:rPr>
              <w:t>dB（A）</w:t>
            </w:r>
          </w:p>
          <w:tbl>
            <w:tblPr>
              <w:tblStyle w:val="24"/>
              <w:tblW w:w="76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413"/>
              <w:gridCol w:w="1228"/>
              <w:gridCol w:w="4132"/>
            </w:tblGrid>
            <w:tr w14:paraId="4DC10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5" w:type="dxa"/>
                  <w:vAlign w:val="center"/>
                </w:tcPr>
                <w:p w14:paraId="097E49F4">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类别</w:t>
                  </w:r>
                </w:p>
              </w:tc>
              <w:tc>
                <w:tcPr>
                  <w:tcW w:w="1413" w:type="dxa"/>
                  <w:vAlign w:val="center"/>
                </w:tcPr>
                <w:p w14:paraId="38166F39">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昼间</w:t>
                  </w:r>
                </w:p>
              </w:tc>
              <w:tc>
                <w:tcPr>
                  <w:tcW w:w="1228" w:type="dxa"/>
                  <w:vAlign w:val="center"/>
                </w:tcPr>
                <w:p w14:paraId="5C757407">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夜间</w:t>
                  </w:r>
                </w:p>
              </w:tc>
              <w:tc>
                <w:tcPr>
                  <w:tcW w:w="4132" w:type="dxa"/>
                  <w:vAlign w:val="center"/>
                </w:tcPr>
                <w:p w14:paraId="25869257">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标准来源</w:t>
                  </w:r>
                </w:p>
              </w:tc>
            </w:tr>
            <w:tr w14:paraId="1822E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25" w:type="dxa"/>
                  <w:vMerge w:val="restart"/>
                  <w:vAlign w:val="center"/>
                </w:tcPr>
                <w:p w14:paraId="6F0E0CA7">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运营期</w:t>
                  </w:r>
                </w:p>
              </w:tc>
              <w:tc>
                <w:tcPr>
                  <w:tcW w:w="1413" w:type="dxa"/>
                  <w:vMerge w:val="restart"/>
                  <w:vAlign w:val="center"/>
                </w:tcPr>
                <w:p w14:paraId="616BE3DD">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65</w:t>
                  </w:r>
                </w:p>
              </w:tc>
              <w:tc>
                <w:tcPr>
                  <w:tcW w:w="1228" w:type="dxa"/>
                  <w:vMerge w:val="restart"/>
                  <w:vAlign w:val="center"/>
                </w:tcPr>
                <w:p w14:paraId="2AFF0435">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55</w:t>
                  </w:r>
                </w:p>
              </w:tc>
              <w:tc>
                <w:tcPr>
                  <w:tcW w:w="4132" w:type="dxa"/>
                  <w:vMerge w:val="restart"/>
                  <w:vAlign w:val="center"/>
                </w:tcPr>
                <w:p w14:paraId="74AA189B">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《工业企业厂界环境噪声排放标准》（GB12348-2008）</w:t>
                  </w:r>
                  <w:r>
                    <w:rPr>
                      <w:rFonts w:hint="eastAsia" w:ascii="Times New Roman" w:hAnsi="Times New Roman" w:eastAsia="宋体" w:cs="Times New Roman"/>
                      <w:sz w:val="21"/>
                      <w:szCs w:val="21"/>
                      <w:u w:val="none" w:color="auto"/>
                      <w:lang w:val="en-US" w:eastAsia="zh-CN"/>
                    </w:rPr>
                    <w:t>3</w:t>
                  </w:r>
                  <w:r>
                    <w:rPr>
                      <w:rFonts w:hint="default" w:ascii="Times New Roman" w:hAnsi="Times New Roman" w:eastAsia="宋体" w:cs="Times New Roman"/>
                      <w:sz w:val="21"/>
                      <w:szCs w:val="21"/>
                      <w:u w:val="none" w:color="auto"/>
                      <w:lang w:val="en-US" w:eastAsia="zh-CN"/>
                    </w:rPr>
                    <w:t>类</w:t>
                  </w:r>
                </w:p>
              </w:tc>
            </w:tr>
            <w:tr w14:paraId="1B096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25" w:type="dxa"/>
                  <w:vMerge w:val="continue"/>
                  <w:vAlign w:val="center"/>
                </w:tcPr>
                <w:p w14:paraId="3F11681B">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c>
                <w:tcPr>
                  <w:tcW w:w="1413" w:type="dxa"/>
                  <w:vMerge w:val="continue"/>
                  <w:vAlign w:val="center"/>
                </w:tcPr>
                <w:p w14:paraId="5270334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c>
                <w:tcPr>
                  <w:tcW w:w="1228" w:type="dxa"/>
                  <w:vMerge w:val="continue"/>
                  <w:vAlign w:val="center"/>
                </w:tcPr>
                <w:p w14:paraId="6F2B22FC">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c>
                <w:tcPr>
                  <w:tcW w:w="4132" w:type="dxa"/>
                  <w:vMerge w:val="continue"/>
                  <w:vAlign w:val="center"/>
                </w:tcPr>
                <w:p w14:paraId="10C8D6B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r>
          </w:tbl>
          <w:p w14:paraId="172C8B24">
            <w:pPr>
              <w:widowControl w:val="0"/>
              <w:wordWrap/>
              <w:autoSpaceDE w:val="0"/>
              <w:autoSpaceDN w:val="0"/>
              <w:adjustRightInd/>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eastAsia="宋体" w:cs="Times New Roman"/>
                <w:b/>
                <w:bCs/>
                <w:sz w:val="24"/>
                <w:szCs w:val="24"/>
                <w:u w:val="none" w:color="auto"/>
                <w:lang w:val="en-US" w:eastAsia="zh-CN" w:bidi="zh-CN"/>
              </w:rPr>
              <w:t>4、固废</w:t>
            </w:r>
          </w:p>
          <w:p w14:paraId="7CFCDA5F">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both"/>
              <w:textAlignment w:val="auto"/>
              <w:rPr>
                <w:rFonts w:hint="default" w:ascii="Times New Roman" w:hAnsi="Times New Roman" w:cs="Times New Roman"/>
                <w:sz w:val="21"/>
                <w:szCs w:val="20"/>
                <w:u w:val="none" w:color="auto"/>
              </w:rPr>
            </w:pPr>
            <w:r>
              <w:rPr>
                <w:rFonts w:hint="default" w:ascii="Times New Roman" w:hAnsi="Times New Roman" w:eastAsia="宋体" w:cs="Times New Roman"/>
                <w:b w:val="0"/>
                <w:bCs w:val="0"/>
                <w:sz w:val="24"/>
                <w:szCs w:val="24"/>
                <w:lang w:val="en-US" w:eastAsia="zh-CN" w:bidi="zh-CN"/>
              </w:rPr>
              <w:t>一般工业固体废物执行《一般工业固体废物贮存和填埋污染控制标准》（GB18599-2020）中相关要求</w:t>
            </w:r>
            <w:r>
              <w:rPr>
                <w:rFonts w:hint="eastAsia" w:ascii="Times New Roman" w:hAnsi="Times New Roman" w:cs="Times New Roman"/>
                <w:b w:val="0"/>
                <w:bCs w:val="0"/>
                <w:sz w:val="24"/>
                <w:szCs w:val="24"/>
                <w:lang w:val="en-US" w:eastAsia="zh-CN" w:bidi="zh-CN"/>
              </w:rPr>
              <w:t>；危险固废执行《危险废物贮存污染控制标准》（GB18597-2023）</w:t>
            </w:r>
            <w:r>
              <w:rPr>
                <w:rFonts w:hint="default" w:ascii="Times New Roman" w:hAnsi="Times New Roman" w:eastAsia="宋体" w:cs="Times New Roman"/>
                <w:b w:val="0"/>
                <w:bCs w:val="0"/>
                <w:sz w:val="24"/>
                <w:szCs w:val="24"/>
                <w:lang w:val="en-US" w:eastAsia="zh-CN" w:bidi="zh-CN"/>
              </w:rPr>
              <w:t>中相关要求。</w:t>
            </w:r>
          </w:p>
        </w:tc>
      </w:tr>
      <w:tr w14:paraId="392758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6" w:hRule="atLeast"/>
        </w:trPr>
        <w:tc>
          <w:tcPr>
            <w:tcW w:w="1031" w:type="dxa"/>
            <w:tcBorders>
              <w:top w:val="single" w:color="000000" w:sz="4" w:space="0"/>
              <w:right w:val="single" w:color="000000" w:sz="4" w:space="0"/>
            </w:tcBorders>
            <w:vAlign w:val="center"/>
          </w:tcPr>
          <w:p w14:paraId="1F5BD2BD">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总量控制指标</w:t>
            </w:r>
          </w:p>
        </w:tc>
        <w:tc>
          <w:tcPr>
            <w:tcW w:w="7723" w:type="dxa"/>
            <w:tcBorders>
              <w:top w:val="single" w:color="000000" w:sz="4" w:space="0"/>
              <w:left w:val="single" w:color="000000" w:sz="4" w:space="0"/>
            </w:tcBorders>
            <w:vAlign w:val="center"/>
          </w:tcPr>
          <w:p w14:paraId="0F286803">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本项目实施后，废水主要为</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员工生活污水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和冷却水废水</w:t>
            </w:r>
            <w:r>
              <w:rPr>
                <w:rFonts w:hint="default" w:ascii="Times New Roman" w:hAnsi="Times New Roman" w:cs="Times New Roman"/>
                <w:color w:val="000000" w:themeColor="text1"/>
                <w:sz w:val="24"/>
                <w:szCs w:val="24"/>
                <w:highlight w:val="none"/>
                <w:u w:val="none" w:color="auto"/>
                <w:lang w:eastAsia="zh-CN"/>
                <w14:textFill>
                  <w14:solidFill>
                    <w14:schemeClr w14:val="tx1"/>
                  </w14:solidFill>
                </w14:textFill>
              </w:rPr>
              <w:t>，污水总量为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0.72</w:t>
            </w:r>
            <w:r>
              <w:rPr>
                <w:rFonts w:hint="default" w:ascii="Times New Roman" w:hAnsi="Times New Roman" w:cs="Times New Roman"/>
                <w:color w:val="000000" w:themeColor="text1"/>
                <w:sz w:val="24"/>
                <w:szCs w:val="24"/>
                <w:u w:val="none" w:color="auto"/>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cs="Times New Roman"/>
                <w:color w:val="000000" w:themeColor="text1"/>
                <w:sz w:val="24"/>
                <w:szCs w:val="24"/>
                <w:u w:val="none" w:color="auto"/>
                <w14:textFill>
                  <w14:solidFill>
                    <w14:schemeClr w14:val="tx1"/>
                  </w14:solidFill>
                </w14:textFill>
              </w:rPr>
              <w:t>/</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d，</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216</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m</w:t>
            </w:r>
            <w:r>
              <w:rPr>
                <w:rFonts w:hint="default" w:ascii="Times New Roman" w:hAnsi="Times New Roman" w:cs="Times New Roman"/>
                <w:color w:val="000000" w:themeColor="text1"/>
                <w:sz w:val="24"/>
                <w:szCs w:val="24"/>
                <w:u w:val="none" w:color="auto"/>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/a</w:t>
            </w:r>
            <w:r>
              <w:rPr>
                <w:rFonts w:hint="default" w:ascii="Times New Roman" w:hAnsi="Times New Roman"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u w:val="none" w:color="auto"/>
                <w:lang w:val="en-US" w:eastAsia="zh-CN"/>
                <w14:textFill>
                  <w14:solidFill>
                    <w14:schemeClr w14:val="tx1"/>
                  </w14:solidFill>
                </w14:textFill>
              </w:rPr>
              <w:t>生活污水经化粪池处理后进入</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冷却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水废水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为自来水，水质较为洁净，</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市政污水管网排入</w:t>
            </w:r>
            <w:r>
              <w:rPr>
                <w:rFonts w:hint="eastAsia" w:ascii="Times New Roman" w:hAnsi="Times New Roman" w:cs="Times New Roman"/>
                <w:color w:val="000000" w:themeColor="text1"/>
                <w:sz w:val="24"/>
                <w:szCs w:val="24"/>
                <w:u w:val="none" w:color="auto"/>
                <w:lang w:val="en-US"/>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处理。</w:t>
            </w:r>
          </w:p>
          <w:p w14:paraId="4AB3DEAB">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经</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工程分析</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，项目非甲烷总烃排放量为0.0119t/a。</w:t>
            </w:r>
          </w:p>
          <w:p w14:paraId="758B168B">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根据工程分析，本项目化学需氧量、氨氮出厂量为0.0</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477</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、0.00</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52</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；入环境量为（</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COD</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30mg/L</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、氨氮：1.5</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mg/L</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0.0065</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0.0003</w:t>
            </w:r>
            <w:r>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t>。</w:t>
            </w:r>
          </w:p>
          <w:p w14:paraId="545DCD10">
            <w:pPr>
              <w:widowControl/>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14:textFill>
                  <w14:solidFill>
                    <w14:schemeClr w14:val="tx1"/>
                  </w14:solidFill>
                </w14:textFill>
              </w:rPr>
              <w:t>根据生态环境部《生态环境部门进一步促进民营经济发展的若干措施》（环综合[2024]62号）：“二、优化环境准入8、优化总量指标管理。健全总量指标配置机制，优化新改扩建建设项目总量指标的监督管理。在严格实施各项污染防治措施基础上，对氮氧化物、化学需氧量、挥发性有机污染物的单项新增年排放量小于0.1吨，氨氮小于0.01吨的建设项目，免于提交总量指标来源说明，由地方生态环境部门统筹总量指标替代来源，并纳入台账管理”。本项目化学需氧量、VOCs新增年排放量小于0.1吨，氨氮小于0.01吨，免于提交总量指标来源说明。</w:t>
            </w:r>
          </w:p>
          <w:p w14:paraId="105E52D6">
            <w:pPr>
              <w:keepNext w:val="0"/>
              <w:keepLines w:val="0"/>
              <w:pageBreakBefore w:val="0"/>
              <w:widowControl w:val="0"/>
              <w:suppressLineNumbers w:val="0"/>
              <w:kinsoku/>
              <w:wordWrap/>
              <w:overflowPunct/>
              <w:topLinePunct w:val="0"/>
              <w:bidi w:val="0"/>
              <w:adjustRightInd w:val="0"/>
              <w:snapToGrid w:val="0"/>
              <w:spacing w:beforeAutospacing="0" w:afterAutospacing="0" w:line="520" w:lineRule="exact"/>
              <w:ind w:firstLine="480" w:firstLineChars="200"/>
              <w:jc w:val="both"/>
              <w:textAlignment w:val="auto"/>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pPr>
          </w:p>
        </w:tc>
      </w:tr>
    </w:tbl>
    <w:p w14:paraId="219C070A">
      <w:pPr>
        <w:spacing w:after="0"/>
        <w:jc w:val="right"/>
        <w:rPr>
          <w:sz w:val="21"/>
        </w:rPr>
        <w:sectPr>
          <w:pgSz w:w="11910" w:h="1685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2A9B23EE">
      <w:pPr>
        <w:pStyle w:val="10"/>
        <w:spacing w:before="58"/>
        <w:ind w:left="635" w:right="652"/>
        <w:jc w:val="center"/>
      </w:pPr>
      <w:r>
        <w:t>四、主要环境影响和保护措施</w:t>
      </w:r>
    </w:p>
    <w:tbl>
      <w:tblPr>
        <w:tblStyle w:val="23"/>
        <w:tblW w:w="9038"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4"/>
        <w:gridCol w:w="8174"/>
      </w:tblGrid>
      <w:tr w14:paraId="0CD5BFB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00" w:hRule="atLeast"/>
        </w:trPr>
        <w:tc>
          <w:tcPr>
            <w:tcW w:w="864" w:type="dxa"/>
            <w:tcBorders>
              <w:bottom w:val="single" w:color="000000" w:sz="4" w:space="0"/>
              <w:right w:val="single" w:color="000000" w:sz="4" w:space="0"/>
            </w:tcBorders>
            <w:vAlign w:val="center"/>
          </w:tcPr>
          <w:p w14:paraId="401B8F7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施工期环境保护措施</w:t>
            </w:r>
          </w:p>
        </w:tc>
        <w:tc>
          <w:tcPr>
            <w:tcW w:w="8174" w:type="dxa"/>
            <w:tcBorders>
              <w:left w:val="single" w:color="000000" w:sz="4" w:space="0"/>
              <w:bottom w:val="single" w:color="000000" w:sz="4" w:space="0"/>
            </w:tcBorders>
            <w:vAlign w:val="center"/>
          </w:tcPr>
          <w:p w14:paraId="39A1149F">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cs="Times New Roman"/>
                <w:sz w:val="24"/>
                <w:szCs w:val="24"/>
                <w:u w:val="none" w:color="auto"/>
              </w:rPr>
            </w:pPr>
            <w:r>
              <w:rPr>
                <w:rFonts w:hint="eastAsia" w:ascii="Times New Roman" w:hAnsi="Times New Roman" w:eastAsia="宋体" w:cs="Times New Roman"/>
                <w:b w:val="0"/>
                <w:bCs w:val="0"/>
                <w:sz w:val="24"/>
                <w:szCs w:val="24"/>
                <w:u w:val="none"/>
                <w:lang w:val="en-US" w:eastAsia="zh-CN" w:bidi="zh-CN"/>
              </w:rPr>
              <w:t>项目</w:t>
            </w:r>
            <w:r>
              <w:rPr>
                <w:rFonts w:hint="eastAsia" w:ascii="Times New Roman" w:hAnsi="Times New Roman" w:cs="Times New Roman"/>
                <w:b w:val="0"/>
                <w:bCs w:val="0"/>
                <w:sz w:val="24"/>
                <w:szCs w:val="24"/>
                <w:u w:val="none"/>
                <w:lang w:val="en-US" w:eastAsia="zh-CN" w:bidi="zh-CN"/>
              </w:rPr>
              <w:t>租赁</w:t>
            </w:r>
            <w:r>
              <w:rPr>
                <w:rFonts w:hint="eastAsia" w:ascii="Times New Roman" w:hAnsi="Times New Roman" w:eastAsia="宋体" w:cs="Times New Roman"/>
                <w:b w:val="0"/>
                <w:bCs w:val="0"/>
                <w:sz w:val="24"/>
                <w:szCs w:val="24"/>
                <w:u w:val="none"/>
                <w:lang w:val="en-US" w:eastAsia="zh-CN" w:bidi="zh-CN"/>
              </w:rPr>
              <w:t>厂房</w:t>
            </w:r>
            <w:r>
              <w:rPr>
                <w:rFonts w:hint="eastAsia" w:ascii="Times New Roman" w:hAnsi="Times New Roman" w:cs="Times New Roman"/>
                <w:b w:val="0"/>
                <w:bCs w:val="0"/>
                <w:sz w:val="24"/>
                <w:szCs w:val="24"/>
                <w:u w:val="none"/>
                <w:lang w:val="en-US" w:eastAsia="zh-CN" w:bidi="zh-CN"/>
              </w:rPr>
              <w:t>进行生产</w:t>
            </w:r>
            <w:r>
              <w:rPr>
                <w:rFonts w:hint="eastAsia" w:ascii="Times New Roman" w:hAnsi="Times New Roman" w:eastAsia="宋体" w:cs="Times New Roman"/>
                <w:b w:val="0"/>
                <w:bCs w:val="0"/>
                <w:sz w:val="24"/>
                <w:szCs w:val="24"/>
                <w:u w:val="none"/>
                <w:lang w:val="en-US" w:eastAsia="zh-CN" w:bidi="zh-CN"/>
              </w:rPr>
              <w:t>，不再新建建筑物。因此，项目不再对施工期进行评价，只对项目营运期进行环境影响分析。</w:t>
            </w:r>
          </w:p>
        </w:tc>
      </w:tr>
      <w:tr w14:paraId="53FEE1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552" w:hRule="atLeast"/>
        </w:trPr>
        <w:tc>
          <w:tcPr>
            <w:tcW w:w="864" w:type="dxa"/>
            <w:tcBorders>
              <w:top w:val="single" w:color="000000" w:sz="4" w:space="0"/>
              <w:right w:val="single" w:color="000000" w:sz="4" w:space="0"/>
            </w:tcBorders>
            <w:vAlign w:val="center"/>
          </w:tcPr>
          <w:p w14:paraId="2724863F">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运营期环境影响和保护措施</w:t>
            </w:r>
          </w:p>
        </w:tc>
        <w:tc>
          <w:tcPr>
            <w:tcW w:w="8174" w:type="dxa"/>
            <w:tcBorders>
              <w:top w:val="single" w:color="000000" w:sz="4" w:space="0"/>
              <w:left w:val="single" w:color="000000" w:sz="4" w:space="0"/>
            </w:tcBorders>
            <w:vAlign w:val="center"/>
          </w:tcPr>
          <w:p w14:paraId="4E19A41C">
            <w:pPr>
              <w:pStyle w:val="13"/>
              <w:widowControl w:val="0"/>
              <w:wordWrap/>
              <w:autoSpaceDE w:val="0"/>
              <w:snapToGrid/>
              <w:spacing w:beforeAutospacing="0" w:afterAutospacing="0" w:line="520" w:lineRule="exact"/>
              <w:ind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eastAsia="宋体" w:cs="Times New Roman"/>
                <w:b/>
                <w:bCs/>
                <w:sz w:val="24"/>
                <w:szCs w:val="24"/>
                <w:u w:val="none" w:color="auto"/>
                <w:lang w:val="en-US" w:eastAsia="zh-CN" w:bidi="zh-CN"/>
              </w:rPr>
              <w:t>一、废气</w:t>
            </w:r>
          </w:p>
          <w:p w14:paraId="156411BA">
            <w:pPr>
              <w:pStyle w:val="61"/>
              <w:widowControl w:val="0"/>
              <w:wordWrap/>
              <w:snapToGrid/>
              <w:spacing w:beforeAutospacing="0" w:afterAutospacing="0" w:line="520" w:lineRule="exact"/>
              <w:ind w:left="0" w:right="0" w:firstLine="480" w:firstLineChars="200"/>
              <w:jc w:val="both"/>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cs="Times New Roman"/>
                <w:b w:val="0"/>
                <w:bCs w:val="0"/>
                <w:sz w:val="24"/>
                <w:szCs w:val="24"/>
                <w:u w:val="none" w:color="auto"/>
                <w:lang w:val="en-US" w:eastAsia="zh-CN" w:bidi="zh-CN"/>
              </w:rPr>
              <w:t>1、运营期废气</w:t>
            </w:r>
          </w:p>
          <w:p w14:paraId="71A9BD19">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right="0" w:firstLine="480" w:firstLineChars="200"/>
              <w:jc w:val="both"/>
              <w:textAlignment w:val="baseline"/>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本项目运营期间主要产生的废气工</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序为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粉碎粉尘；</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吹塑、</w:t>
            </w:r>
            <w:r>
              <w:rPr>
                <w:rFonts w:hint="eastAsia" w:ascii="Times New Roman" w:hAnsi="Times New Roman" w:eastAsia="宋体" w:cs="Times New Roman"/>
                <w:b w:val="0"/>
                <w:bCs w:val="0"/>
                <w:sz w:val="24"/>
                <w:szCs w:val="24"/>
                <w:u w:val="none"/>
                <w:lang w:val="en-US" w:eastAsia="zh-CN" w:bidi="zh-CN"/>
              </w:rPr>
              <w:t>化妆产生的有机废气</w:t>
            </w:r>
            <w:r>
              <w:rPr>
                <w:rFonts w:hint="eastAsia" w:ascii="Times New Roman" w:hAnsi="Times New Roman" w:cs="Times New Roman"/>
                <w:b w:val="0"/>
                <w:bCs w:val="0"/>
                <w:sz w:val="24"/>
                <w:szCs w:val="24"/>
                <w:u w:val="none"/>
                <w:lang w:val="en-US" w:eastAsia="zh-CN" w:bidi="zh-CN"/>
              </w:rPr>
              <w:t>、</w:t>
            </w:r>
            <w:r>
              <w:rPr>
                <w:rFonts w:hint="eastAsia" w:ascii="Times New Roman" w:hAnsi="Times New Roman" w:cs="Times New Roman"/>
                <w:szCs w:val="24"/>
                <w:lang w:val="en-US" w:eastAsia="zh-CN"/>
              </w:rPr>
              <w:t>危废贮存库有机废气</w:t>
            </w:r>
            <w:r>
              <w:rPr>
                <w:rFonts w:hint="eastAsia" w:ascii="Times New Roman" w:hAnsi="Times New Roman" w:eastAsia="宋体" w:cs="Times New Roman"/>
                <w:b w:val="0"/>
                <w:bCs w:val="0"/>
                <w:sz w:val="24"/>
                <w:szCs w:val="24"/>
                <w:u w:val="none"/>
                <w:lang w:val="en-US" w:eastAsia="zh-CN" w:bidi="zh-CN"/>
              </w:rPr>
              <w:t>。</w:t>
            </w:r>
          </w:p>
          <w:p w14:paraId="7B759198">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520" w:lineRule="exact"/>
              <w:ind w:leftChars="200" w:right="0" w:rightChars="0"/>
              <w:jc w:val="both"/>
              <w:textAlignment w:val="auto"/>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（1）粉碎粉尘</w:t>
            </w:r>
          </w:p>
          <w:p w14:paraId="5BCA6160">
            <w:pPr>
              <w:pStyle w:val="61"/>
              <w:widowControl w:val="0"/>
              <w:wordWrap/>
              <w:snapToGrid/>
              <w:spacing w:beforeAutospacing="0" w:afterAutospacing="0" w:line="520" w:lineRule="exact"/>
              <w:ind w:left="0" w:right="0" w:firstLine="480" w:firstLineChars="200"/>
              <w:jc w:val="both"/>
              <w:rPr>
                <w:rFonts w:hint="default"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项目利用粉碎机刀片将不合格品和修整余料切割为粒径较大颗粒（粒径0.5cm），原料粒径较大（粒径0.5cm），因此粉碎过程中仅有少量破碎度较高</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的原料和粉碎物料产生少量粉尘。项目聚丙烯和色母使用量为10.01t/a，其中不合格品和修整余料很少，约占总物料1/</w:t>
            </w:r>
            <w:r>
              <w:rPr>
                <w:rFonts w:hint="eastAsia" w:ascii="Times New Roman" w:hAnsi="Times New Roman" w:eastAsia="宋体" w:cs="Times New Roman"/>
                <w:b w:val="0"/>
                <w:bCs w:val="0"/>
                <w:sz w:val="24"/>
                <w:szCs w:val="24"/>
                <w:u w:val="none"/>
                <w:lang w:val="en-US" w:eastAsia="zh-CN" w:bidi="zh-CN"/>
              </w:rPr>
              <w:t>100，约为0.1001t/a。参考《排放源统计调查产排污核算方法和系数手册》“4220 非金属废料和碎屑加工处理行业系数表”中PP塑料干法破碎颗粒物</w:t>
            </w:r>
            <w:r>
              <w:rPr>
                <w:rFonts w:hint="default" w:ascii="Times New Roman" w:hAnsi="Times New Roman" w:eastAsia="宋体" w:cs="Times New Roman"/>
                <w:b w:val="0"/>
                <w:bCs w:val="0"/>
                <w:sz w:val="24"/>
                <w:szCs w:val="24"/>
                <w:u w:val="none"/>
                <w:lang w:val="en-US" w:eastAsia="zh-CN" w:bidi="zh-CN"/>
              </w:rPr>
              <w:t>产生量为</w:t>
            </w:r>
            <w:r>
              <w:rPr>
                <w:rFonts w:hint="eastAsia" w:ascii="Times New Roman" w:hAnsi="Times New Roman" w:eastAsia="宋体" w:cs="Times New Roman"/>
                <w:b w:val="0"/>
                <w:bCs w:val="0"/>
                <w:sz w:val="24"/>
                <w:szCs w:val="24"/>
                <w:u w:val="none"/>
                <w:lang w:val="en-US" w:eastAsia="zh-CN" w:bidi="zh-CN"/>
              </w:rPr>
              <w:t>375</w:t>
            </w:r>
            <w:r>
              <w:rPr>
                <w:rFonts w:hint="default" w:ascii="Times New Roman" w:hAnsi="Times New Roman" w:eastAsia="宋体" w:cs="Times New Roman"/>
                <w:b w:val="0"/>
                <w:bCs w:val="0"/>
                <w:sz w:val="24"/>
                <w:szCs w:val="24"/>
                <w:u w:val="none"/>
                <w:lang w:val="en-US" w:eastAsia="zh-CN" w:bidi="zh-CN"/>
              </w:rPr>
              <w:t>克/吨-原料。</w:t>
            </w:r>
            <w:r>
              <w:rPr>
                <w:rFonts w:hint="eastAsia" w:ascii="Times New Roman" w:hAnsi="Times New Roman" w:eastAsia="宋体" w:cs="Times New Roman"/>
                <w:b w:val="0"/>
                <w:bCs w:val="0"/>
                <w:sz w:val="24"/>
                <w:szCs w:val="24"/>
                <w:u w:val="none"/>
                <w:lang w:val="en-US" w:eastAsia="zh-CN" w:bidi="zh-CN"/>
              </w:rPr>
              <w:t>经计算颗粒物产生量为3.75</w:t>
            </w:r>
            <w:r>
              <w:rPr>
                <w:rFonts w:hint="default" w:ascii="Times New Roman" w:hAnsi="Times New Roman" w:eastAsia="宋体" w:cs="Times New Roman"/>
                <w:b w:val="0"/>
                <w:bCs w:val="0"/>
                <w:sz w:val="24"/>
                <w:szCs w:val="24"/>
                <w:u w:val="none"/>
                <w:lang w:val="en-US" w:eastAsia="zh-CN" w:bidi="zh-CN"/>
              </w:rPr>
              <w:t>×</w:t>
            </w:r>
            <w:r>
              <w:rPr>
                <w:rFonts w:hint="eastAsia" w:ascii="Times New Roman" w:hAnsi="Times New Roman" w:eastAsia="宋体" w:cs="Times New Roman"/>
                <w:b w:val="0"/>
                <w:bCs w:val="0"/>
                <w:sz w:val="24"/>
                <w:szCs w:val="24"/>
                <w:u w:val="none"/>
                <w:lang w:val="en-US" w:eastAsia="zh-CN" w:bidi="zh-CN"/>
              </w:rPr>
              <w:t>10</w:t>
            </w:r>
            <w:r>
              <w:rPr>
                <w:rFonts w:hint="eastAsia" w:ascii="Times New Roman" w:hAnsi="Times New Roman" w:eastAsia="宋体" w:cs="Times New Roman"/>
                <w:b w:val="0"/>
                <w:bCs w:val="0"/>
                <w:sz w:val="24"/>
                <w:szCs w:val="24"/>
                <w:u w:val="none"/>
                <w:vertAlign w:val="superscript"/>
                <w:lang w:val="en-US" w:eastAsia="zh-CN" w:bidi="zh-CN"/>
              </w:rPr>
              <w:t>-5</w:t>
            </w:r>
            <w:r>
              <w:rPr>
                <w:rFonts w:hint="eastAsia" w:ascii="Times New Roman" w:hAnsi="Times New Roman" w:eastAsia="宋体" w:cs="Times New Roman"/>
                <w:b w:val="0"/>
                <w:bCs w:val="0"/>
                <w:sz w:val="24"/>
                <w:szCs w:val="24"/>
                <w:u w:val="none"/>
                <w:lang w:val="en-US" w:eastAsia="zh-CN" w:bidi="zh-CN"/>
              </w:rPr>
              <w:t>t/a</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粉碎过程根据不合格品和修整余料产生情况确定，粉碎机粉碎量为0.01t/h，因此不合格品和修整余料收集后分2天</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10h集中完全粉碎，则无组织排放速率为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0.0038</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kg/h。车间二次密闭，可减少无组织排放。</w:t>
            </w:r>
          </w:p>
          <w:p w14:paraId="11BB1A1F">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both"/>
              <w:rPr>
                <w:rFonts w:hint="default" w:ascii="Times New Roman" w:hAnsi="Times New Roman"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（2）</w:t>
            </w:r>
            <w:r>
              <w:rPr>
                <w:rFonts w:hint="eastAsia" w:ascii="Times New Roman" w:hAnsi="Times New Roman" w:eastAsia="宋体" w:cs="Times New Roman"/>
                <w:b w:val="0"/>
                <w:bCs w:val="0"/>
                <w:sz w:val="24"/>
                <w:szCs w:val="24"/>
                <w:u w:val="none"/>
                <w:lang w:val="en-US" w:eastAsia="zh-CN" w:bidi="zh-CN"/>
              </w:rPr>
              <w:t>吹塑、化妆有机废气</w:t>
            </w:r>
          </w:p>
          <w:p w14:paraId="7EC6BE8E">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both"/>
              <w:rPr>
                <w:rFonts w:hint="eastAsia"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项目吹塑工段过程全部采用电加热，其中加热温度为</w:t>
            </w:r>
            <w:r>
              <w:rPr>
                <w:rFonts w:hint="default" w:ascii="Times New Roman" w:hAnsi="Times New Roman" w:eastAsia="宋体" w:cs="Times New Roman"/>
                <w:b w:val="0"/>
                <w:bCs w:val="0"/>
                <w:sz w:val="24"/>
                <w:szCs w:val="24"/>
                <w:u w:val="none"/>
                <w:lang w:val="en-US" w:eastAsia="zh-CN" w:bidi="zh-CN"/>
              </w:rPr>
              <w:t>1</w:t>
            </w:r>
            <w:r>
              <w:rPr>
                <w:rFonts w:hint="eastAsia" w:ascii="Times New Roman" w:hAnsi="Times New Roman" w:eastAsia="宋体" w:cs="Times New Roman"/>
                <w:b w:val="0"/>
                <w:bCs w:val="0"/>
                <w:sz w:val="24"/>
                <w:szCs w:val="24"/>
                <w:u w:val="none"/>
                <w:lang w:val="en-US" w:eastAsia="zh-CN" w:bidi="zh-CN"/>
              </w:rPr>
              <w:t>60</w:t>
            </w:r>
            <w:r>
              <w:rPr>
                <w:rFonts w:hint="default" w:ascii="Times New Roman" w:hAnsi="Times New Roman" w:eastAsia="宋体" w:cs="Times New Roman"/>
                <w:b w:val="0"/>
                <w:bCs w:val="0"/>
                <w:sz w:val="24"/>
                <w:szCs w:val="24"/>
                <w:u w:val="none"/>
                <w:lang w:val="en-US" w:eastAsia="zh-CN" w:bidi="zh-CN"/>
              </w:rPr>
              <w:t>~</w:t>
            </w:r>
            <w:r>
              <w:rPr>
                <w:rFonts w:hint="eastAsia" w:ascii="Times New Roman" w:hAnsi="Times New Roman" w:eastAsia="宋体" w:cs="Times New Roman"/>
                <w:b w:val="0"/>
                <w:bCs w:val="0"/>
                <w:sz w:val="24"/>
                <w:szCs w:val="24"/>
                <w:u w:val="none"/>
                <w:lang w:val="en-US" w:eastAsia="zh-CN" w:bidi="zh-CN"/>
              </w:rPr>
              <w:t>170℃，低于聚丙烯材料热分解温度</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（350</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和色母分解温度（300℃）</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。因此</w:t>
            </w:r>
            <w:r>
              <w:rPr>
                <w:rFonts w:hint="eastAsia" w:ascii="Times New Roman" w:hAnsi="Times New Roman" w:eastAsia="宋体" w:cs="Times New Roman"/>
                <w:b w:val="0"/>
                <w:bCs w:val="0"/>
                <w:sz w:val="24"/>
                <w:szCs w:val="24"/>
                <w:u w:val="none"/>
                <w:lang w:val="en-US" w:eastAsia="zh-CN" w:bidi="zh-CN"/>
              </w:rPr>
              <w:t>，吹塑过程聚丙烯材料不会发生分解，游离于聚丙烯材料中的小分子化合物会挥发出来。项目生产模特头形状为内部中空封闭，参照《排放源统计调查产排污核算方法和系数手册》</w:t>
            </w:r>
            <w:r>
              <w:rPr>
                <w:rFonts w:hint="eastAsia" w:ascii="Times New Roman" w:hAnsi="Times New Roman" w:cs="Times New Roman"/>
                <w:b w:val="0"/>
                <w:bCs w:val="0"/>
                <w:sz w:val="24"/>
                <w:szCs w:val="24"/>
                <w:u w:val="none"/>
                <w:lang w:val="en-US" w:eastAsia="zh-CN" w:bidi="zh-CN"/>
              </w:rPr>
              <w:t>“241 文教办公用品制造行业系</w:t>
            </w:r>
            <w:r>
              <w:rPr>
                <w:rFonts w:hint="eastAsia" w:ascii="Times New Roman" w:hAnsi="Times New Roman" w:eastAsia="宋体" w:cs="Times New Roman"/>
                <w:b w:val="0"/>
                <w:bCs w:val="0"/>
                <w:sz w:val="24"/>
                <w:szCs w:val="24"/>
                <w:u w:val="none"/>
                <w:lang w:val="en-US" w:eastAsia="zh-CN" w:bidi="zh-CN"/>
              </w:rPr>
              <w:t>数手册”行业中存在以塑料（如PP、ABS等）为原料通过注塑工艺生产文具产品的，注塑工段的产污系数参照2927日用塑料制品制</w:t>
            </w:r>
            <w:r>
              <w:rPr>
                <w:rFonts w:hint="eastAsia" w:ascii="Times New Roman" w:hAnsi="Times New Roman" w:cs="Times New Roman"/>
                <w:b w:val="0"/>
                <w:bCs w:val="0"/>
                <w:sz w:val="24"/>
                <w:szCs w:val="24"/>
                <w:u w:val="none"/>
                <w:lang w:val="en-US" w:eastAsia="zh-CN" w:bidi="zh-CN"/>
              </w:rPr>
              <w:t>造的废气产污系数。</w:t>
            </w:r>
            <w:r>
              <w:rPr>
                <w:rFonts w:hint="eastAsia" w:ascii="Times New Roman" w:hAnsi="Times New Roman" w:eastAsia="宋体" w:cs="Times New Roman"/>
                <w:b w:val="0"/>
                <w:bCs w:val="0"/>
                <w:sz w:val="24"/>
                <w:szCs w:val="24"/>
                <w:u w:val="none"/>
                <w:lang w:val="en-US" w:eastAsia="zh-CN" w:bidi="zh-CN"/>
              </w:rPr>
              <w:t>“2927日用塑料制品制造行业系数表 ”中“配料混合挤出/注塑”的非甲烷总烃产污系数为2.7kg/t-产品”，模特头单个重量1kg，产品产量为10t/a。则非甲烷总烃产生量为0.027t/a。</w:t>
            </w:r>
          </w:p>
          <w:p w14:paraId="1196BF82">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both"/>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化妆工序使用水性</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用于眼、眉、唇化妆，</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使用量很少，主要成分为</w:t>
            </w:r>
            <w:r>
              <w:rPr>
                <w:rFonts w:hint="eastAsia" w:ascii="Times New Roman" w:hAnsi="Times New Roman" w:eastAsia="宋体" w:cs="Times New Roman"/>
                <w:bCs/>
                <w:color w:val="000000" w:themeColor="text1"/>
                <w:kern w:val="0"/>
                <w:sz w:val="24"/>
                <w:szCs w:val="24"/>
                <w:u w:val="none" w:color="auto"/>
                <w:lang w:val="zh-CN" w:eastAsia="zh-CN" w:bidi="zh-CN"/>
                <w14:textFill>
                  <w14:solidFill>
                    <w14:schemeClr w14:val="tx1"/>
                  </w14:solidFill>
                </w14:textFill>
              </w:rPr>
              <w:t>丙烯酸酯、甲基丙烯酸酯和丙烯酸</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，挥发量较少，根据企业提供资料，每年使用量约为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kg/a，挥发产生有机废气非甲烷总烃很少，因此不再定量分析</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，厂房密闭，废气无组织排放</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7BD34467">
            <w:pPr>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jc w:val="both"/>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吹塑车间二次密闭，</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厂房中</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吹塑机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密闭</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上方均设置集气罩（</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2台设备</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1.0</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0.8</w:t>
            </w:r>
            <w:r>
              <w:rPr>
                <w:rFonts w:hint="default" w:ascii="Times New Roman" w:hAnsi="Times New Roman" w:eastAsia="宋体" w:cs="Times New Roman"/>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参照王纯、张殿印主编的《环境工程技术手册 废气处理工程技术手册》第 971页表17-8 各种排气罩的排气量计算公式，本项目集气罩为有边矩形集气罩，风量计算公式为：</w:t>
            </w:r>
          </w:p>
          <w:p w14:paraId="6F04411F">
            <w:pPr>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Q=0.75</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10x</w:t>
            </w:r>
            <w:r>
              <w:rPr>
                <w:rFonts w:hint="eastAsia"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+F</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Vx</w:t>
            </w:r>
          </w:p>
          <w:p w14:paraId="4AE9AC9D">
            <w:pPr>
              <w:pStyle w:val="12"/>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其中：Q：排气量（m</w:t>
            </w:r>
            <w:r>
              <w:rPr>
                <w:rFonts w:hint="eastAsia"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/s）；</w:t>
            </w:r>
          </w:p>
          <w:p w14:paraId="4B351A78">
            <w:pPr>
              <w:pStyle w:val="12"/>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x：集气罩吸气口至控制点距离，取</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0.5</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m。</w:t>
            </w:r>
          </w:p>
          <w:p w14:paraId="0E935A7C">
            <w:pPr>
              <w:pStyle w:val="12"/>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Vx：外部吸气罩控制风速，本项目控制风速取0.5m/s。</w:t>
            </w:r>
          </w:p>
          <w:p w14:paraId="6297D144">
            <w:pPr>
              <w:pStyle w:val="12"/>
              <w:keepNext w:val="0"/>
              <w:keepLines w:val="0"/>
              <w:pageBreakBefore w:val="0"/>
              <w:widowControl w:val="0"/>
              <w:kinsoku/>
              <w:wordWrap/>
              <w:overflowPunct/>
              <w:topLinePunct w:val="0"/>
              <w:bidi w:val="0"/>
              <w:adjustRightInd/>
              <w:snapToGrid/>
              <w:spacing w:beforeAutospacing="0" w:after="0" w:afterAutospacing="0" w:line="520" w:lineRule="exact"/>
              <w:ind w:left="0" w:leftChars="0" w:right="0" w:rightChars="0" w:firstLine="480" w:firstLineChars="200"/>
              <w:textAlignment w:val="auto"/>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F：项目集气罩面积，</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吹塑机</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集气罩面积均取1m</w:t>
            </w:r>
            <w:r>
              <w:rPr>
                <w:rFonts w:hint="eastAsia"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w:t>
            </w:r>
          </w:p>
          <w:p w14:paraId="07A9FACE">
            <w:pPr>
              <w:keepNext w:val="0"/>
              <w:keepLines w:val="0"/>
              <w:pageBreakBefore w:val="0"/>
              <w:widowControl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both"/>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由上式计算可知，项目</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吹塑机</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集气罩风量为</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4725</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/h，考虑到风量散失</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压力损失等</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，本次评价按</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5000</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/h计。</w:t>
            </w:r>
          </w:p>
          <w:p w14:paraId="52E8C30A">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left="0" w:leftChars="0" w:right="0" w:rightChars="0" w:firstLine="480" w:firstLineChars="200"/>
              <w:jc w:val="both"/>
              <w:textAlignment w:val="auto"/>
              <w:outlineLvl w:val="9"/>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废气收集效率为80%，收集后进入二级活性炭装置处理，</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废气处理过程中活性炭及时更换以保证处理效率，一级活性炭处理效率以50%计，则</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二级活性炭</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处理效率</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为75%。</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有机废气进口浓度较低时，活性炭处理效率会有所下降，本项目非甲烷总烃产生浓度较低，因此适当降低处理效率以70%计算，</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处理后</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废气</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经15m排气筒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排放。年工作时间以</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1200</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h计，则非甲烷总烃有组织产生量为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0.0216</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t/a，产生速率为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0.018</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kg/h，产生浓度为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3.6</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mg/m</w:t>
            </w:r>
            <w:r>
              <w:rPr>
                <w:rFonts w:hint="eastAsia"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。非甲烷总烃有组织排放量为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0.0065</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t/a，排放速率为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0.0054</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kg/h，排放浓度为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1.08</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mg/m</w:t>
            </w:r>
            <w:r>
              <w:rPr>
                <w:rFonts w:hint="eastAsia" w:ascii="Times New Roman" w:hAnsi="Times New Roman" w:eastAsia="宋体" w:cs="Times New Roman"/>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；无组织非甲烷总烃</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排放</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量</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0.0054t</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/a，</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排放</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速率为</w:t>
            </w:r>
            <w:r>
              <w:rPr>
                <w:rFonts w:hint="eastAsia" w:ascii="Times New Roman" w:hAnsi="Times New Roman" w:cs="Times New Roman"/>
                <w:color w:val="000000" w:themeColor="text1"/>
                <w:sz w:val="24"/>
                <w:szCs w:val="24"/>
                <w:u w:val="none"/>
                <w:lang w:val="en-US" w:eastAsia="zh-CN" w:bidi="zh-CN"/>
                <w14:textFill>
                  <w14:solidFill>
                    <w14:schemeClr w14:val="tx1"/>
                  </w14:solidFill>
                </w14:textFill>
              </w:rPr>
              <w:t>0.0045</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kg/h。</w:t>
            </w:r>
          </w:p>
          <w:p w14:paraId="5F824B27">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lang w:val="en-US" w:eastAsia="zh-CN"/>
              </w:rPr>
              <w:t>（</w:t>
            </w:r>
            <w:r>
              <w:rPr>
                <w:rFonts w:hint="eastAsia" w:ascii="Times New Roman" w:hAnsi="Times New Roman" w:cs="Times New Roman"/>
                <w:sz w:val="24"/>
                <w:szCs w:val="24"/>
                <w:u w:val="none"/>
                <w:lang w:val="en-US" w:eastAsia="zh-CN"/>
              </w:rPr>
              <w:t>3</w:t>
            </w:r>
            <w:r>
              <w:rPr>
                <w:rFonts w:hint="default" w:ascii="Times New Roman" w:hAnsi="Times New Roman" w:eastAsia="宋体" w:cs="Times New Roman"/>
                <w:sz w:val="24"/>
                <w:szCs w:val="24"/>
                <w:u w:val="none"/>
                <w:lang w:val="en-US" w:eastAsia="zh-CN"/>
              </w:rPr>
              <w:t>）危废</w:t>
            </w:r>
            <w:r>
              <w:rPr>
                <w:rFonts w:hint="eastAsia" w:ascii="Times New Roman" w:hAnsi="Times New Roman" w:eastAsia="宋体" w:cs="Times New Roman"/>
                <w:sz w:val="24"/>
                <w:szCs w:val="24"/>
                <w:u w:val="none"/>
                <w:lang w:val="en-US" w:eastAsia="zh-CN"/>
              </w:rPr>
              <w:t>贮存库</w:t>
            </w:r>
            <w:r>
              <w:rPr>
                <w:rFonts w:hint="default" w:ascii="Times New Roman" w:hAnsi="Times New Roman" w:eastAsia="宋体" w:cs="Times New Roman"/>
                <w:sz w:val="24"/>
                <w:szCs w:val="24"/>
                <w:u w:val="none"/>
                <w:lang w:val="en-US" w:eastAsia="zh-CN"/>
              </w:rPr>
              <w:t>废气</w:t>
            </w:r>
          </w:p>
          <w:p w14:paraId="15D7A1E8">
            <w:pPr>
              <w:pStyle w:val="44"/>
              <w:spacing w:beforeAutospacing="0" w:afterAutospacing="0" w:line="520" w:lineRule="exact"/>
              <w:ind w:firstLine="480" w:firstLineChars="200"/>
              <w:jc w:val="both"/>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lang w:val="en-US" w:eastAsia="zh-CN"/>
              </w:rPr>
              <w:t>本项目危废暂存间储存危险废物为废活性炭，危废采用密封储存，废气挥发量极少，不再定量分析。评价要求危险</w:t>
            </w:r>
            <w:r>
              <w:rPr>
                <w:rFonts w:hint="eastAsia" w:ascii="Times New Roman" w:hAnsi="Times New Roman" w:eastAsia="宋体" w:cs="Times New Roman"/>
                <w:sz w:val="24"/>
                <w:szCs w:val="24"/>
                <w:u w:val="none"/>
                <w:lang w:val="en-US" w:eastAsia="zh-CN"/>
              </w:rPr>
              <w:t>贮存库</w:t>
            </w:r>
            <w:r>
              <w:rPr>
                <w:rFonts w:hint="default" w:ascii="Times New Roman" w:hAnsi="Times New Roman" w:eastAsia="宋体" w:cs="Times New Roman"/>
                <w:sz w:val="24"/>
                <w:szCs w:val="24"/>
                <w:u w:val="none"/>
                <w:lang w:val="en-US" w:eastAsia="zh-CN"/>
              </w:rPr>
              <w:t>密闭负压收集，废气经负压收集后与</w:t>
            </w:r>
            <w:r>
              <w:rPr>
                <w:rFonts w:hint="eastAsia" w:ascii="Times New Roman" w:hAnsi="Times New Roman" w:eastAsia="宋体" w:cs="Times New Roman"/>
                <w:b w:val="0"/>
                <w:bCs w:val="0"/>
                <w:sz w:val="24"/>
                <w:szCs w:val="24"/>
                <w:u w:val="none"/>
                <w:lang w:val="en-US" w:eastAsia="zh-CN" w:bidi="zh-CN"/>
              </w:rPr>
              <w:t>吹塑有机废气</w:t>
            </w:r>
            <w:r>
              <w:rPr>
                <w:rFonts w:hint="default" w:ascii="Times New Roman" w:hAnsi="Times New Roman" w:eastAsia="宋体" w:cs="Times New Roman"/>
                <w:sz w:val="24"/>
                <w:szCs w:val="24"/>
                <w:u w:val="none"/>
                <w:lang w:val="en-US" w:eastAsia="zh-CN"/>
              </w:rPr>
              <w:t>一并进入一套</w:t>
            </w:r>
            <w:r>
              <w:rPr>
                <w:rFonts w:hint="eastAsia" w:ascii="Times New Roman" w:hAnsi="Times New Roman" w:cs="Times New Roman"/>
                <w:sz w:val="24"/>
                <w:szCs w:val="24"/>
                <w:u w:val="none"/>
                <w:lang w:val="en-US" w:eastAsia="zh-CN"/>
              </w:rPr>
              <w:t>“</w:t>
            </w:r>
            <w:r>
              <w:rPr>
                <w:rFonts w:hint="eastAsia" w:ascii="Times New Roman" w:hAnsi="Times New Roman" w:eastAsia="宋体" w:cs="Times New Roman"/>
                <w:sz w:val="24"/>
                <w:szCs w:val="24"/>
                <w:u w:val="none"/>
                <w:lang w:val="en-US" w:eastAsia="zh-CN"/>
              </w:rPr>
              <w:t>二</w:t>
            </w:r>
            <w:r>
              <w:rPr>
                <w:rFonts w:hint="default" w:ascii="Times New Roman" w:hAnsi="Times New Roman" w:eastAsia="宋体" w:cs="Times New Roman"/>
                <w:sz w:val="24"/>
                <w:szCs w:val="24"/>
                <w:u w:val="none"/>
                <w:lang w:val="en-US" w:eastAsia="zh-CN"/>
              </w:rPr>
              <w:t>活性炭吸附装置</w:t>
            </w:r>
            <w:r>
              <w:rPr>
                <w:rFonts w:hint="eastAsia" w:ascii="Times New Roman" w:hAnsi="Times New Roman" w:cs="Times New Roman"/>
                <w:sz w:val="24"/>
                <w:szCs w:val="24"/>
                <w:u w:val="none"/>
                <w:lang w:val="en-US" w:eastAsia="zh-CN"/>
              </w:rPr>
              <w:t>”</w:t>
            </w:r>
            <w:r>
              <w:rPr>
                <w:rFonts w:hint="default" w:ascii="Times New Roman" w:hAnsi="Times New Roman" w:eastAsia="宋体" w:cs="Times New Roman"/>
                <w:sz w:val="24"/>
                <w:szCs w:val="24"/>
                <w:u w:val="none"/>
                <w:lang w:val="en-US" w:eastAsia="zh-CN"/>
              </w:rPr>
              <w:t>处理，处理后经</w:t>
            </w:r>
            <w:r>
              <w:rPr>
                <w:rFonts w:hint="eastAsia" w:ascii="Times New Roman" w:hAnsi="Times New Roman" w:cs="Times New Roman"/>
                <w:sz w:val="24"/>
                <w:szCs w:val="24"/>
                <w:u w:val="none"/>
                <w:lang w:val="en-US" w:eastAsia="zh-CN"/>
              </w:rPr>
              <w:t>15</w:t>
            </w:r>
            <w:r>
              <w:rPr>
                <w:rFonts w:hint="default" w:ascii="Times New Roman" w:hAnsi="Times New Roman" w:eastAsia="宋体" w:cs="Times New Roman"/>
                <w:sz w:val="24"/>
                <w:szCs w:val="24"/>
                <w:u w:val="none"/>
                <w:lang w:val="en-US" w:eastAsia="zh-CN"/>
              </w:rPr>
              <w:t>m排气筒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default" w:ascii="Times New Roman" w:hAnsi="Times New Roman" w:eastAsia="宋体" w:cs="Times New Roman"/>
                <w:sz w:val="24"/>
                <w:szCs w:val="24"/>
                <w:u w:val="none"/>
                <w:lang w:val="en-US" w:eastAsia="zh-CN"/>
              </w:rPr>
              <w:t>一并排放。</w:t>
            </w:r>
          </w:p>
          <w:p w14:paraId="52DDB4CD">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本项目</w:t>
            </w:r>
            <w:r>
              <w:rPr>
                <w:rFonts w:hint="eastAsia" w:ascii="Times New Roman" w:hAnsi="Times New Roman" w:cs="Times New Roman"/>
                <w:b w:val="0"/>
                <w:bCs w:val="0"/>
                <w:sz w:val="24"/>
                <w:szCs w:val="24"/>
                <w:u w:val="none" w:color="auto"/>
                <w:lang w:val="en-US" w:eastAsia="zh-CN" w:bidi="zh-CN"/>
              </w:rPr>
              <w:t>有</w:t>
            </w:r>
            <w:r>
              <w:rPr>
                <w:rFonts w:hint="default" w:ascii="Times New Roman" w:hAnsi="Times New Roman" w:eastAsia="宋体" w:cs="Times New Roman"/>
                <w:b w:val="0"/>
                <w:bCs w:val="0"/>
                <w:sz w:val="24"/>
                <w:szCs w:val="24"/>
                <w:u w:val="none" w:color="auto"/>
                <w:lang w:val="en-US" w:eastAsia="zh-CN" w:bidi="zh-CN"/>
              </w:rPr>
              <w:t>组织废气排放情况见表</w:t>
            </w:r>
            <w:r>
              <w:rPr>
                <w:rFonts w:hint="eastAsia" w:ascii="Times New Roman" w:hAnsi="Times New Roman" w:cs="Times New Roman"/>
                <w:b w:val="0"/>
                <w:bCs w:val="0"/>
                <w:sz w:val="24"/>
                <w:szCs w:val="24"/>
                <w:u w:val="none" w:color="auto"/>
                <w:lang w:val="en-US" w:eastAsia="zh-CN" w:bidi="zh-CN"/>
              </w:rPr>
              <w:t>4-1，无</w:t>
            </w:r>
            <w:r>
              <w:rPr>
                <w:rFonts w:hint="default" w:ascii="Times New Roman" w:hAnsi="Times New Roman" w:eastAsia="宋体" w:cs="Times New Roman"/>
                <w:b w:val="0"/>
                <w:bCs w:val="0"/>
                <w:sz w:val="24"/>
                <w:szCs w:val="24"/>
                <w:u w:val="none" w:color="auto"/>
                <w:lang w:val="en-US" w:eastAsia="zh-CN" w:bidi="zh-CN"/>
              </w:rPr>
              <w:t>组织废气排放情况见表</w:t>
            </w:r>
            <w:r>
              <w:rPr>
                <w:rFonts w:hint="eastAsia" w:ascii="Times New Roman" w:hAnsi="Times New Roman" w:cs="Times New Roman"/>
                <w:b w:val="0"/>
                <w:bCs w:val="0"/>
                <w:sz w:val="24"/>
                <w:szCs w:val="24"/>
                <w:u w:val="none" w:color="auto"/>
                <w:lang w:val="en-US" w:eastAsia="zh-CN" w:bidi="zh-CN"/>
              </w:rPr>
              <w:t>4-3</w:t>
            </w:r>
            <w:r>
              <w:rPr>
                <w:rFonts w:hint="default" w:ascii="Times New Roman" w:hAnsi="Times New Roman" w:eastAsia="宋体" w:cs="Times New Roman"/>
                <w:b w:val="0"/>
                <w:bCs w:val="0"/>
                <w:sz w:val="24"/>
                <w:szCs w:val="24"/>
                <w:u w:val="none" w:color="auto"/>
                <w:lang w:val="en-US" w:eastAsia="zh-CN" w:bidi="zh-CN"/>
              </w:rPr>
              <w:t>。</w:t>
            </w:r>
          </w:p>
          <w:p w14:paraId="684F8611">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cs="Times New Roman"/>
                <w:b w:val="0"/>
                <w:bCs w:val="0"/>
                <w:color w:val="000000"/>
                <w:sz w:val="24"/>
                <w:szCs w:val="24"/>
                <w:u w:val="none" w:color="auto"/>
                <w:lang w:val="en-US" w:eastAsia="zh-CN" w:bidi="zh-CN"/>
              </w:rPr>
            </w:pPr>
          </w:p>
        </w:tc>
      </w:tr>
    </w:tbl>
    <w:p w14:paraId="2D5312F4">
      <w:pPr>
        <w:sectPr>
          <w:footerReference r:id="rId8" w:type="even"/>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12800"/>
      </w:tblGrid>
      <w:tr w14:paraId="7A96F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3" w:hRule="atLeast"/>
        </w:trPr>
        <w:tc>
          <w:tcPr>
            <w:tcW w:w="571" w:type="dxa"/>
          </w:tcPr>
          <w:p w14:paraId="116D94AC">
            <w:pPr>
              <w:spacing w:beforeAutospacing="0" w:afterAutospacing="0"/>
              <w:rPr>
                <w:rFonts w:hint="default"/>
                <w:vertAlign w:val="baseline"/>
              </w:rPr>
            </w:pPr>
          </w:p>
        </w:tc>
        <w:tc>
          <w:tcPr>
            <w:tcW w:w="12800" w:type="dxa"/>
          </w:tcPr>
          <w:p w14:paraId="3BE29D9E">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lang w:val="en-US" w:eastAsia="zh-CN"/>
              </w:rPr>
            </w:pPr>
            <w:r>
              <w:rPr>
                <w:rFonts w:hint="default" w:ascii="Times New Roman" w:hAnsi="Times New Roman" w:eastAsia="黑体" w:cs="Times New Roman"/>
                <w:b w:val="0"/>
                <w:bCs w:val="0"/>
                <w:color w:val="auto"/>
                <w:sz w:val="24"/>
                <w:szCs w:val="24"/>
                <w:lang w:eastAsia="zh-CN"/>
              </w:rPr>
              <w:t>表</w:t>
            </w:r>
            <w:r>
              <w:rPr>
                <w:rFonts w:hint="eastAsia" w:ascii="Times New Roman" w:hAnsi="Times New Roman" w:eastAsia="黑体" w:cs="Times New Roman"/>
                <w:b w:val="0"/>
                <w:bCs w:val="0"/>
                <w:color w:val="auto"/>
                <w:sz w:val="24"/>
                <w:szCs w:val="24"/>
                <w:lang w:val="en-US" w:eastAsia="zh-CN"/>
              </w:rPr>
              <w:t>4-1</w:t>
            </w:r>
            <w:r>
              <w:rPr>
                <w:rFonts w:hint="default" w:ascii="Times New Roman" w:hAnsi="Times New Roman" w:eastAsia="黑体" w:cs="Times New Roman"/>
                <w:b w:val="0"/>
                <w:bCs w:val="0"/>
                <w:color w:val="auto"/>
                <w:sz w:val="24"/>
                <w:szCs w:val="24"/>
                <w:lang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eastAsia="zh-CN"/>
              </w:rPr>
              <w:t>本项目</w:t>
            </w:r>
            <w:r>
              <w:rPr>
                <w:rFonts w:hint="eastAsia" w:ascii="Times New Roman" w:hAnsi="Times New Roman" w:eastAsia="黑体" w:cs="Times New Roman"/>
                <w:b w:val="0"/>
                <w:bCs w:val="0"/>
                <w:color w:val="auto"/>
                <w:sz w:val="24"/>
                <w:szCs w:val="24"/>
                <w:lang w:val="en-US" w:eastAsia="zh-CN"/>
              </w:rPr>
              <w:t>有</w:t>
            </w:r>
            <w:r>
              <w:rPr>
                <w:rFonts w:hint="default" w:ascii="Times New Roman" w:hAnsi="Times New Roman" w:eastAsia="黑体" w:cs="Times New Roman"/>
                <w:b w:val="0"/>
                <w:bCs w:val="0"/>
                <w:color w:val="auto"/>
                <w:sz w:val="24"/>
                <w:szCs w:val="24"/>
                <w:lang w:eastAsia="zh-CN"/>
              </w:rPr>
              <w:t>组织废气产生及排放情况表</w:t>
            </w:r>
          </w:p>
          <w:tbl>
            <w:tblPr>
              <w:tblStyle w:val="23"/>
              <w:tblW w:w="129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427"/>
              <w:gridCol w:w="786"/>
              <w:gridCol w:w="798"/>
              <w:gridCol w:w="794"/>
              <w:gridCol w:w="794"/>
              <w:gridCol w:w="1326"/>
              <w:gridCol w:w="848"/>
              <w:gridCol w:w="848"/>
              <w:gridCol w:w="798"/>
              <w:gridCol w:w="899"/>
              <w:gridCol w:w="794"/>
              <w:gridCol w:w="427"/>
              <w:gridCol w:w="636"/>
              <w:gridCol w:w="1060"/>
              <w:gridCol w:w="613"/>
              <w:gridCol w:w="427"/>
            </w:tblGrid>
            <w:tr w14:paraId="14400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8" w:type="dxa"/>
                  <w:vMerge w:val="restart"/>
                  <w:vAlign w:val="center"/>
                </w:tcPr>
                <w:p w14:paraId="6690D62B">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产污环节</w:t>
                  </w:r>
                </w:p>
              </w:tc>
              <w:tc>
                <w:tcPr>
                  <w:tcW w:w="427" w:type="dxa"/>
                  <w:vMerge w:val="restart"/>
                  <w:vAlign w:val="center"/>
                </w:tcPr>
                <w:p w14:paraId="30ECF89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w:t>
                  </w:r>
                </w:p>
                <w:p w14:paraId="4E26FCF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因子</w:t>
                  </w:r>
                </w:p>
              </w:tc>
              <w:tc>
                <w:tcPr>
                  <w:tcW w:w="786" w:type="dxa"/>
                  <w:vAlign w:val="center"/>
                </w:tcPr>
                <w:p w14:paraId="2BD16D1B">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废气量</w:t>
                  </w:r>
                </w:p>
              </w:tc>
              <w:tc>
                <w:tcPr>
                  <w:tcW w:w="2386" w:type="dxa"/>
                  <w:gridSpan w:val="3"/>
                  <w:vAlign w:val="center"/>
                </w:tcPr>
                <w:p w14:paraId="72C7D79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污染物产生情况</w:t>
                  </w:r>
                </w:p>
              </w:tc>
              <w:tc>
                <w:tcPr>
                  <w:tcW w:w="1326" w:type="dxa"/>
                  <w:vMerge w:val="restart"/>
                  <w:vAlign w:val="center"/>
                </w:tcPr>
                <w:p w14:paraId="295CE61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治理设施</w:t>
                  </w:r>
                </w:p>
              </w:tc>
              <w:tc>
                <w:tcPr>
                  <w:tcW w:w="848" w:type="dxa"/>
                  <w:vMerge w:val="restart"/>
                  <w:vAlign w:val="center"/>
                </w:tcPr>
                <w:p w14:paraId="1CC0495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bCs/>
                      <w:i w:val="0"/>
                      <w:iCs w:val="0"/>
                      <w:color w:val="000000" w:themeColor="text1"/>
                      <w:kern w:val="0"/>
                      <w:sz w:val="21"/>
                      <w:szCs w:val="21"/>
                      <w:u w:val="none"/>
                      <w:lang w:val="en-US" w:eastAsia="zh-CN"/>
                      <w14:textFill>
                        <w14:solidFill>
                          <w14:schemeClr w14:val="tx1"/>
                        </w14:solidFill>
                      </w14:textFill>
                    </w:rPr>
                    <w:t>收集效率</w:t>
                  </w: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w:t>
                  </w:r>
                </w:p>
              </w:tc>
              <w:tc>
                <w:tcPr>
                  <w:tcW w:w="848" w:type="dxa"/>
                  <w:vMerge w:val="restart"/>
                  <w:vAlign w:val="center"/>
                </w:tcPr>
                <w:p w14:paraId="7935975B">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去除效率（%）</w:t>
                  </w:r>
                </w:p>
              </w:tc>
              <w:tc>
                <w:tcPr>
                  <w:tcW w:w="2491" w:type="dxa"/>
                  <w:gridSpan w:val="3"/>
                  <w:vAlign w:val="center"/>
                </w:tcPr>
                <w:p w14:paraId="54092CD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污染物排放情况</w:t>
                  </w:r>
                </w:p>
              </w:tc>
              <w:tc>
                <w:tcPr>
                  <w:tcW w:w="427" w:type="dxa"/>
                  <w:vMerge w:val="restart"/>
                  <w:vAlign w:val="center"/>
                </w:tcPr>
                <w:p w14:paraId="05BB353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w:t>
                  </w:r>
                </w:p>
                <w:p w14:paraId="3EEBE6D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形式</w:t>
                  </w:r>
                </w:p>
              </w:tc>
              <w:tc>
                <w:tcPr>
                  <w:tcW w:w="636" w:type="dxa"/>
                  <w:vMerge w:val="restart"/>
                  <w:vAlign w:val="center"/>
                </w:tcPr>
                <w:p w14:paraId="01AD6217">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w:t>
                  </w:r>
                </w:p>
                <w:p w14:paraId="0459849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时间h/a</w:t>
                  </w:r>
                </w:p>
              </w:tc>
              <w:tc>
                <w:tcPr>
                  <w:tcW w:w="1673" w:type="dxa"/>
                  <w:gridSpan w:val="2"/>
                  <w:vAlign w:val="center"/>
                </w:tcPr>
                <w:p w14:paraId="2732B9B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排放标准</w:t>
                  </w:r>
                </w:p>
              </w:tc>
              <w:tc>
                <w:tcPr>
                  <w:tcW w:w="427" w:type="dxa"/>
                  <w:vMerge w:val="restart"/>
                  <w:vAlign w:val="center"/>
                </w:tcPr>
                <w:p w14:paraId="06C673B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达标性</w:t>
                  </w:r>
                </w:p>
              </w:tc>
            </w:tr>
            <w:tr w14:paraId="6DCF6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38" w:type="dxa"/>
                  <w:vMerge w:val="continue"/>
                  <w:vAlign w:val="center"/>
                </w:tcPr>
                <w:p w14:paraId="5BBA26B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427" w:type="dxa"/>
                  <w:vMerge w:val="continue"/>
                  <w:vAlign w:val="center"/>
                </w:tcPr>
                <w:p w14:paraId="2CA9DBEA">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86" w:type="dxa"/>
                  <w:vMerge w:val="restart"/>
                  <w:vAlign w:val="center"/>
                </w:tcPr>
                <w:p w14:paraId="45AACA07">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Nm</w:t>
                  </w:r>
                  <w:r>
                    <w:rPr>
                      <w:rFonts w:hint="default" w:ascii="Times New Roman" w:hAnsi="Times New Roman" w:eastAsia="宋体" w:cs="Times New Roman"/>
                      <w:b/>
                      <w:bCs/>
                      <w:i w:val="0"/>
                      <w:iCs w:val="0"/>
                      <w:color w:val="000000" w:themeColor="text1"/>
                      <w:kern w:val="0"/>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/h</w:t>
                  </w:r>
                </w:p>
              </w:tc>
              <w:tc>
                <w:tcPr>
                  <w:tcW w:w="798" w:type="dxa"/>
                  <w:vAlign w:val="center"/>
                </w:tcPr>
                <w:p w14:paraId="39AD192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浓度</w:t>
                  </w:r>
                </w:p>
              </w:tc>
              <w:tc>
                <w:tcPr>
                  <w:tcW w:w="794" w:type="dxa"/>
                  <w:vAlign w:val="center"/>
                </w:tcPr>
                <w:p w14:paraId="11D9A42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速率</w:t>
                  </w:r>
                </w:p>
              </w:tc>
              <w:tc>
                <w:tcPr>
                  <w:tcW w:w="794" w:type="dxa"/>
                  <w:vAlign w:val="center"/>
                </w:tcPr>
                <w:p w14:paraId="10639FC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产生量</w:t>
                  </w:r>
                </w:p>
              </w:tc>
              <w:tc>
                <w:tcPr>
                  <w:tcW w:w="1326" w:type="dxa"/>
                  <w:vMerge w:val="continue"/>
                  <w:vAlign w:val="center"/>
                </w:tcPr>
                <w:p w14:paraId="023E51E1">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09310C6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3332B00A">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547297B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浓度</w:t>
                  </w:r>
                </w:p>
              </w:tc>
              <w:tc>
                <w:tcPr>
                  <w:tcW w:w="899" w:type="dxa"/>
                  <w:vAlign w:val="center"/>
                </w:tcPr>
                <w:p w14:paraId="44F759E4">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速率</w:t>
                  </w:r>
                </w:p>
              </w:tc>
              <w:tc>
                <w:tcPr>
                  <w:tcW w:w="794" w:type="dxa"/>
                  <w:vAlign w:val="center"/>
                </w:tcPr>
                <w:p w14:paraId="189F15E3">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排放量</w:t>
                  </w:r>
                </w:p>
              </w:tc>
              <w:tc>
                <w:tcPr>
                  <w:tcW w:w="427" w:type="dxa"/>
                  <w:vMerge w:val="continue"/>
                  <w:vAlign w:val="center"/>
                </w:tcPr>
                <w:p w14:paraId="2BE0C28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636" w:type="dxa"/>
                  <w:vMerge w:val="continue"/>
                  <w:vAlign w:val="center"/>
                </w:tcPr>
                <w:p w14:paraId="112BB26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1060" w:type="dxa"/>
                  <w:vAlign w:val="center"/>
                </w:tcPr>
                <w:p w14:paraId="1A8483DD">
                  <w:pPr>
                    <w:wordWrap/>
                    <w:adjustRightInd/>
                    <w:snapToGrid/>
                    <w:spacing w:beforeAutospacing="0" w:afterAutospacing="0" w:line="360" w:lineRule="exact"/>
                    <w:ind w:left="0" w:leftChars="0" w:right="0"/>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eastAsia" w:ascii="Times New Roman" w:hAnsi="Times New Roman" w:cs="Times New Roman"/>
                      <w:b/>
                      <w:bCs/>
                      <w:i w:val="0"/>
                      <w:iCs w:val="0"/>
                      <w:color w:val="000000" w:themeColor="text1"/>
                      <w:sz w:val="21"/>
                      <w:szCs w:val="21"/>
                      <w:u w:val="none"/>
                      <w:lang w:val="en-US" w:eastAsia="zh-CN"/>
                      <w14:textFill>
                        <w14:solidFill>
                          <w14:schemeClr w14:val="tx1"/>
                        </w14:solidFill>
                      </w14:textFill>
                    </w:rPr>
                    <w:t>浓度</w:t>
                  </w:r>
                </w:p>
              </w:tc>
              <w:tc>
                <w:tcPr>
                  <w:tcW w:w="613" w:type="dxa"/>
                  <w:vAlign w:val="center"/>
                </w:tcPr>
                <w:p w14:paraId="1C7B7C6C">
                  <w:pPr>
                    <w:wordWrap/>
                    <w:adjustRightInd/>
                    <w:snapToGrid/>
                    <w:spacing w:beforeAutospacing="0" w:afterAutospacing="0" w:line="360" w:lineRule="exact"/>
                    <w:ind w:left="0" w:leftChars="0" w:right="0"/>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eastAsia" w:ascii="Times New Roman" w:hAnsi="Times New Roman" w:cs="Times New Roman"/>
                      <w:b/>
                      <w:bCs/>
                      <w:i w:val="0"/>
                      <w:iCs w:val="0"/>
                      <w:color w:val="000000" w:themeColor="text1"/>
                      <w:sz w:val="21"/>
                      <w:szCs w:val="21"/>
                      <w:u w:val="none"/>
                      <w:lang w:val="en-US" w:eastAsia="zh-CN"/>
                      <w14:textFill>
                        <w14:solidFill>
                          <w14:schemeClr w14:val="tx1"/>
                        </w14:solidFill>
                      </w14:textFill>
                    </w:rPr>
                    <w:t>速率</w:t>
                  </w:r>
                </w:p>
              </w:tc>
              <w:tc>
                <w:tcPr>
                  <w:tcW w:w="427" w:type="dxa"/>
                  <w:vMerge w:val="continue"/>
                  <w:vAlign w:val="center"/>
                </w:tcPr>
                <w:p w14:paraId="3CF6978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r w14:paraId="7941B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vMerge w:val="continue"/>
                  <w:vAlign w:val="center"/>
                </w:tcPr>
                <w:p w14:paraId="1AC6657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427" w:type="dxa"/>
                  <w:vMerge w:val="continue"/>
                  <w:vAlign w:val="center"/>
                </w:tcPr>
                <w:p w14:paraId="78A0490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86" w:type="dxa"/>
                  <w:vMerge w:val="continue"/>
                  <w:vAlign w:val="center"/>
                </w:tcPr>
                <w:p w14:paraId="1DDCE12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604A751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794" w:type="dxa"/>
                  <w:vAlign w:val="center"/>
                </w:tcPr>
                <w:p w14:paraId="71C6F60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794" w:type="dxa"/>
                  <w:vAlign w:val="center"/>
                </w:tcPr>
                <w:p w14:paraId="511AD79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t/a</w:t>
                  </w:r>
                </w:p>
              </w:tc>
              <w:tc>
                <w:tcPr>
                  <w:tcW w:w="1326" w:type="dxa"/>
                  <w:vMerge w:val="continue"/>
                  <w:vAlign w:val="center"/>
                </w:tcPr>
                <w:p w14:paraId="1BE1A68C">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2C465C2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848" w:type="dxa"/>
                  <w:vMerge w:val="continue"/>
                  <w:vAlign w:val="center"/>
                </w:tcPr>
                <w:p w14:paraId="0CB384B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798" w:type="dxa"/>
                  <w:vAlign w:val="center"/>
                </w:tcPr>
                <w:p w14:paraId="0E8F8BAE">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899" w:type="dxa"/>
                  <w:vAlign w:val="center"/>
                </w:tcPr>
                <w:p w14:paraId="7295143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794" w:type="dxa"/>
                  <w:vAlign w:val="center"/>
                </w:tcPr>
                <w:p w14:paraId="6BFCB0F6">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t/a</w:t>
                  </w:r>
                </w:p>
              </w:tc>
              <w:tc>
                <w:tcPr>
                  <w:tcW w:w="427" w:type="dxa"/>
                  <w:vMerge w:val="continue"/>
                  <w:vAlign w:val="center"/>
                </w:tcPr>
                <w:p w14:paraId="02EE3CB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636" w:type="dxa"/>
                  <w:vMerge w:val="continue"/>
                  <w:vAlign w:val="center"/>
                </w:tcPr>
                <w:p w14:paraId="50A5836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c>
                <w:tcPr>
                  <w:tcW w:w="1060" w:type="dxa"/>
                  <w:vAlign w:val="center"/>
                </w:tcPr>
                <w:p w14:paraId="33F89B0D">
                  <w:pPr>
                    <w:widowControl/>
                    <w:wordWrap/>
                    <w:adjustRightInd/>
                    <w:snapToGrid/>
                    <w:spacing w:beforeAutospacing="0" w:afterAutospacing="0" w:line="360" w:lineRule="exact"/>
                    <w:ind w:left="0" w:leftChars="0" w:right="0"/>
                    <w:jc w:val="center"/>
                    <w:textAlignment w:val="center"/>
                    <w:rPr>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pPr>
                  <w:r>
                    <w:rPr>
                      <w:rStyle w:val="95"/>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mg/m</w:t>
                  </w:r>
                  <w:r>
                    <w:rPr>
                      <w:rStyle w:val="96"/>
                      <w:rFonts w:hint="default"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t>3</w:t>
                  </w:r>
                </w:p>
              </w:tc>
              <w:tc>
                <w:tcPr>
                  <w:tcW w:w="613" w:type="dxa"/>
                  <w:vAlign w:val="center"/>
                </w:tcPr>
                <w:p w14:paraId="38B66FC1">
                  <w:pPr>
                    <w:widowControl/>
                    <w:wordWrap/>
                    <w:adjustRightInd/>
                    <w:snapToGrid/>
                    <w:spacing w:beforeAutospacing="0" w:afterAutospacing="0" w:line="360" w:lineRule="exact"/>
                    <w:ind w:left="0" w:leftChars="0" w:right="0"/>
                    <w:jc w:val="center"/>
                    <w:textAlignment w:val="center"/>
                    <w:rPr>
                      <w:rFonts w:hint="eastAsia" w:ascii="Times New Roman" w:hAnsi="Times New Roman" w:eastAsia="宋体" w:cs="Times New Roman"/>
                      <w:b/>
                      <w:bCs/>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kg/h</w:t>
                  </w:r>
                </w:p>
              </w:tc>
              <w:tc>
                <w:tcPr>
                  <w:tcW w:w="427" w:type="dxa"/>
                  <w:vMerge w:val="continue"/>
                  <w:vAlign w:val="center"/>
                </w:tcPr>
                <w:p w14:paraId="4DA667D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p>
              </w:tc>
            </w:tr>
            <w:tr w14:paraId="73568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638" w:type="dxa"/>
                  <w:vAlign w:val="center"/>
                </w:tcPr>
                <w:p w14:paraId="3E44AF47">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吹塑</w:t>
                  </w:r>
                </w:p>
              </w:tc>
              <w:tc>
                <w:tcPr>
                  <w:tcW w:w="427" w:type="dxa"/>
                  <w:vAlign w:val="center"/>
                </w:tcPr>
                <w:p w14:paraId="2779E12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非甲烷总烃</w:t>
                  </w:r>
                </w:p>
              </w:tc>
              <w:tc>
                <w:tcPr>
                  <w:tcW w:w="786" w:type="dxa"/>
                  <w:vAlign w:val="center"/>
                </w:tcPr>
                <w:p w14:paraId="308913F8">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5000</w:t>
                  </w:r>
                </w:p>
              </w:tc>
              <w:tc>
                <w:tcPr>
                  <w:tcW w:w="798" w:type="dxa"/>
                  <w:vAlign w:val="center"/>
                </w:tcPr>
                <w:p w14:paraId="74510059">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3.6</w:t>
                  </w:r>
                </w:p>
              </w:tc>
              <w:tc>
                <w:tcPr>
                  <w:tcW w:w="794" w:type="dxa"/>
                  <w:vAlign w:val="center"/>
                </w:tcPr>
                <w:p w14:paraId="32F1A91B">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0.018</w:t>
                  </w:r>
                </w:p>
              </w:tc>
              <w:tc>
                <w:tcPr>
                  <w:tcW w:w="794" w:type="dxa"/>
                  <w:vAlign w:val="center"/>
                </w:tcPr>
                <w:p w14:paraId="4766972D">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0.0216</w:t>
                  </w:r>
                </w:p>
              </w:tc>
              <w:tc>
                <w:tcPr>
                  <w:tcW w:w="1326" w:type="dxa"/>
                  <w:vAlign w:val="center"/>
                </w:tcPr>
                <w:p w14:paraId="01E1FA92">
                  <w:pPr>
                    <w:widowControl/>
                    <w:wordWrap/>
                    <w:adjustRightInd/>
                    <w:snapToGrid/>
                    <w:spacing w:beforeAutospacing="0" w:afterAutospacing="0" w:line="360" w:lineRule="exact"/>
                    <w:jc w:val="both"/>
                    <w:textAlignment w:val="center"/>
                    <w:rPr>
                      <w:rFonts w:hint="default"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车间二次密闭，集气罩收集+二级活性炭+15m排气筒（DA001）</w:t>
                  </w:r>
                </w:p>
              </w:tc>
              <w:tc>
                <w:tcPr>
                  <w:tcW w:w="848" w:type="dxa"/>
                  <w:vAlign w:val="center"/>
                </w:tcPr>
                <w:p w14:paraId="1CBFFED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80</w:t>
                  </w:r>
                </w:p>
              </w:tc>
              <w:tc>
                <w:tcPr>
                  <w:tcW w:w="848" w:type="dxa"/>
                  <w:vAlign w:val="center"/>
                </w:tcPr>
                <w:p w14:paraId="721184EB">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70</w:t>
                  </w:r>
                </w:p>
              </w:tc>
              <w:tc>
                <w:tcPr>
                  <w:tcW w:w="798" w:type="dxa"/>
                  <w:vAlign w:val="center"/>
                </w:tcPr>
                <w:p w14:paraId="13C9C872">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1.08</w:t>
                  </w:r>
                </w:p>
              </w:tc>
              <w:tc>
                <w:tcPr>
                  <w:tcW w:w="899" w:type="dxa"/>
                  <w:vAlign w:val="center"/>
                </w:tcPr>
                <w:p w14:paraId="26BC059F">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0.0054</w:t>
                  </w:r>
                </w:p>
              </w:tc>
              <w:tc>
                <w:tcPr>
                  <w:tcW w:w="794" w:type="dxa"/>
                  <w:vAlign w:val="center"/>
                </w:tcPr>
                <w:p w14:paraId="32469EDB">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0.0065</w:t>
                  </w:r>
                </w:p>
              </w:tc>
              <w:tc>
                <w:tcPr>
                  <w:tcW w:w="427" w:type="dxa"/>
                  <w:vAlign w:val="center"/>
                </w:tcPr>
                <w:p w14:paraId="15A8279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14:textFill>
                        <w14:solidFill>
                          <w14:schemeClr w14:val="tx1"/>
                        </w14:solidFill>
                      </w14:textFill>
                    </w:rPr>
                    <w:t>有组织</w:t>
                  </w:r>
                </w:p>
              </w:tc>
              <w:tc>
                <w:tcPr>
                  <w:tcW w:w="636" w:type="dxa"/>
                  <w:vAlign w:val="center"/>
                </w:tcPr>
                <w:p w14:paraId="64EBFBD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1200</w:t>
                  </w:r>
                </w:p>
              </w:tc>
              <w:tc>
                <w:tcPr>
                  <w:tcW w:w="1060" w:type="dxa"/>
                  <w:vAlign w:val="center"/>
                </w:tcPr>
                <w:p w14:paraId="3A846E20">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60</w:t>
                  </w:r>
                </w:p>
              </w:tc>
              <w:tc>
                <w:tcPr>
                  <w:tcW w:w="613" w:type="dxa"/>
                  <w:vAlign w:val="center"/>
                </w:tcPr>
                <w:p w14:paraId="0D286C29">
                  <w:pPr>
                    <w:widowControl/>
                    <w:wordWrap/>
                    <w:adjustRightInd/>
                    <w:snapToGrid/>
                    <w:spacing w:beforeAutospacing="0" w:afterAutospacing="0" w:line="360" w:lineRule="exact"/>
                    <w:jc w:val="center"/>
                    <w:textAlignment w:val="center"/>
                    <w:rPr>
                      <w:rFonts w:hint="default"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w:t>
                  </w:r>
                </w:p>
              </w:tc>
              <w:tc>
                <w:tcPr>
                  <w:tcW w:w="427" w:type="dxa"/>
                  <w:vAlign w:val="center"/>
                </w:tcPr>
                <w:p w14:paraId="1FEFA729">
                  <w:pPr>
                    <w:widowControl/>
                    <w:wordWrap/>
                    <w:adjustRightInd/>
                    <w:snapToGrid/>
                    <w:spacing w:beforeAutospacing="0" w:afterAutospacing="0" w:line="360" w:lineRule="exact"/>
                    <w:jc w:val="center"/>
                    <w:textAlignment w:val="center"/>
                    <w:rPr>
                      <w:rFonts w:hint="default" w:ascii="Times New Roman" w:hAnsi="Times New Roman" w:eastAsia="宋体" w:cs="Times New Roman"/>
                      <w:b/>
                      <w:bCs/>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14:textFill>
                        <w14:solidFill>
                          <w14:schemeClr w14:val="tx1"/>
                        </w14:solidFill>
                      </w14:textFill>
                    </w:rPr>
                    <w:t>达标</w:t>
                  </w:r>
                </w:p>
              </w:tc>
            </w:tr>
          </w:tbl>
          <w:p w14:paraId="7FB2370D">
            <w:pPr>
              <w:widowControl w:val="0"/>
              <w:wordWrap/>
              <w:autoSpaceDE w:val="0"/>
              <w:autoSpaceDN w:val="0"/>
              <w:adjustRightInd/>
              <w:snapToGrid/>
              <w:spacing w:beforeAutospacing="0" w:afterAutospacing="0" w:line="520" w:lineRule="exact"/>
              <w:ind w:firstLine="422" w:firstLineChars="200"/>
              <w:jc w:val="both"/>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sz w:val="21"/>
                <w:szCs w:val="21"/>
                <w:lang w:val="en-US" w:eastAsia="zh-CN" w:bidi="zh-CN"/>
              </w:rPr>
              <w:t>对比参考执行标准：</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《关于全省开展工业企业挥发性有机物专项治理工作中排放建议值的通知》（豫环攻坚办〔2017〕162号）</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（其他行业）</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排放限值</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80</w:t>
            </w:r>
            <w:r>
              <w:rPr>
                <w:rFonts w:hint="default" w:ascii="Times New Roman" w:hAnsi="Times New Roman" w:cs="Times New Roman"/>
                <w:color w:val="000000" w:themeColor="text1"/>
                <w:sz w:val="21"/>
                <w:szCs w:val="21"/>
                <w:u w:val="none" w:color="auto"/>
                <w:lang w:val="en-US"/>
                <w14:textFill>
                  <w14:solidFill>
                    <w14:schemeClr w14:val="tx1"/>
                  </w14:solidFill>
                </w14:textFill>
              </w:rPr>
              <w:t>mg/m</w:t>
            </w:r>
            <w:r>
              <w:rPr>
                <w:rFonts w:hint="default" w:ascii="Times New Roman" w:hAnsi="Times New Roman" w:cs="Times New Roman"/>
                <w:color w:val="000000" w:themeColor="text1"/>
                <w:sz w:val="21"/>
                <w:szCs w:val="21"/>
                <w:u w:val="none" w:color="auto"/>
                <w:vertAlign w:val="superscript"/>
                <w:lang w:val="en-US"/>
                <w14:textFill>
                  <w14:solidFill>
                    <w14:schemeClr w14:val="tx1"/>
                  </w14:solidFill>
                </w14:textFill>
              </w:rPr>
              <w:t>3</w:t>
            </w:r>
            <w:r>
              <w:rPr>
                <w:rFonts w:hint="eastAsia" w:ascii="Times New Roman" w:hAnsi="Times New Roman" w:cs="Times New Roman"/>
                <w:color w:val="000000" w:themeColor="text1"/>
                <w:sz w:val="21"/>
                <w:szCs w:val="21"/>
                <w:u w:val="none" w:color="auto"/>
                <w:vertAlign w:val="baseline"/>
                <w:lang w:val="en-US" w:eastAsia="zh-CN"/>
                <w14:textFill>
                  <w14:solidFill>
                    <w14:schemeClr w14:val="tx1"/>
                  </w14:solidFill>
                </w14:textFill>
              </w:rPr>
              <w:t>、建议去除效率70%。</w:t>
            </w:r>
            <w:r>
              <w:rPr>
                <w:rFonts w:hint="default" w:ascii="Times New Roman" w:hAnsi="Times New Roman" w:eastAsia="宋体" w:cs="Times New Roman"/>
                <w:sz w:val="21"/>
                <w:szCs w:val="21"/>
                <w:u w:val="none"/>
                <w:lang w:val="en-US" w:eastAsia="zh-CN"/>
              </w:rPr>
              <w:t>《</w:t>
            </w:r>
            <w:r>
              <w:rPr>
                <w:rFonts w:hint="eastAsia" w:ascii="Times New Roman" w:hAnsi="Times New Roman" w:eastAsia="宋体" w:cs="Times New Roman"/>
                <w:sz w:val="21"/>
                <w:szCs w:val="21"/>
                <w:u w:val="none"/>
                <w:lang w:val="en-US" w:eastAsia="zh-CN"/>
              </w:rPr>
              <w:t>河南省重污染天气重点行业应急减排（2024年修订版）</w:t>
            </w:r>
            <w:r>
              <w:rPr>
                <w:rFonts w:hint="default" w:ascii="Times New Roman" w:hAnsi="Times New Roman" w:eastAsia="宋体" w:cs="Times New Roman"/>
                <w:sz w:val="21"/>
                <w:szCs w:val="21"/>
                <w:u w:val="none"/>
                <w:lang w:val="en-US" w:eastAsia="zh-CN"/>
              </w:rPr>
              <w:t>》</w:t>
            </w:r>
            <w:r>
              <w:rPr>
                <w:rFonts w:hint="eastAsia" w:ascii="Times New Roman" w:hAnsi="Times New Roman" w:eastAsia="宋体" w:cs="Times New Roman"/>
                <w:sz w:val="21"/>
                <w:szCs w:val="21"/>
                <w:u w:val="none"/>
                <w:lang w:val="en-US" w:eastAsia="zh-CN"/>
              </w:rPr>
              <w:t>塑料制品行业A级</w:t>
            </w:r>
            <w:r>
              <w:rPr>
                <w:rFonts w:hint="eastAsia" w:ascii="Times New Roman" w:hAnsi="Times New Roman" w:cs="Times New Roman"/>
                <w:kern w:val="0"/>
                <w:sz w:val="21"/>
                <w:szCs w:val="21"/>
                <w:u w:val="none"/>
                <w:lang w:val="en-US" w:eastAsia="zh-CN"/>
              </w:rPr>
              <w:t>企业绩效分级指标，</w:t>
            </w:r>
            <w:r>
              <w:rPr>
                <w:rFonts w:hint="eastAsia" w:ascii="Times New Roman" w:hAnsi="Times New Roman" w:eastAsia="宋体" w:cs="Times New Roman"/>
                <w:sz w:val="21"/>
                <w:szCs w:val="21"/>
                <w:u w:val="none"/>
              </w:rPr>
              <w:t>车间或生产设施排气筒排放的</w:t>
            </w:r>
            <w:r>
              <w:rPr>
                <w:rFonts w:hint="default" w:ascii="Times New Roman" w:hAnsi="Times New Roman" w:eastAsia="宋体" w:cs="Times New Roman"/>
                <w:sz w:val="21"/>
                <w:szCs w:val="21"/>
                <w:u w:val="none"/>
              </w:rPr>
              <w:t>NMHC</w:t>
            </w:r>
            <w:r>
              <w:rPr>
                <w:rFonts w:hint="eastAsia" w:ascii="Times New Roman" w:hAnsi="Times New Roman" w:eastAsia="宋体" w:cs="Times New Roman"/>
                <w:sz w:val="21"/>
                <w:szCs w:val="21"/>
                <w:u w:val="none"/>
              </w:rPr>
              <w:t>为</w:t>
            </w:r>
            <w:r>
              <w:rPr>
                <w:rFonts w:hint="eastAsia" w:ascii="Times New Roman" w:hAnsi="Times New Roman" w:eastAsia="宋体" w:cs="Times New Roman"/>
                <w:sz w:val="21"/>
                <w:szCs w:val="21"/>
                <w:u w:val="none"/>
                <w:lang w:val="en-US" w:eastAsia="zh-CN"/>
              </w:rPr>
              <w:t>10</w:t>
            </w:r>
            <w:r>
              <w:rPr>
                <w:rFonts w:hint="default" w:ascii="Times New Roman" w:hAnsi="Times New Roman" w:eastAsia="宋体" w:cs="Times New Roman"/>
                <w:sz w:val="21"/>
                <w:szCs w:val="21"/>
                <w:u w:val="none"/>
              </w:rPr>
              <w:t>mg/m</w:t>
            </w:r>
            <w:r>
              <w:rPr>
                <w:rFonts w:hint="default" w:ascii="Times New Roman" w:hAnsi="Times New Roman" w:eastAsia="宋体" w:cs="Times New Roman"/>
                <w:sz w:val="21"/>
                <w:szCs w:val="21"/>
                <w:u w:val="none"/>
                <w:vertAlign w:val="superscript"/>
              </w:rPr>
              <w:t>3</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cs="Times New Roman"/>
                <w:b/>
                <w:bCs/>
                <w:color w:val="000000" w:themeColor="text1"/>
                <w:sz w:val="21"/>
                <w:szCs w:val="21"/>
                <w:u w:val="none" w:color="auto"/>
                <w:lang w:val="en-US" w:eastAsia="zh-CN"/>
                <w14:textFill>
                  <w14:solidFill>
                    <w14:schemeClr w14:val="tx1"/>
                  </w14:solidFill>
                </w14:textFill>
              </w:rPr>
              <w:t>本项目均符合要求。</w:t>
            </w:r>
          </w:p>
          <w:p w14:paraId="49C6F8E8">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4-2</w:t>
            </w:r>
            <w:r>
              <w:rPr>
                <w:rFonts w:hint="default" w:ascii="Times New Roman" w:hAnsi="Times New Roman" w:eastAsia="黑体" w:cs="Times New Roman"/>
                <w:b w:val="0"/>
                <w:bCs w:val="0"/>
                <w:color w:val="auto"/>
                <w:sz w:val="24"/>
                <w:szCs w:val="24"/>
                <w:u w:val="none" w:color="auto"/>
                <w:lang w:val="en-US" w:eastAsia="zh-CN"/>
              </w:rPr>
              <w:t xml:space="preserve">  </w:t>
            </w:r>
            <w:r>
              <w:rPr>
                <w:rFonts w:hint="eastAsia" w:ascii="Times New Roman" w:hAnsi="Times New Roman" w:eastAsia="黑体" w:cs="Times New Roman"/>
                <w:b w:val="0"/>
                <w:bCs w:val="0"/>
                <w:color w:val="auto"/>
                <w:sz w:val="24"/>
                <w:szCs w:val="24"/>
                <w:u w:val="none" w:color="auto"/>
                <w:lang w:val="en-US" w:eastAsia="zh-CN"/>
              </w:rPr>
              <w:t>点源参数表</w:t>
            </w:r>
          </w:p>
          <w:tbl>
            <w:tblPr>
              <w:tblStyle w:val="24"/>
              <w:tblW w:w="127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836"/>
              <w:gridCol w:w="1214"/>
              <w:gridCol w:w="942"/>
              <w:gridCol w:w="1360"/>
              <w:gridCol w:w="990"/>
              <w:gridCol w:w="1110"/>
              <w:gridCol w:w="1070"/>
              <w:gridCol w:w="1030"/>
              <w:gridCol w:w="1120"/>
              <w:gridCol w:w="2610"/>
            </w:tblGrid>
            <w:tr w14:paraId="20DA2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Merge w:val="restart"/>
                  <w:vAlign w:val="center"/>
                </w:tcPr>
                <w:p w14:paraId="6289DDA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编号</w:t>
                  </w:r>
                </w:p>
              </w:tc>
              <w:tc>
                <w:tcPr>
                  <w:tcW w:w="836" w:type="dxa"/>
                  <w:vMerge w:val="restart"/>
                  <w:vAlign w:val="center"/>
                </w:tcPr>
                <w:p w14:paraId="00D7201F">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名称</w:t>
                  </w:r>
                </w:p>
              </w:tc>
              <w:tc>
                <w:tcPr>
                  <w:tcW w:w="2156" w:type="dxa"/>
                  <w:gridSpan w:val="2"/>
                  <w:vAlign w:val="center"/>
                </w:tcPr>
                <w:p w14:paraId="7EED2976">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排气筒底部中心坐标</w:t>
                  </w:r>
                </w:p>
              </w:tc>
              <w:tc>
                <w:tcPr>
                  <w:tcW w:w="1360" w:type="dxa"/>
                  <w:vMerge w:val="restart"/>
                  <w:vAlign w:val="center"/>
                </w:tcPr>
                <w:p w14:paraId="1875661E">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排气筒底部海拔高度/m</w:t>
                  </w:r>
                </w:p>
              </w:tc>
              <w:tc>
                <w:tcPr>
                  <w:tcW w:w="990" w:type="dxa"/>
                  <w:vMerge w:val="restart"/>
                  <w:vAlign w:val="center"/>
                </w:tcPr>
                <w:p w14:paraId="74DF38C6">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排气筒高度/m</w:t>
                  </w:r>
                </w:p>
              </w:tc>
              <w:tc>
                <w:tcPr>
                  <w:tcW w:w="1110" w:type="dxa"/>
                  <w:vMerge w:val="restart"/>
                  <w:vAlign w:val="center"/>
                </w:tcPr>
                <w:p w14:paraId="50985D9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烟气流速/（m/s）</w:t>
                  </w:r>
                </w:p>
              </w:tc>
              <w:tc>
                <w:tcPr>
                  <w:tcW w:w="1070" w:type="dxa"/>
                  <w:vMerge w:val="restart"/>
                  <w:vAlign w:val="center"/>
                </w:tcPr>
                <w:p w14:paraId="61B1DB5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烟气温度/℃</w:t>
                  </w:r>
                </w:p>
              </w:tc>
              <w:tc>
                <w:tcPr>
                  <w:tcW w:w="1030" w:type="dxa"/>
                  <w:vMerge w:val="restart"/>
                  <w:vAlign w:val="center"/>
                </w:tcPr>
                <w:p w14:paraId="7EEE148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年排放小时数/h</w:t>
                  </w:r>
                </w:p>
              </w:tc>
              <w:tc>
                <w:tcPr>
                  <w:tcW w:w="1120" w:type="dxa"/>
                  <w:vMerge w:val="restart"/>
                  <w:vAlign w:val="center"/>
                </w:tcPr>
                <w:p w14:paraId="0400BAA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排放工况</w:t>
                  </w:r>
                </w:p>
              </w:tc>
              <w:tc>
                <w:tcPr>
                  <w:tcW w:w="2610" w:type="dxa"/>
                  <w:vAlign w:val="center"/>
                </w:tcPr>
                <w:p w14:paraId="1DCA61B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污染物排放速率</w:t>
                  </w:r>
                  <w:r>
                    <w:rPr>
                      <w:rFonts w:hint="eastAsia" w:ascii="Times New Roman" w:hAnsi="Times New Roman" w:cs="Times New Roman"/>
                      <w:b/>
                      <w:bCs/>
                      <w:i w:val="0"/>
                      <w:iCs w:val="0"/>
                      <w:color w:val="000000"/>
                      <w:sz w:val="21"/>
                      <w:szCs w:val="21"/>
                      <w:u w:val="none" w:color="auto"/>
                      <w:lang w:val="en-US" w:eastAsia="zh-CN"/>
                    </w:rPr>
                    <w:t>（kg/h）</w:t>
                  </w:r>
                </w:p>
              </w:tc>
            </w:tr>
            <w:tr w14:paraId="3CCD5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463" w:type="dxa"/>
                  <w:vMerge w:val="continue"/>
                  <w:vAlign w:val="center"/>
                </w:tcPr>
                <w:p w14:paraId="3C6FB1F3">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836" w:type="dxa"/>
                  <w:vMerge w:val="continue"/>
                  <w:vAlign w:val="center"/>
                </w:tcPr>
                <w:p w14:paraId="131537FD">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1214" w:type="dxa"/>
                  <w:vAlign w:val="center"/>
                </w:tcPr>
                <w:p w14:paraId="12525F9C">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X</w:t>
                  </w:r>
                </w:p>
              </w:tc>
              <w:tc>
                <w:tcPr>
                  <w:tcW w:w="942" w:type="dxa"/>
                  <w:vAlign w:val="center"/>
                </w:tcPr>
                <w:p w14:paraId="4C2EB71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r>
                    <w:rPr>
                      <w:rFonts w:hint="default" w:ascii="Times New Roman" w:hAnsi="Times New Roman" w:eastAsia="宋体" w:cs="Times New Roman"/>
                      <w:b/>
                      <w:bCs/>
                      <w:i w:val="0"/>
                      <w:iCs w:val="0"/>
                      <w:color w:val="000000"/>
                      <w:sz w:val="21"/>
                      <w:szCs w:val="21"/>
                      <w:u w:val="none" w:color="auto"/>
                      <w:lang w:val="en-US" w:eastAsia="zh-CN"/>
                    </w:rPr>
                    <w:t>Y</w:t>
                  </w:r>
                </w:p>
              </w:tc>
              <w:tc>
                <w:tcPr>
                  <w:tcW w:w="1360" w:type="dxa"/>
                  <w:vMerge w:val="continue"/>
                  <w:vAlign w:val="center"/>
                </w:tcPr>
                <w:p w14:paraId="441AB464">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990" w:type="dxa"/>
                  <w:vMerge w:val="continue"/>
                  <w:vAlign w:val="center"/>
                </w:tcPr>
                <w:p w14:paraId="41E19B5E">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1110" w:type="dxa"/>
                  <w:vMerge w:val="continue"/>
                  <w:vAlign w:val="center"/>
                </w:tcPr>
                <w:p w14:paraId="249EB162">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1070" w:type="dxa"/>
                  <w:vMerge w:val="continue"/>
                  <w:vAlign w:val="center"/>
                </w:tcPr>
                <w:p w14:paraId="5F723DE7">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1030" w:type="dxa"/>
                  <w:vMerge w:val="continue"/>
                  <w:vAlign w:val="center"/>
                </w:tcPr>
                <w:p w14:paraId="16118608">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1120" w:type="dxa"/>
                  <w:vMerge w:val="continue"/>
                  <w:vAlign w:val="center"/>
                </w:tcPr>
                <w:p w14:paraId="12DB6A99">
                  <w:pPr>
                    <w:wordWrap/>
                    <w:adjustRightInd/>
                    <w:snapToGrid/>
                    <w:spacing w:beforeAutospacing="0" w:afterAutospacing="0" w:line="360" w:lineRule="exact"/>
                    <w:jc w:val="center"/>
                    <w:rPr>
                      <w:rFonts w:hint="default" w:ascii="Times New Roman" w:hAnsi="Times New Roman" w:eastAsia="宋体" w:cs="Times New Roman"/>
                      <w:b/>
                      <w:bCs/>
                      <w:i w:val="0"/>
                      <w:iCs w:val="0"/>
                      <w:color w:val="000000"/>
                      <w:sz w:val="21"/>
                      <w:szCs w:val="21"/>
                      <w:u w:val="none" w:color="auto"/>
                      <w:lang w:val="en-US" w:eastAsia="zh-CN"/>
                    </w:rPr>
                  </w:pPr>
                </w:p>
              </w:tc>
              <w:tc>
                <w:tcPr>
                  <w:tcW w:w="2610" w:type="dxa"/>
                  <w:vAlign w:val="center"/>
                </w:tcPr>
                <w:p w14:paraId="356FE51C">
                  <w:pPr>
                    <w:wordWrap/>
                    <w:adjustRightInd/>
                    <w:snapToGrid/>
                    <w:spacing w:beforeAutospacing="0" w:afterAutospacing="0" w:line="360" w:lineRule="exact"/>
                    <w:jc w:val="center"/>
                    <w:rPr>
                      <w:rFonts w:hint="default" w:ascii="Times New Roman" w:hAnsi="Times New Roman" w:cs="Times New Roman"/>
                      <w:b/>
                      <w:bCs/>
                      <w:i w:val="0"/>
                      <w:iCs w:val="0"/>
                      <w:color w:val="000000"/>
                      <w:sz w:val="21"/>
                      <w:szCs w:val="21"/>
                      <w:u w:val="none" w:color="auto"/>
                      <w:lang w:val="en-US" w:eastAsia="zh-CN"/>
                    </w:rPr>
                  </w:pPr>
                  <w:r>
                    <w:rPr>
                      <w:rFonts w:hint="eastAsia" w:ascii="Times New Roman" w:hAnsi="Times New Roman" w:cs="Times New Roman"/>
                      <w:b/>
                      <w:bCs/>
                      <w:i w:val="0"/>
                      <w:iCs w:val="0"/>
                      <w:color w:val="000000"/>
                      <w:sz w:val="21"/>
                      <w:szCs w:val="21"/>
                      <w:u w:val="none" w:color="auto"/>
                      <w:lang w:val="en-US" w:eastAsia="zh-CN"/>
                    </w:rPr>
                    <w:t>非甲烷总烃</w:t>
                  </w:r>
                </w:p>
              </w:tc>
            </w:tr>
            <w:tr w14:paraId="7784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dxa"/>
                  <w:vAlign w:val="center"/>
                </w:tcPr>
                <w:p w14:paraId="3E110BF7">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sz w:val="21"/>
                      <w:szCs w:val="21"/>
                      <w:u w:val="none" w:color="auto"/>
                      <w:lang w:val="en-US" w:eastAsia="zh-CN"/>
                    </w:rPr>
                  </w:pPr>
                  <w:r>
                    <w:rPr>
                      <w:rFonts w:hint="eastAsia" w:ascii="Times New Roman" w:hAnsi="Times New Roman" w:eastAsia="宋体" w:cs="Times New Roman"/>
                      <w:b w:val="0"/>
                      <w:bCs w:val="0"/>
                      <w:i w:val="0"/>
                      <w:iCs w:val="0"/>
                      <w:color w:val="000000"/>
                      <w:sz w:val="21"/>
                      <w:szCs w:val="21"/>
                      <w:u w:val="none" w:color="auto"/>
                      <w:lang w:val="en-US" w:eastAsia="zh-CN"/>
                    </w:rPr>
                    <w:t>1</w:t>
                  </w:r>
                </w:p>
              </w:tc>
              <w:tc>
                <w:tcPr>
                  <w:tcW w:w="836" w:type="dxa"/>
                  <w:vAlign w:val="center"/>
                </w:tcPr>
                <w:p w14:paraId="695FB230">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sz w:val="21"/>
                      <w:szCs w:val="21"/>
                      <w:u w:val="none" w:color="auto"/>
                      <w:lang w:val="en-US" w:eastAsia="zh-CN"/>
                    </w:rPr>
                  </w:pPr>
                  <w:r>
                    <w:rPr>
                      <w:rFonts w:hint="eastAsia" w:ascii="Times New Roman" w:hAnsi="Times New Roman" w:eastAsia="宋体" w:cs="Times New Roman"/>
                      <w:b w:val="0"/>
                      <w:bCs w:val="0"/>
                      <w:i w:val="0"/>
                      <w:iCs w:val="0"/>
                      <w:color w:val="000000"/>
                      <w:sz w:val="21"/>
                      <w:szCs w:val="21"/>
                      <w:u w:val="none" w:color="auto"/>
                      <w:lang w:val="en-US" w:eastAsia="zh-CN"/>
                    </w:rPr>
                    <w:t>DA00</w:t>
                  </w:r>
                  <w:r>
                    <w:rPr>
                      <w:rFonts w:hint="eastAsia" w:ascii="Times New Roman" w:hAnsi="Times New Roman" w:cs="Times New Roman"/>
                      <w:b w:val="0"/>
                      <w:bCs w:val="0"/>
                      <w:i w:val="0"/>
                      <w:iCs w:val="0"/>
                      <w:color w:val="000000"/>
                      <w:sz w:val="21"/>
                      <w:szCs w:val="21"/>
                      <w:u w:val="none" w:color="auto"/>
                      <w:lang w:val="en-US" w:eastAsia="zh-CN"/>
                    </w:rPr>
                    <w:t>1</w:t>
                  </w:r>
                </w:p>
              </w:tc>
              <w:tc>
                <w:tcPr>
                  <w:tcW w:w="1214" w:type="dxa"/>
                  <w:vAlign w:val="center"/>
                </w:tcPr>
                <w:p w14:paraId="560797CF">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i w:val="0"/>
                      <w:iCs w:val="0"/>
                      <w:color w:val="C00000"/>
                      <w:sz w:val="21"/>
                      <w:szCs w:val="21"/>
                      <w:u w:val="none" w:color="auto"/>
                      <w:lang w:val="en-US" w:eastAsia="zh-CN"/>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113.818536</w:t>
                  </w:r>
                </w:p>
              </w:tc>
              <w:tc>
                <w:tcPr>
                  <w:tcW w:w="942" w:type="dxa"/>
                  <w:vAlign w:val="center"/>
                </w:tcPr>
                <w:p w14:paraId="2C16079F">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default" w:ascii="Times New Roman" w:hAnsi="Times New Roman" w:eastAsia="宋体" w:cs="Times New Roman"/>
                      <w:b w:val="0"/>
                      <w:bCs w:val="0"/>
                      <w:i w:val="0"/>
                      <w:iCs w:val="0"/>
                      <w:color w:val="C00000"/>
                      <w:sz w:val="21"/>
                      <w:szCs w:val="21"/>
                      <w:u w:val="none" w:color="auto"/>
                      <w:lang w:val="en-US" w:eastAsia="zh-CN"/>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34.069978</w:t>
                  </w:r>
                </w:p>
              </w:tc>
              <w:tc>
                <w:tcPr>
                  <w:tcW w:w="1360" w:type="dxa"/>
                  <w:vAlign w:val="center"/>
                </w:tcPr>
                <w:p w14:paraId="038A8145">
                  <w:pPr>
                    <w:wordWrap/>
                    <w:adjustRightInd/>
                    <w:snapToGrid/>
                    <w:spacing w:beforeAutospacing="0" w:afterAutospacing="0" w:line="360" w:lineRule="exact"/>
                    <w:ind w:left="0" w:leftChars="0" w:right="0" w:rightChars="0"/>
                    <w:jc w:val="center"/>
                    <w:rPr>
                      <w:rFonts w:hint="default" w:ascii="Times New Roman" w:hAnsi="Times New Roman" w:eastAsia="宋体" w:cs="Times New Roman"/>
                      <w:b w:val="0"/>
                      <w:bCs w:val="0"/>
                      <w:i w:val="0"/>
                      <w:iCs w:val="0"/>
                      <w:color w:val="C00000"/>
                      <w:sz w:val="21"/>
                      <w:szCs w:val="21"/>
                      <w:u w:val="none" w:color="auto"/>
                      <w:lang w:val="en-US" w:eastAsia="zh-CN"/>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73.08</w:t>
                  </w:r>
                </w:p>
              </w:tc>
              <w:tc>
                <w:tcPr>
                  <w:tcW w:w="990" w:type="dxa"/>
                  <w:vAlign w:val="center"/>
                </w:tcPr>
                <w:p w14:paraId="31F09A5D">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C00000"/>
                      <w:sz w:val="21"/>
                      <w:szCs w:val="21"/>
                      <w:u w:val="none" w:color="auto"/>
                      <w:lang w:val="en-US" w:eastAsia="zh-CN"/>
                    </w:rPr>
                  </w:pPr>
                  <w:r>
                    <w:rPr>
                      <w:rFonts w:hint="eastAsia" w:ascii="Times New Roman" w:hAnsi="Times New Roman" w:eastAsia="宋体" w:cs="Times New Roman"/>
                      <w:b w:val="0"/>
                      <w:bCs w:val="0"/>
                      <w:i w:val="0"/>
                      <w:iCs w:val="0"/>
                      <w:color w:val="000000" w:themeColor="text1"/>
                      <w:sz w:val="21"/>
                      <w:szCs w:val="21"/>
                      <w:u w:val="none" w:color="auto"/>
                      <w:lang w:val="en-US" w:eastAsia="zh-CN"/>
                      <w14:textFill>
                        <w14:solidFill>
                          <w14:schemeClr w14:val="tx1"/>
                        </w14:solidFill>
                      </w14:textFill>
                    </w:rPr>
                    <w:t>15</w:t>
                  </w:r>
                </w:p>
              </w:tc>
              <w:tc>
                <w:tcPr>
                  <w:tcW w:w="1110" w:type="dxa"/>
                  <w:vAlign w:val="center"/>
                </w:tcPr>
                <w:p w14:paraId="31419255">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11.86</w:t>
                  </w:r>
                </w:p>
              </w:tc>
              <w:tc>
                <w:tcPr>
                  <w:tcW w:w="1070" w:type="dxa"/>
                  <w:vAlign w:val="center"/>
                </w:tcPr>
                <w:p w14:paraId="2A20AEC6">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sz w:val="21"/>
                      <w:szCs w:val="21"/>
                      <w:u w:val="none" w:color="auto"/>
                      <w:lang w:val="en-US" w:eastAsia="zh-CN"/>
                    </w:rPr>
                  </w:pPr>
                  <w:r>
                    <w:rPr>
                      <w:rFonts w:hint="eastAsia" w:ascii="Times New Roman" w:hAnsi="Times New Roman" w:cs="Times New Roman"/>
                      <w:b w:val="0"/>
                      <w:bCs w:val="0"/>
                      <w:i w:val="0"/>
                      <w:iCs w:val="0"/>
                      <w:color w:val="000000"/>
                      <w:sz w:val="21"/>
                      <w:szCs w:val="21"/>
                      <w:u w:val="none" w:color="auto"/>
                      <w:lang w:val="en-US" w:eastAsia="zh-CN"/>
                    </w:rPr>
                    <w:t>20</w:t>
                  </w:r>
                </w:p>
              </w:tc>
              <w:tc>
                <w:tcPr>
                  <w:tcW w:w="1030" w:type="dxa"/>
                  <w:vAlign w:val="center"/>
                </w:tcPr>
                <w:p w14:paraId="4E60C7C0">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sz w:val="21"/>
                      <w:szCs w:val="21"/>
                      <w:u w:val="none" w:color="auto"/>
                      <w:lang w:val="en-US" w:eastAsia="zh-CN"/>
                    </w:rPr>
                  </w:pPr>
                  <w:r>
                    <w:rPr>
                      <w:rFonts w:hint="eastAsia" w:ascii="Times New Roman" w:hAnsi="Times New Roman" w:cs="Times New Roman"/>
                      <w:b w:val="0"/>
                      <w:bCs w:val="0"/>
                      <w:i w:val="0"/>
                      <w:iCs w:val="0"/>
                      <w:color w:val="C00000"/>
                      <w:sz w:val="21"/>
                      <w:szCs w:val="21"/>
                      <w:u w:val="none" w:color="auto"/>
                      <w:lang w:val="en-US" w:eastAsia="zh-CN"/>
                    </w:rPr>
                    <w:t>1200</w:t>
                  </w:r>
                </w:p>
              </w:tc>
              <w:tc>
                <w:tcPr>
                  <w:tcW w:w="1120" w:type="dxa"/>
                  <w:vAlign w:val="center"/>
                </w:tcPr>
                <w:p w14:paraId="7E8582F1">
                  <w:pPr>
                    <w:wordWrap/>
                    <w:adjustRightInd/>
                    <w:snapToGrid/>
                    <w:spacing w:beforeAutospacing="0" w:afterAutospacing="0" w:line="360" w:lineRule="exact"/>
                    <w:jc w:val="center"/>
                    <w:rPr>
                      <w:rFonts w:hint="default" w:ascii="Times New Roman" w:hAnsi="Times New Roman" w:eastAsia="宋体" w:cs="Times New Roman"/>
                      <w:b w:val="0"/>
                      <w:bCs w:val="0"/>
                      <w:i w:val="0"/>
                      <w:iCs w:val="0"/>
                      <w:color w:val="000000"/>
                      <w:sz w:val="21"/>
                      <w:szCs w:val="21"/>
                      <w:u w:val="none" w:color="auto"/>
                      <w:lang w:val="en-US" w:eastAsia="zh-CN"/>
                    </w:rPr>
                  </w:pPr>
                  <w:r>
                    <w:rPr>
                      <w:rFonts w:hint="eastAsia" w:ascii="Times New Roman" w:hAnsi="Times New Roman" w:eastAsia="宋体" w:cs="Times New Roman"/>
                      <w:b w:val="0"/>
                      <w:bCs w:val="0"/>
                      <w:i w:val="0"/>
                      <w:iCs w:val="0"/>
                      <w:color w:val="000000"/>
                      <w:sz w:val="21"/>
                      <w:szCs w:val="21"/>
                      <w:u w:val="none" w:color="auto"/>
                      <w:lang w:val="en-US" w:eastAsia="zh-CN"/>
                    </w:rPr>
                    <w:t>正常排放</w:t>
                  </w:r>
                </w:p>
              </w:tc>
              <w:tc>
                <w:tcPr>
                  <w:tcW w:w="2610" w:type="dxa"/>
                  <w:vAlign w:val="center"/>
                </w:tcPr>
                <w:p w14:paraId="2813182C">
                  <w:pPr>
                    <w:wordWrap/>
                    <w:adjustRightInd/>
                    <w:snapToGrid/>
                    <w:spacing w:beforeAutospacing="0" w:afterAutospacing="0" w:line="360" w:lineRule="exact"/>
                    <w:ind w:left="0" w:leftChars="0" w:right="0"/>
                    <w:jc w:val="center"/>
                    <w:rPr>
                      <w:rFonts w:hint="default"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color="auto"/>
                      <w:lang w:val="en-US" w:eastAsia="zh-CN"/>
                      <w14:textFill>
                        <w14:solidFill>
                          <w14:schemeClr w14:val="tx1"/>
                        </w14:solidFill>
                      </w14:textFill>
                    </w:rPr>
                    <w:t>0.0054</w:t>
                  </w:r>
                </w:p>
              </w:tc>
            </w:tr>
          </w:tbl>
          <w:p w14:paraId="71297E3C">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4-3</w:t>
            </w:r>
            <w:r>
              <w:rPr>
                <w:rFonts w:hint="default" w:ascii="Times New Roman" w:hAnsi="Times New Roman" w:eastAsia="黑体" w:cs="Times New Roman"/>
                <w:b w:val="0"/>
                <w:bCs w:val="0"/>
                <w:color w:val="auto"/>
                <w:sz w:val="24"/>
                <w:szCs w:val="24"/>
                <w:u w:val="none" w:color="auto"/>
                <w:lang w:val="en-US" w:eastAsia="zh-CN"/>
              </w:rPr>
              <w:t xml:space="preserve">  </w:t>
            </w:r>
            <w:r>
              <w:rPr>
                <w:rFonts w:hint="eastAsia" w:ascii="Times New Roman" w:hAnsi="Times New Roman" w:eastAsia="黑体" w:cs="Times New Roman"/>
                <w:b w:val="0"/>
                <w:bCs w:val="0"/>
                <w:color w:val="auto"/>
                <w:sz w:val="24"/>
                <w:szCs w:val="24"/>
                <w:u w:val="none" w:color="auto"/>
                <w:lang w:val="en-US" w:eastAsia="zh-CN"/>
              </w:rPr>
              <w:t>无组织排放面源参数表</w:t>
            </w:r>
          </w:p>
          <w:tbl>
            <w:tblPr>
              <w:tblStyle w:val="24"/>
              <w:tblW w:w="127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1064"/>
              <w:gridCol w:w="1078"/>
              <w:gridCol w:w="1229"/>
              <w:gridCol w:w="1004"/>
              <w:gridCol w:w="665"/>
              <w:gridCol w:w="760"/>
              <w:gridCol w:w="946"/>
              <w:gridCol w:w="1407"/>
              <w:gridCol w:w="1153"/>
              <w:gridCol w:w="1451"/>
              <w:gridCol w:w="1452"/>
            </w:tblGrid>
            <w:tr w14:paraId="1461E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9" w:type="dxa"/>
                  <w:vMerge w:val="restart"/>
                  <w:vAlign w:val="center"/>
                </w:tcPr>
                <w:p w14:paraId="4CDE9E6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编号</w:t>
                  </w:r>
                </w:p>
              </w:tc>
              <w:tc>
                <w:tcPr>
                  <w:tcW w:w="1064" w:type="dxa"/>
                  <w:vMerge w:val="restart"/>
                  <w:vAlign w:val="center"/>
                </w:tcPr>
                <w:p w14:paraId="4762E06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名称</w:t>
                  </w:r>
                </w:p>
              </w:tc>
              <w:tc>
                <w:tcPr>
                  <w:tcW w:w="2307" w:type="dxa"/>
                  <w:gridSpan w:val="2"/>
                  <w:vAlign w:val="center"/>
                </w:tcPr>
                <w:p w14:paraId="4E05090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面源起点坐标</w:t>
                  </w:r>
                </w:p>
              </w:tc>
              <w:tc>
                <w:tcPr>
                  <w:tcW w:w="1004" w:type="dxa"/>
                  <w:vMerge w:val="restart"/>
                  <w:vAlign w:val="center"/>
                </w:tcPr>
                <w:p w14:paraId="631E4DF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面源海拔高度/m</w:t>
                  </w:r>
                </w:p>
              </w:tc>
              <w:tc>
                <w:tcPr>
                  <w:tcW w:w="665" w:type="dxa"/>
                  <w:vMerge w:val="restart"/>
                  <w:vAlign w:val="center"/>
                </w:tcPr>
                <w:p w14:paraId="2A4276A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面源长度/m</w:t>
                  </w:r>
                </w:p>
              </w:tc>
              <w:tc>
                <w:tcPr>
                  <w:tcW w:w="760" w:type="dxa"/>
                  <w:vMerge w:val="restart"/>
                  <w:vAlign w:val="center"/>
                </w:tcPr>
                <w:p w14:paraId="444ED56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面源宽度/m</w:t>
                  </w:r>
                </w:p>
              </w:tc>
              <w:tc>
                <w:tcPr>
                  <w:tcW w:w="946" w:type="dxa"/>
                  <w:vMerge w:val="restart"/>
                  <w:vAlign w:val="center"/>
                </w:tcPr>
                <w:p w14:paraId="05FC81B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与正北向夹角/°</w:t>
                  </w:r>
                </w:p>
              </w:tc>
              <w:tc>
                <w:tcPr>
                  <w:tcW w:w="1407" w:type="dxa"/>
                  <w:vMerge w:val="restart"/>
                  <w:vAlign w:val="center"/>
                </w:tcPr>
                <w:p w14:paraId="2AC74DB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年排放小时数/h</w:t>
                  </w:r>
                </w:p>
              </w:tc>
              <w:tc>
                <w:tcPr>
                  <w:tcW w:w="1153" w:type="dxa"/>
                  <w:vMerge w:val="restart"/>
                  <w:vAlign w:val="center"/>
                </w:tcPr>
                <w:p w14:paraId="446CEDF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排放工况</w:t>
                  </w:r>
                </w:p>
              </w:tc>
              <w:tc>
                <w:tcPr>
                  <w:tcW w:w="2903" w:type="dxa"/>
                  <w:gridSpan w:val="2"/>
                  <w:vAlign w:val="center"/>
                </w:tcPr>
                <w:p w14:paraId="76552D6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污染物排放速率/（kg/h）</w:t>
                  </w:r>
                </w:p>
              </w:tc>
            </w:tr>
            <w:tr w14:paraId="5FEA5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9" w:type="dxa"/>
                  <w:vMerge w:val="continue"/>
                  <w:vAlign w:val="center"/>
                </w:tcPr>
                <w:p w14:paraId="1692B07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1064" w:type="dxa"/>
                  <w:vMerge w:val="continue"/>
                  <w:vAlign w:val="center"/>
                </w:tcPr>
                <w:p w14:paraId="6CC7C29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1078" w:type="dxa"/>
                  <w:vAlign w:val="center"/>
                </w:tcPr>
                <w:p w14:paraId="12B2130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X</w:t>
                  </w:r>
                </w:p>
              </w:tc>
              <w:tc>
                <w:tcPr>
                  <w:tcW w:w="1229" w:type="dxa"/>
                  <w:vAlign w:val="center"/>
                </w:tcPr>
                <w:p w14:paraId="5737778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lang w:val="en-US" w:eastAsia="zh-CN"/>
                    </w:rPr>
                    <w:t>Y</w:t>
                  </w:r>
                </w:p>
              </w:tc>
              <w:tc>
                <w:tcPr>
                  <w:tcW w:w="1004" w:type="dxa"/>
                  <w:vMerge w:val="continue"/>
                  <w:vAlign w:val="center"/>
                </w:tcPr>
                <w:p w14:paraId="15CB5121">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665" w:type="dxa"/>
                  <w:vMerge w:val="continue"/>
                  <w:vAlign w:val="center"/>
                </w:tcPr>
                <w:p w14:paraId="46C0001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760" w:type="dxa"/>
                  <w:vMerge w:val="continue"/>
                  <w:vAlign w:val="center"/>
                </w:tcPr>
                <w:p w14:paraId="455B4517">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946" w:type="dxa"/>
                  <w:vMerge w:val="continue"/>
                  <w:vAlign w:val="center"/>
                </w:tcPr>
                <w:p w14:paraId="75A938AB">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1407" w:type="dxa"/>
                  <w:vMerge w:val="continue"/>
                  <w:vAlign w:val="center"/>
                </w:tcPr>
                <w:p w14:paraId="69C7097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1153" w:type="dxa"/>
                  <w:vMerge w:val="continue"/>
                  <w:vAlign w:val="center"/>
                </w:tcPr>
                <w:p w14:paraId="133EBBE7">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b/>
                      <w:bCs/>
                      <w:sz w:val="21"/>
                      <w:szCs w:val="21"/>
                      <w:u w:val="none" w:color="auto"/>
                      <w:lang w:val="en-US" w:eastAsia="zh-CN"/>
                    </w:rPr>
                  </w:pPr>
                </w:p>
              </w:tc>
              <w:tc>
                <w:tcPr>
                  <w:tcW w:w="1451" w:type="dxa"/>
                  <w:vAlign w:val="center"/>
                </w:tcPr>
                <w:p w14:paraId="495A88B2">
                  <w:pPr>
                    <w:wordWrap/>
                    <w:adjustRightInd/>
                    <w:snapToGrid/>
                    <w:spacing w:beforeAutospacing="0" w:afterAutospacing="0" w:line="360" w:lineRule="exact"/>
                    <w:ind w:left="0" w:leftChars="0" w:right="0"/>
                    <w:jc w:val="center"/>
                    <w:rPr>
                      <w:rFonts w:hint="default" w:ascii="Times New Roman" w:hAnsi="Times New Roman" w:eastAsia="宋体" w:cs="Times New Roman"/>
                      <w:b/>
                      <w:bCs/>
                      <w:sz w:val="21"/>
                      <w:szCs w:val="21"/>
                      <w:u w:val="none" w:color="auto"/>
                      <w:lang w:val="en-US" w:eastAsia="zh-CN"/>
                    </w:rPr>
                  </w:pPr>
                  <w:r>
                    <w:rPr>
                      <w:rFonts w:hint="eastAsia" w:ascii="Times New Roman" w:hAnsi="Times New Roman" w:cs="Times New Roman"/>
                      <w:b/>
                      <w:bCs/>
                      <w:i w:val="0"/>
                      <w:iCs w:val="0"/>
                      <w:color w:val="000000"/>
                      <w:sz w:val="21"/>
                      <w:szCs w:val="21"/>
                      <w:u w:val="none" w:color="auto"/>
                      <w:lang w:val="en-US" w:eastAsia="zh-CN"/>
                    </w:rPr>
                    <w:t>非甲烷总烃</w:t>
                  </w:r>
                </w:p>
              </w:tc>
              <w:tc>
                <w:tcPr>
                  <w:tcW w:w="1452" w:type="dxa"/>
                  <w:vAlign w:val="center"/>
                </w:tcPr>
                <w:p w14:paraId="66EBBDC1">
                  <w:pPr>
                    <w:wordWrap/>
                    <w:adjustRightInd/>
                    <w:snapToGrid/>
                    <w:spacing w:beforeAutospacing="0" w:afterAutospacing="0" w:line="360" w:lineRule="exact"/>
                    <w:ind w:left="0" w:leftChars="0" w:right="0"/>
                    <w:jc w:val="center"/>
                    <w:rPr>
                      <w:rFonts w:hint="default"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u w:val="none" w:color="auto"/>
                      <w:lang w:val="en-US" w:eastAsia="zh-CN"/>
                      <w14:textFill>
                        <w14:solidFill>
                          <w14:schemeClr w14:val="tx1"/>
                        </w14:solidFill>
                      </w14:textFill>
                    </w:rPr>
                    <w:t>颗粒物</w:t>
                  </w:r>
                </w:p>
              </w:tc>
            </w:tr>
            <w:tr w14:paraId="04343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539" w:type="dxa"/>
                  <w:vAlign w:val="center"/>
                </w:tcPr>
                <w:p w14:paraId="12076F89">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1</w:t>
                  </w:r>
                </w:p>
              </w:tc>
              <w:tc>
                <w:tcPr>
                  <w:tcW w:w="1064" w:type="dxa"/>
                  <w:vAlign w:val="center"/>
                </w:tcPr>
                <w:p w14:paraId="064C320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生产车间</w:t>
                  </w:r>
                </w:p>
              </w:tc>
              <w:tc>
                <w:tcPr>
                  <w:tcW w:w="1078" w:type="dxa"/>
                  <w:vAlign w:val="center"/>
                </w:tcPr>
                <w:p w14:paraId="34973A85">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113.818086</w:t>
                  </w:r>
                </w:p>
              </w:tc>
              <w:tc>
                <w:tcPr>
                  <w:tcW w:w="1229" w:type="dxa"/>
                  <w:vAlign w:val="center"/>
                </w:tcPr>
                <w:p w14:paraId="5FA4C365">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34.069954</w:t>
                  </w:r>
                </w:p>
              </w:tc>
              <w:tc>
                <w:tcPr>
                  <w:tcW w:w="1004" w:type="dxa"/>
                  <w:vAlign w:val="center"/>
                </w:tcPr>
                <w:p w14:paraId="4ABD32C4">
                  <w:pPr>
                    <w:wordWrap/>
                    <w:adjustRightInd/>
                    <w:snapToGrid/>
                    <w:spacing w:beforeAutospacing="0" w:afterAutospacing="0" w:line="360" w:lineRule="exact"/>
                    <w:ind w:left="0" w:leftChars="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72.83</w:t>
                  </w:r>
                </w:p>
              </w:tc>
              <w:tc>
                <w:tcPr>
                  <w:tcW w:w="665" w:type="dxa"/>
                  <w:vAlign w:val="center"/>
                </w:tcPr>
                <w:p w14:paraId="72289A5C">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80</w:t>
                  </w:r>
                </w:p>
              </w:tc>
              <w:tc>
                <w:tcPr>
                  <w:tcW w:w="760" w:type="dxa"/>
                  <w:vAlign w:val="center"/>
                </w:tcPr>
                <w:p w14:paraId="70E09F80">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25</w:t>
                  </w:r>
                </w:p>
              </w:tc>
              <w:tc>
                <w:tcPr>
                  <w:tcW w:w="946" w:type="dxa"/>
                  <w:vAlign w:val="center"/>
                </w:tcPr>
                <w:p w14:paraId="0F3FC2FF">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5.6</w:t>
                  </w:r>
                </w:p>
              </w:tc>
              <w:tc>
                <w:tcPr>
                  <w:tcW w:w="1407" w:type="dxa"/>
                  <w:vAlign w:val="center"/>
                </w:tcPr>
                <w:p w14:paraId="275768CE">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1200</w:t>
                  </w:r>
                </w:p>
              </w:tc>
              <w:tc>
                <w:tcPr>
                  <w:tcW w:w="1153" w:type="dxa"/>
                  <w:vAlign w:val="center"/>
                </w:tcPr>
                <w:p w14:paraId="17475287">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正常排放</w:t>
                  </w:r>
                </w:p>
              </w:tc>
              <w:tc>
                <w:tcPr>
                  <w:tcW w:w="1451" w:type="dxa"/>
                  <w:vAlign w:val="center"/>
                </w:tcPr>
                <w:p w14:paraId="2D200A2D">
                  <w:pPr>
                    <w:pStyle w:val="10"/>
                    <w:widowControl w:val="0"/>
                    <w:wordWrap/>
                    <w:autoSpaceDE w:val="0"/>
                    <w:autoSpaceDN w:val="0"/>
                    <w:adjustRightInd/>
                    <w:snapToGrid/>
                    <w:spacing w:before="58" w:beforeAutospacing="0" w:afterAutospacing="0" w:line="360" w:lineRule="exact"/>
                    <w:ind w:right="0"/>
                    <w:jc w:val="center"/>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0.0045</w:t>
                  </w:r>
                </w:p>
              </w:tc>
              <w:tc>
                <w:tcPr>
                  <w:tcW w:w="1452" w:type="dxa"/>
                  <w:vAlign w:val="center"/>
                </w:tcPr>
                <w:p w14:paraId="7904B9C0">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0.0038</w:t>
                  </w:r>
                </w:p>
              </w:tc>
            </w:tr>
          </w:tbl>
          <w:p w14:paraId="12B150EB">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eastAsia="zh-CN"/>
              </w:rPr>
              <w:t>表</w:t>
            </w:r>
            <w:r>
              <w:rPr>
                <w:rFonts w:hint="eastAsia" w:ascii="Times New Roman" w:hAnsi="Times New Roman" w:eastAsia="黑体" w:cs="Times New Roman"/>
                <w:b w:val="0"/>
                <w:bCs w:val="0"/>
                <w:color w:val="auto"/>
                <w:sz w:val="24"/>
                <w:szCs w:val="24"/>
                <w:u w:val="none" w:color="auto"/>
                <w:lang w:val="en-US" w:eastAsia="zh-CN"/>
              </w:rPr>
              <w:t>4-4</w:t>
            </w:r>
            <w:r>
              <w:rPr>
                <w:rFonts w:hint="default" w:ascii="Times New Roman" w:hAnsi="Times New Roman" w:eastAsia="黑体" w:cs="Times New Roman"/>
                <w:b w:val="0"/>
                <w:bCs w:val="0"/>
                <w:color w:val="auto"/>
                <w:sz w:val="24"/>
                <w:szCs w:val="24"/>
                <w:u w:val="none" w:color="auto"/>
                <w:lang w:eastAsia="zh-CN"/>
              </w:rPr>
              <w:t xml:space="preserve"> </w:t>
            </w:r>
            <w:r>
              <w:rPr>
                <w:rFonts w:hint="eastAsia" w:ascii="Times New Roman" w:hAnsi="Times New Roman" w:eastAsia="黑体" w:cs="Times New Roman"/>
                <w:b w:val="0"/>
                <w:bCs w:val="0"/>
                <w:color w:val="auto"/>
                <w:sz w:val="24"/>
                <w:szCs w:val="24"/>
                <w:u w:val="none" w:color="auto"/>
                <w:lang w:val="en-US" w:eastAsia="zh-CN"/>
              </w:rPr>
              <w:t xml:space="preserve"> </w:t>
            </w:r>
            <w:r>
              <w:rPr>
                <w:rFonts w:hint="default" w:ascii="Times New Roman" w:hAnsi="Times New Roman" w:eastAsia="黑体" w:cs="Times New Roman"/>
                <w:b w:val="0"/>
                <w:bCs w:val="0"/>
                <w:color w:val="auto"/>
                <w:sz w:val="24"/>
                <w:szCs w:val="24"/>
                <w:u w:val="none" w:color="auto"/>
                <w:lang w:eastAsia="zh-CN"/>
              </w:rPr>
              <w:t>本项目</w:t>
            </w:r>
            <w:r>
              <w:rPr>
                <w:rFonts w:hint="eastAsia" w:ascii="Times New Roman" w:hAnsi="Times New Roman" w:eastAsia="黑体" w:cs="Times New Roman"/>
                <w:b w:val="0"/>
                <w:bCs w:val="0"/>
                <w:color w:val="auto"/>
                <w:sz w:val="24"/>
                <w:szCs w:val="24"/>
                <w:u w:val="none" w:color="auto"/>
                <w:lang w:eastAsia="zh-CN"/>
              </w:rPr>
              <w:t>无</w:t>
            </w:r>
            <w:r>
              <w:rPr>
                <w:rFonts w:hint="default" w:ascii="Times New Roman" w:hAnsi="Times New Roman" w:eastAsia="黑体" w:cs="Times New Roman"/>
                <w:b w:val="0"/>
                <w:bCs w:val="0"/>
                <w:color w:val="auto"/>
                <w:sz w:val="24"/>
                <w:szCs w:val="24"/>
                <w:u w:val="none" w:color="auto"/>
                <w:lang w:eastAsia="zh-CN"/>
              </w:rPr>
              <w:t>组织废气产生及排放情况表</w:t>
            </w:r>
          </w:p>
          <w:tbl>
            <w:tblPr>
              <w:tblStyle w:val="24"/>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38"/>
              <w:gridCol w:w="1254"/>
              <w:gridCol w:w="1347"/>
              <w:gridCol w:w="1255"/>
              <w:gridCol w:w="1379"/>
              <w:gridCol w:w="1570"/>
              <w:gridCol w:w="1271"/>
              <w:gridCol w:w="1309"/>
              <w:gridCol w:w="1250"/>
            </w:tblGrid>
            <w:tr w14:paraId="2D443D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1938" w:type="dxa"/>
                  <w:tcBorders>
                    <w:tl2br w:val="nil"/>
                    <w:tr2bl w:val="nil"/>
                  </w:tcBorders>
                  <w:vAlign w:val="center"/>
                </w:tcPr>
                <w:p w14:paraId="3C9FCE9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污染源位置</w:t>
                  </w:r>
                </w:p>
              </w:tc>
              <w:tc>
                <w:tcPr>
                  <w:tcW w:w="1254" w:type="dxa"/>
                  <w:tcBorders>
                    <w:tl2br w:val="nil"/>
                    <w:tr2bl w:val="nil"/>
                  </w:tcBorders>
                  <w:vAlign w:val="center"/>
                </w:tcPr>
                <w:p w14:paraId="750E9C09">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eastAsia="zh-CN"/>
                    </w:rPr>
                  </w:pPr>
                  <w:r>
                    <w:rPr>
                      <w:rFonts w:hint="eastAsia" w:ascii="Times New Roman" w:hAnsi="Times New Roman" w:eastAsia="宋体" w:cs="Times New Roman"/>
                      <w:b/>
                      <w:bCs/>
                      <w:sz w:val="21"/>
                      <w:szCs w:val="21"/>
                      <w:u w:val="none" w:color="auto"/>
                      <w:lang w:eastAsia="zh-CN"/>
                    </w:rPr>
                    <w:t>污染源名称</w:t>
                  </w:r>
                </w:p>
              </w:tc>
              <w:tc>
                <w:tcPr>
                  <w:tcW w:w="1347" w:type="dxa"/>
                  <w:tcBorders>
                    <w:tl2br w:val="nil"/>
                    <w:tr2bl w:val="nil"/>
                  </w:tcBorders>
                  <w:vAlign w:val="center"/>
                </w:tcPr>
                <w:p w14:paraId="12D0F954">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eastAsia="zh-CN"/>
                    </w:rPr>
                  </w:pPr>
                  <w:r>
                    <w:rPr>
                      <w:rFonts w:hint="eastAsia" w:ascii="Times New Roman" w:hAnsi="Times New Roman" w:eastAsia="宋体" w:cs="Times New Roman"/>
                      <w:b/>
                      <w:bCs/>
                      <w:sz w:val="21"/>
                      <w:szCs w:val="21"/>
                      <w:u w:val="none" w:color="auto"/>
                      <w:lang w:eastAsia="zh-CN"/>
                    </w:rPr>
                    <w:t>污染物名称</w:t>
                  </w:r>
                </w:p>
              </w:tc>
              <w:tc>
                <w:tcPr>
                  <w:tcW w:w="1255" w:type="dxa"/>
                  <w:tcBorders>
                    <w:tl2br w:val="nil"/>
                    <w:tr2bl w:val="nil"/>
                  </w:tcBorders>
                  <w:vAlign w:val="center"/>
                </w:tcPr>
                <w:p w14:paraId="10206468">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eastAsia="zh-CN"/>
                    </w:rPr>
                    <w:t>产生量</w:t>
                  </w:r>
                  <w:r>
                    <w:rPr>
                      <w:rFonts w:hint="eastAsia" w:ascii="Times New Roman" w:hAnsi="Times New Roman" w:eastAsia="宋体" w:cs="Times New Roman"/>
                      <w:b/>
                      <w:bCs/>
                      <w:sz w:val="21"/>
                      <w:szCs w:val="21"/>
                      <w:u w:val="none" w:color="auto"/>
                      <w:lang w:val="en-US" w:eastAsia="zh-CN"/>
                    </w:rPr>
                    <w:t>t/a</w:t>
                  </w:r>
                </w:p>
              </w:tc>
              <w:tc>
                <w:tcPr>
                  <w:tcW w:w="1379" w:type="dxa"/>
                  <w:tcBorders>
                    <w:tl2br w:val="nil"/>
                    <w:tr2bl w:val="nil"/>
                  </w:tcBorders>
                  <w:vAlign w:val="center"/>
                </w:tcPr>
                <w:p w14:paraId="18A6A044">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eastAsia="zh-CN"/>
                    </w:rPr>
                    <w:t>排放量</w:t>
                  </w:r>
                  <w:r>
                    <w:rPr>
                      <w:rFonts w:hint="eastAsia" w:ascii="Times New Roman" w:hAnsi="Times New Roman" w:eastAsia="宋体" w:cs="Times New Roman"/>
                      <w:b/>
                      <w:bCs/>
                      <w:sz w:val="21"/>
                      <w:szCs w:val="21"/>
                      <w:u w:val="none" w:color="auto"/>
                      <w:lang w:val="en-US" w:eastAsia="zh-CN"/>
                    </w:rPr>
                    <w:t>t/a</w:t>
                  </w:r>
                </w:p>
              </w:tc>
              <w:tc>
                <w:tcPr>
                  <w:tcW w:w="1570" w:type="dxa"/>
                  <w:tcBorders>
                    <w:tl2br w:val="nil"/>
                    <w:tr2bl w:val="nil"/>
                  </w:tcBorders>
                  <w:vAlign w:val="center"/>
                </w:tcPr>
                <w:p w14:paraId="688C654A">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eastAsia="zh-CN"/>
                    </w:rPr>
                    <w:t>排放速率</w:t>
                  </w:r>
                  <w:r>
                    <w:rPr>
                      <w:rFonts w:hint="eastAsia" w:ascii="Times New Roman" w:hAnsi="Times New Roman" w:eastAsia="宋体" w:cs="Times New Roman"/>
                      <w:b/>
                      <w:bCs/>
                      <w:sz w:val="21"/>
                      <w:szCs w:val="21"/>
                      <w:u w:val="none" w:color="auto"/>
                      <w:lang w:val="en-US" w:eastAsia="zh-CN"/>
                    </w:rPr>
                    <w:t>kg/h</w:t>
                  </w:r>
                </w:p>
              </w:tc>
              <w:tc>
                <w:tcPr>
                  <w:tcW w:w="1271" w:type="dxa"/>
                  <w:tcBorders>
                    <w:tl2br w:val="nil"/>
                    <w:tr2bl w:val="nil"/>
                  </w:tcBorders>
                  <w:vAlign w:val="center"/>
                </w:tcPr>
                <w:p w14:paraId="28F3EB62">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eastAsia="zh-CN"/>
                    </w:rPr>
                    <w:t>排放时间</w:t>
                  </w:r>
                  <w:r>
                    <w:rPr>
                      <w:rFonts w:hint="eastAsia" w:ascii="Times New Roman" w:hAnsi="Times New Roman" w:eastAsia="宋体" w:cs="Times New Roman"/>
                      <w:b/>
                      <w:bCs/>
                      <w:sz w:val="21"/>
                      <w:szCs w:val="21"/>
                      <w:u w:val="none" w:color="auto"/>
                      <w:lang w:val="en-US" w:eastAsia="zh-CN"/>
                    </w:rPr>
                    <w:t>h</w:t>
                  </w:r>
                </w:p>
              </w:tc>
              <w:tc>
                <w:tcPr>
                  <w:tcW w:w="1309" w:type="dxa"/>
                  <w:tcBorders>
                    <w:tl2br w:val="nil"/>
                    <w:tr2bl w:val="nil"/>
                  </w:tcBorders>
                  <w:vAlign w:val="center"/>
                </w:tcPr>
                <w:p w14:paraId="2A0F8689">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color="auto"/>
                      <w:lang w:val="en-US" w:eastAsia="zh-CN"/>
                    </w:rPr>
                  </w:pPr>
                  <w:r>
                    <w:rPr>
                      <w:rFonts w:hint="eastAsia" w:ascii="Times New Roman" w:hAnsi="Times New Roman" w:eastAsia="宋体" w:cs="Times New Roman"/>
                      <w:b/>
                      <w:bCs/>
                      <w:color w:val="000000"/>
                      <w:sz w:val="21"/>
                      <w:szCs w:val="21"/>
                      <w:u w:val="none" w:color="auto"/>
                      <w:lang w:eastAsia="zh-CN"/>
                    </w:rPr>
                    <w:t>面源面积</w:t>
                  </w:r>
                  <w:r>
                    <w:rPr>
                      <w:rFonts w:hint="eastAsia" w:ascii="Times New Roman" w:hAnsi="Times New Roman" w:eastAsia="宋体" w:cs="Times New Roman"/>
                      <w:b/>
                      <w:bCs/>
                      <w:color w:val="000000"/>
                      <w:sz w:val="21"/>
                      <w:szCs w:val="21"/>
                      <w:u w:val="none" w:color="auto"/>
                      <w:lang w:val="en-US" w:eastAsia="zh-CN"/>
                    </w:rPr>
                    <w:t>m</w:t>
                  </w:r>
                  <w:r>
                    <w:rPr>
                      <w:rFonts w:hint="eastAsia" w:ascii="Times New Roman" w:hAnsi="Times New Roman" w:eastAsia="宋体" w:cs="Times New Roman"/>
                      <w:b/>
                      <w:bCs/>
                      <w:color w:val="000000"/>
                      <w:sz w:val="21"/>
                      <w:szCs w:val="21"/>
                      <w:u w:val="none" w:color="auto"/>
                      <w:vertAlign w:val="superscript"/>
                      <w:lang w:val="en-US" w:eastAsia="zh-CN"/>
                    </w:rPr>
                    <w:t>2</w:t>
                  </w:r>
                </w:p>
              </w:tc>
              <w:tc>
                <w:tcPr>
                  <w:tcW w:w="1250" w:type="dxa"/>
                  <w:tcBorders>
                    <w:tl2br w:val="nil"/>
                    <w:tr2bl w:val="nil"/>
                  </w:tcBorders>
                  <w:vAlign w:val="center"/>
                </w:tcPr>
                <w:p w14:paraId="673CC665">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color w:val="000000"/>
                      <w:sz w:val="21"/>
                      <w:szCs w:val="21"/>
                      <w:u w:val="none" w:color="auto"/>
                      <w:lang w:val="en-US" w:eastAsia="zh-CN"/>
                    </w:rPr>
                  </w:pPr>
                  <w:r>
                    <w:rPr>
                      <w:rFonts w:hint="eastAsia" w:ascii="Times New Roman" w:hAnsi="Times New Roman" w:eastAsia="宋体" w:cs="Times New Roman"/>
                      <w:b/>
                      <w:bCs/>
                      <w:color w:val="000000"/>
                      <w:sz w:val="21"/>
                      <w:szCs w:val="21"/>
                      <w:u w:val="none" w:color="auto"/>
                      <w:lang w:eastAsia="zh-CN"/>
                    </w:rPr>
                    <w:t>面源高度</w:t>
                  </w:r>
                  <w:r>
                    <w:rPr>
                      <w:rFonts w:hint="eastAsia" w:ascii="Times New Roman" w:hAnsi="Times New Roman" w:eastAsia="宋体" w:cs="Times New Roman"/>
                      <w:b/>
                      <w:bCs/>
                      <w:color w:val="000000"/>
                      <w:sz w:val="21"/>
                      <w:szCs w:val="21"/>
                      <w:u w:val="none" w:color="auto"/>
                      <w:lang w:val="en-US" w:eastAsia="zh-CN"/>
                    </w:rPr>
                    <w:t>m</w:t>
                  </w:r>
                </w:p>
              </w:tc>
            </w:tr>
            <w:tr w14:paraId="5DBCC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1938" w:type="dxa"/>
                  <w:vMerge w:val="restart"/>
                  <w:tcBorders>
                    <w:tl2br w:val="nil"/>
                    <w:tr2bl w:val="nil"/>
                  </w:tcBorders>
                  <w:vAlign w:val="center"/>
                </w:tcPr>
                <w:p w14:paraId="14739BA0">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生产车间</w:t>
                  </w:r>
                </w:p>
              </w:tc>
              <w:tc>
                <w:tcPr>
                  <w:tcW w:w="1254" w:type="dxa"/>
                  <w:tcBorders>
                    <w:tl2br w:val="nil"/>
                    <w:tr2bl w:val="nil"/>
                  </w:tcBorders>
                  <w:vAlign w:val="center"/>
                </w:tcPr>
                <w:p w14:paraId="2F323D27">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有机废气</w:t>
                  </w:r>
                </w:p>
              </w:tc>
              <w:tc>
                <w:tcPr>
                  <w:tcW w:w="1347" w:type="dxa"/>
                  <w:tcBorders>
                    <w:tl2br w:val="nil"/>
                    <w:tr2bl w:val="nil"/>
                  </w:tcBorders>
                  <w:vAlign w:val="center"/>
                </w:tcPr>
                <w:p w14:paraId="525D049F">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非甲烷总烃</w:t>
                  </w:r>
                </w:p>
              </w:tc>
              <w:tc>
                <w:tcPr>
                  <w:tcW w:w="1255" w:type="dxa"/>
                  <w:tcBorders>
                    <w:tl2br w:val="nil"/>
                    <w:tr2bl w:val="nil"/>
                  </w:tcBorders>
                  <w:vAlign w:val="center"/>
                </w:tcPr>
                <w:p w14:paraId="0326C94F">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0.0054</w:t>
                  </w:r>
                </w:p>
              </w:tc>
              <w:tc>
                <w:tcPr>
                  <w:tcW w:w="1379" w:type="dxa"/>
                  <w:tcBorders>
                    <w:tl2br w:val="nil"/>
                    <w:tr2bl w:val="nil"/>
                  </w:tcBorders>
                  <w:vAlign w:val="center"/>
                </w:tcPr>
                <w:p w14:paraId="7A31FBA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0.0054</w:t>
                  </w:r>
                </w:p>
              </w:tc>
              <w:tc>
                <w:tcPr>
                  <w:tcW w:w="1570" w:type="dxa"/>
                  <w:tcBorders>
                    <w:tl2br w:val="nil"/>
                    <w:tr2bl w:val="nil"/>
                  </w:tcBorders>
                  <w:vAlign w:val="center"/>
                </w:tcPr>
                <w:p w14:paraId="53B127F2">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0.0045</w:t>
                  </w:r>
                </w:p>
              </w:tc>
              <w:tc>
                <w:tcPr>
                  <w:tcW w:w="1271" w:type="dxa"/>
                  <w:tcBorders>
                    <w:tl2br w:val="nil"/>
                    <w:tr2bl w:val="nil"/>
                  </w:tcBorders>
                  <w:vAlign w:val="center"/>
                </w:tcPr>
                <w:p w14:paraId="4830298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1200</w:t>
                  </w:r>
                </w:p>
              </w:tc>
              <w:tc>
                <w:tcPr>
                  <w:tcW w:w="1309" w:type="dxa"/>
                  <w:vMerge w:val="restart"/>
                  <w:tcBorders>
                    <w:tl2br w:val="nil"/>
                    <w:tr2bl w:val="nil"/>
                  </w:tcBorders>
                  <w:vAlign w:val="center"/>
                </w:tcPr>
                <w:p w14:paraId="24936F3B">
                  <w:pPr>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2000</w:t>
                  </w:r>
                </w:p>
              </w:tc>
              <w:tc>
                <w:tcPr>
                  <w:tcW w:w="1250" w:type="dxa"/>
                  <w:vMerge w:val="restart"/>
                  <w:tcBorders>
                    <w:tl2br w:val="nil"/>
                    <w:tr2bl w:val="nil"/>
                  </w:tcBorders>
                  <w:vAlign w:val="center"/>
                </w:tcPr>
                <w:p w14:paraId="5C53FD92">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C00000"/>
                      <w:sz w:val="21"/>
                      <w:szCs w:val="21"/>
                      <w:u w:val="none" w:color="auto"/>
                      <w:lang w:val="en-US" w:eastAsia="zh-CN"/>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w:t>
                  </w:r>
                </w:p>
              </w:tc>
            </w:tr>
            <w:tr w14:paraId="099BD2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8" w:hRule="atLeast"/>
                <w:jc w:val="center"/>
              </w:trPr>
              <w:tc>
                <w:tcPr>
                  <w:tcW w:w="1938" w:type="dxa"/>
                  <w:vMerge w:val="continue"/>
                  <w:tcBorders>
                    <w:tl2br w:val="nil"/>
                    <w:tr2bl w:val="nil"/>
                  </w:tcBorders>
                  <w:vAlign w:val="center"/>
                </w:tcPr>
                <w:p w14:paraId="0603D847">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eastAsia="宋体" w:cs="Times New Roman"/>
                      <w:color w:val="C00000"/>
                      <w:sz w:val="21"/>
                      <w:szCs w:val="21"/>
                      <w:u w:val="none" w:color="auto"/>
                      <w:lang w:val="en-US" w:eastAsia="zh-CN"/>
                    </w:rPr>
                  </w:pPr>
                </w:p>
              </w:tc>
              <w:tc>
                <w:tcPr>
                  <w:tcW w:w="1254" w:type="dxa"/>
                  <w:tcBorders>
                    <w:tl2br w:val="nil"/>
                    <w:tr2bl w:val="nil"/>
                  </w:tcBorders>
                  <w:vAlign w:val="center"/>
                </w:tcPr>
                <w:p w14:paraId="6D618353">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粉尘</w:t>
                  </w:r>
                </w:p>
              </w:tc>
              <w:tc>
                <w:tcPr>
                  <w:tcW w:w="1347" w:type="dxa"/>
                  <w:tcBorders>
                    <w:tl2br w:val="nil"/>
                    <w:tr2bl w:val="nil"/>
                  </w:tcBorders>
                  <w:vAlign w:val="center"/>
                </w:tcPr>
                <w:p w14:paraId="5B3755F8">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颗粒物</w:t>
                  </w:r>
                </w:p>
              </w:tc>
              <w:tc>
                <w:tcPr>
                  <w:tcW w:w="1255" w:type="dxa"/>
                  <w:tcBorders>
                    <w:tl2br w:val="nil"/>
                    <w:tr2bl w:val="nil"/>
                  </w:tcBorders>
                  <w:vAlign w:val="center"/>
                </w:tcPr>
                <w:p w14:paraId="0D3081B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-5</w:t>
                  </w:r>
                </w:p>
              </w:tc>
              <w:tc>
                <w:tcPr>
                  <w:tcW w:w="1379" w:type="dxa"/>
                  <w:tcBorders>
                    <w:tl2br w:val="nil"/>
                    <w:tr2bl w:val="nil"/>
                  </w:tcBorders>
                  <w:vAlign w:val="center"/>
                </w:tcPr>
                <w:p w14:paraId="2DA4781C">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-5</w:t>
                  </w:r>
                </w:p>
              </w:tc>
              <w:tc>
                <w:tcPr>
                  <w:tcW w:w="1570" w:type="dxa"/>
                  <w:tcBorders>
                    <w:tl2br w:val="nil"/>
                    <w:tr2bl w:val="nil"/>
                  </w:tcBorders>
                  <w:vAlign w:val="center"/>
                </w:tcPr>
                <w:p w14:paraId="1EFBE401">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0.0038</w:t>
                  </w:r>
                </w:p>
              </w:tc>
              <w:tc>
                <w:tcPr>
                  <w:tcW w:w="1271" w:type="dxa"/>
                  <w:tcBorders>
                    <w:tl2br w:val="nil"/>
                    <w:tr2bl w:val="nil"/>
                  </w:tcBorders>
                  <w:vAlign w:val="center"/>
                </w:tcPr>
                <w:p w14:paraId="6640C19E">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p>
              </w:tc>
              <w:tc>
                <w:tcPr>
                  <w:tcW w:w="1309" w:type="dxa"/>
                  <w:vMerge w:val="continue"/>
                  <w:tcBorders>
                    <w:tl2br w:val="nil"/>
                    <w:tr2bl w:val="nil"/>
                  </w:tcBorders>
                  <w:vAlign w:val="center"/>
                </w:tcPr>
                <w:p w14:paraId="25A6560D">
                  <w:pPr>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rightChars="0"/>
                    <w:jc w:val="center"/>
                    <w:textAlignment w:val="auto"/>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1250" w:type="dxa"/>
                  <w:vMerge w:val="continue"/>
                  <w:tcBorders>
                    <w:tl2br w:val="nil"/>
                    <w:tr2bl w:val="nil"/>
                  </w:tcBorders>
                  <w:vAlign w:val="center"/>
                </w:tcPr>
                <w:p w14:paraId="51151ADA">
                  <w:pPr>
                    <w:pStyle w:val="10"/>
                    <w:keepNext w:val="0"/>
                    <w:keepLines w:val="0"/>
                    <w:pageBreakBefore w:val="0"/>
                    <w:widowControl w:val="0"/>
                    <w:kinsoku/>
                    <w:wordWrap/>
                    <w:overflowPunct/>
                    <w:topLinePunct w:val="0"/>
                    <w:autoSpaceDE w:val="0"/>
                    <w:autoSpaceDN w:val="0"/>
                    <w:bidi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bl>
          <w:p w14:paraId="48C29850">
            <w:pPr>
              <w:spacing w:beforeAutospacing="0" w:afterAutospacing="0"/>
              <w:rPr>
                <w:rFonts w:hint="default"/>
                <w:vertAlign w:val="baseline"/>
              </w:rPr>
            </w:pPr>
          </w:p>
        </w:tc>
      </w:tr>
    </w:tbl>
    <w:p w14:paraId="41AC0A39">
      <w:pPr>
        <w:sectPr>
          <w:pgSz w:w="1684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17212"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4"/>
        <w:gridCol w:w="8174"/>
        <w:gridCol w:w="8174"/>
      </w:tblGrid>
      <w:tr w14:paraId="4A034E8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47" w:hRule="atLeast"/>
        </w:trPr>
        <w:tc>
          <w:tcPr>
            <w:tcW w:w="864" w:type="dxa"/>
            <w:tcBorders>
              <w:top w:val="single" w:color="000000" w:sz="4" w:space="0"/>
              <w:right w:val="single" w:color="000000" w:sz="4" w:space="0"/>
            </w:tcBorders>
            <w:vAlign w:val="center"/>
          </w:tcPr>
          <w:p w14:paraId="20B85ADE">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运营期环境影响和保护措施</w:t>
            </w:r>
          </w:p>
        </w:tc>
        <w:tc>
          <w:tcPr>
            <w:tcW w:w="8174" w:type="dxa"/>
            <w:tcBorders>
              <w:top w:val="single" w:color="000000" w:sz="4" w:space="0"/>
              <w:left w:val="single" w:color="000000" w:sz="4" w:space="0"/>
            </w:tcBorders>
            <w:vAlign w:val="center"/>
          </w:tcPr>
          <w:p w14:paraId="294B9339">
            <w:pPr>
              <w:widowControl w:val="0"/>
              <w:wordWrap/>
              <w:adjustRightInd/>
              <w:snapToGrid/>
              <w:spacing w:beforeAutospacing="0" w:afterAutospacing="0" w:line="520" w:lineRule="exact"/>
              <w:ind w:firstLine="0" w:firstLineChars="0"/>
              <w:jc w:val="center"/>
              <w:textAlignment w:val="auto"/>
              <w:rPr>
                <w:rFonts w:hint="default" w:ascii="Times New Roman" w:hAnsi="Times New Roman" w:eastAsia="黑体" w:cs="Times New Roman"/>
                <w:color w:val="000000"/>
                <w:sz w:val="24"/>
                <w:szCs w:val="20"/>
                <w:u w:val="none" w:color="auto"/>
              </w:rPr>
            </w:pPr>
            <w:r>
              <w:rPr>
                <w:rFonts w:hint="default" w:ascii="Times New Roman" w:hAnsi="Times New Roman" w:eastAsia="黑体" w:cs="Times New Roman"/>
                <w:color w:val="000000"/>
                <w:sz w:val="24"/>
                <w:szCs w:val="20"/>
                <w:u w:val="none" w:color="auto"/>
              </w:rPr>
              <w:t>表</w:t>
            </w:r>
            <w:r>
              <w:rPr>
                <w:rFonts w:hint="eastAsia" w:ascii="Times New Roman" w:hAnsi="Times New Roman" w:eastAsia="黑体" w:cs="Times New Roman"/>
                <w:color w:val="000000"/>
                <w:sz w:val="24"/>
                <w:szCs w:val="20"/>
                <w:u w:val="none" w:color="auto"/>
                <w:lang w:val="en-US" w:eastAsia="zh-CN"/>
              </w:rPr>
              <w:t>4-5</w:t>
            </w:r>
            <w:r>
              <w:rPr>
                <w:rFonts w:hint="default" w:ascii="Times New Roman" w:hAnsi="Times New Roman" w:eastAsia="黑体" w:cs="Times New Roman"/>
                <w:color w:val="000000"/>
                <w:sz w:val="24"/>
                <w:szCs w:val="20"/>
                <w:u w:val="none" w:color="auto"/>
              </w:rPr>
              <w:t xml:space="preserve">  </w:t>
            </w:r>
            <w:r>
              <w:rPr>
                <w:rFonts w:hint="default" w:ascii="Times New Roman" w:hAnsi="Times New Roman" w:eastAsia="黑体" w:cs="Times New Roman"/>
                <w:color w:val="000000"/>
                <w:sz w:val="24"/>
                <w:szCs w:val="20"/>
                <w:u w:val="none" w:color="auto"/>
                <w:lang w:eastAsia="zh-CN"/>
              </w:rPr>
              <w:t>项目</w:t>
            </w:r>
            <w:r>
              <w:rPr>
                <w:rFonts w:hint="default" w:ascii="Times New Roman" w:hAnsi="Times New Roman" w:eastAsia="黑体" w:cs="Times New Roman"/>
                <w:color w:val="000000"/>
                <w:sz w:val="24"/>
                <w:szCs w:val="20"/>
                <w:u w:val="none" w:color="auto"/>
              </w:rPr>
              <w:t>大气污染物有组织排放量核算表</w:t>
            </w:r>
          </w:p>
          <w:tbl>
            <w:tblPr>
              <w:tblStyle w:val="23"/>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273"/>
              <w:gridCol w:w="1369"/>
              <w:gridCol w:w="1593"/>
              <w:gridCol w:w="1597"/>
              <w:gridCol w:w="1674"/>
            </w:tblGrid>
            <w:tr w14:paraId="2759A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14:paraId="2B2738B7">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rPr>
                  </w:pPr>
                  <w:r>
                    <w:rPr>
                      <w:rFonts w:hint="default" w:ascii="Times New Roman" w:hAnsi="Times New Roman" w:eastAsia="宋体" w:cs="Times New Roman"/>
                      <w:b w:val="0"/>
                      <w:bCs/>
                      <w:color w:val="000000"/>
                      <w:sz w:val="21"/>
                      <w:szCs w:val="21"/>
                      <w:u w:val="none" w:color="auto"/>
                    </w:rPr>
                    <w:t>序号</w:t>
                  </w:r>
                </w:p>
              </w:tc>
              <w:tc>
                <w:tcPr>
                  <w:tcW w:w="1273" w:type="dxa"/>
                  <w:tcBorders>
                    <w:top w:val="single" w:color="auto" w:sz="4" w:space="0"/>
                    <w:left w:val="single" w:color="auto" w:sz="4" w:space="0"/>
                    <w:bottom w:val="single" w:color="auto" w:sz="4" w:space="0"/>
                    <w:right w:val="single" w:color="auto" w:sz="4" w:space="0"/>
                  </w:tcBorders>
                  <w:vAlign w:val="center"/>
                </w:tcPr>
                <w:p w14:paraId="0B1CF538">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rPr>
                  </w:pPr>
                  <w:r>
                    <w:rPr>
                      <w:rFonts w:hint="default" w:ascii="Times New Roman" w:hAnsi="Times New Roman" w:eastAsia="宋体" w:cs="Times New Roman"/>
                      <w:b w:val="0"/>
                      <w:bCs/>
                      <w:color w:val="000000"/>
                      <w:sz w:val="21"/>
                      <w:szCs w:val="21"/>
                      <w:u w:val="none" w:color="auto"/>
                      <w:lang w:val="en-US" w:eastAsia="zh-CN"/>
                    </w:rPr>
                    <w:t>排放口</w:t>
                  </w:r>
                  <w:r>
                    <w:rPr>
                      <w:rFonts w:hint="default" w:ascii="Times New Roman" w:hAnsi="Times New Roman" w:eastAsia="宋体" w:cs="Times New Roman"/>
                      <w:b w:val="0"/>
                      <w:bCs/>
                      <w:color w:val="000000"/>
                      <w:sz w:val="21"/>
                      <w:szCs w:val="21"/>
                      <w:u w:val="none" w:color="auto"/>
                    </w:rPr>
                    <w:t>编号</w:t>
                  </w:r>
                </w:p>
              </w:tc>
              <w:tc>
                <w:tcPr>
                  <w:tcW w:w="1369" w:type="dxa"/>
                  <w:tcBorders>
                    <w:top w:val="single" w:color="auto" w:sz="4" w:space="0"/>
                    <w:left w:val="single" w:color="auto" w:sz="4" w:space="0"/>
                    <w:bottom w:val="single" w:color="auto" w:sz="4" w:space="0"/>
                    <w:right w:val="single" w:color="auto" w:sz="4" w:space="0"/>
                  </w:tcBorders>
                  <w:vAlign w:val="center"/>
                </w:tcPr>
                <w:p w14:paraId="019219C2">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rPr>
                  </w:pPr>
                  <w:r>
                    <w:rPr>
                      <w:rFonts w:hint="default" w:ascii="Times New Roman" w:hAnsi="Times New Roman" w:eastAsia="宋体" w:cs="Times New Roman"/>
                      <w:b w:val="0"/>
                      <w:bCs/>
                      <w:color w:val="000000"/>
                      <w:sz w:val="21"/>
                      <w:szCs w:val="21"/>
                      <w:u w:val="none" w:color="auto"/>
                    </w:rPr>
                    <w:t>污染物</w:t>
                  </w:r>
                </w:p>
              </w:tc>
              <w:tc>
                <w:tcPr>
                  <w:tcW w:w="1593" w:type="dxa"/>
                  <w:tcBorders>
                    <w:top w:val="single" w:color="auto" w:sz="4" w:space="0"/>
                    <w:left w:val="single" w:color="auto" w:sz="4" w:space="0"/>
                    <w:bottom w:val="single" w:color="auto" w:sz="4" w:space="0"/>
                    <w:right w:val="single" w:color="auto" w:sz="4" w:space="0"/>
                  </w:tcBorders>
                  <w:vAlign w:val="center"/>
                </w:tcPr>
                <w:p w14:paraId="72297286">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lang w:eastAsia="zh-CN"/>
                    </w:rPr>
                  </w:pPr>
                  <w:r>
                    <w:rPr>
                      <w:rFonts w:hint="default" w:ascii="Times New Roman" w:hAnsi="Times New Roman" w:eastAsia="宋体" w:cs="Times New Roman"/>
                      <w:b w:val="0"/>
                      <w:bCs/>
                      <w:color w:val="000000"/>
                      <w:sz w:val="21"/>
                      <w:szCs w:val="21"/>
                      <w:u w:val="none" w:color="auto"/>
                    </w:rPr>
                    <w:t>核算排放浓度</w:t>
                  </w:r>
                  <w:r>
                    <w:rPr>
                      <w:rFonts w:hint="default" w:ascii="Times New Roman" w:hAnsi="Times New Roman" w:eastAsia="宋体" w:cs="Times New Roman"/>
                      <w:b w:val="0"/>
                      <w:bCs/>
                      <w:color w:val="000000"/>
                      <w:sz w:val="21"/>
                      <w:szCs w:val="21"/>
                      <w:u w:val="none" w:color="auto"/>
                      <w:lang w:eastAsia="zh-CN"/>
                    </w:rPr>
                    <w:t>（</w:t>
                  </w:r>
                  <w:r>
                    <w:rPr>
                      <w:rFonts w:hint="default" w:ascii="Times New Roman" w:hAnsi="Times New Roman" w:eastAsia="宋体" w:cs="Times New Roman"/>
                      <w:b w:val="0"/>
                      <w:bCs/>
                      <w:color w:val="000000"/>
                      <w:sz w:val="21"/>
                      <w:szCs w:val="21"/>
                      <w:u w:val="none" w:color="auto"/>
                      <w:lang w:val="en-US" w:eastAsia="zh-CN"/>
                    </w:rPr>
                    <w:t>m</w:t>
                  </w:r>
                  <w:r>
                    <w:rPr>
                      <w:rFonts w:hint="default" w:ascii="Times New Roman" w:hAnsi="Times New Roman" w:eastAsia="宋体" w:cs="Times New Roman"/>
                      <w:b w:val="0"/>
                      <w:bCs/>
                      <w:color w:val="000000"/>
                      <w:sz w:val="21"/>
                      <w:szCs w:val="21"/>
                      <w:u w:val="none" w:color="auto"/>
                    </w:rPr>
                    <w:t>g/m</w:t>
                  </w:r>
                  <w:r>
                    <w:rPr>
                      <w:rFonts w:hint="default" w:ascii="Times New Roman" w:hAnsi="Times New Roman" w:eastAsia="宋体" w:cs="Times New Roman"/>
                      <w:b w:val="0"/>
                      <w:bCs/>
                      <w:color w:val="000000"/>
                      <w:sz w:val="21"/>
                      <w:szCs w:val="21"/>
                      <w:u w:val="none" w:color="auto"/>
                      <w:vertAlign w:val="superscript"/>
                    </w:rPr>
                    <w:t>3</w:t>
                  </w:r>
                  <w:r>
                    <w:rPr>
                      <w:rFonts w:hint="default" w:ascii="Times New Roman" w:hAnsi="Times New Roman" w:eastAsia="宋体" w:cs="Times New Roman"/>
                      <w:b w:val="0"/>
                      <w:bCs/>
                      <w:color w:val="000000"/>
                      <w:sz w:val="21"/>
                      <w:szCs w:val="21"/>
                      <w:u w:val="none" w:color="auto"/>
                      <w:lang w:eastAsia="zh-CN"/>
                    </w:rPr>
                    <w:t>）</w:t>
                  </w:r>
                </w:p>
              </w:tc>
              <w:tc>
                <w:tcPr>
                  <w:tcW w:w="1597" w:type="dxa"/>
                  <w:tcBorders>
                    <w:top w:val="single" w:color="auto" w:sz="4" w:space="0"/>
                    <w:left w:val="single" w:color="auto" w:sz="4" w:space="0"/>
                    <w:bottom w:val="single" w:color="auto" w:sz="4" w:space="0"/>
                    <w:right w:val="single" w:color="auto" w:sz="4" w:space="0"/>
                  </w:tcBorders>
                  <w:vAlign w:val="center"/>
                </w:tcPr>
                <w:p w14:paraId="68F18133">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lang w:eastAsia="zh-CN"/>
                    </w:rPr>
                  </w:pPr>
                  <w:r>
                    <w:rPr>
                      <w:rFonts w:hint="default" w:ascii="Times New Roman" w:hAnsi="Times New Roman" w:eastAsia="宋体" w:cs="Times New Roman"/>
                      <w:b w:val="0"/>
                      <w:bCs/>
                      <w:color w:val="000000"/>
                      <w:sz w:val="21"/>
                      <w:szCs w:val="21"/>
                      <w:u w:val="none" w:color="auto"/>
                    </w:rPr>
                    <w:t>核算排放速率</w:t>
                  </w:r>
                  <w:r>
                    <w:rPr>
                      <w:rFonts w:hint="default" w:ascii="Times New Roman" w:hAnsi="Times New Roman" w:eastAsia="宋体" w:cs="Times New Roman"/>
                      <w:b w:val="0"/>
                      <w:bCs/>
                      <w:color w:val="000000"/>
                      <w:kern w:val="0"/>
                      <w:sz w:val="21"/>
                      <w:szCs w:val="21"/>
                      <w:u w:val="none" w:color="auto"/>
                      <w:lang w:eastAsia="zh-CN"/>
                    </w:rPr>
                    <w:t>（</w:t>
                  </w:r>
                  <w:r>
                    <w:rPr>
                      <w:rFonts w:hint="default" w:ascii="Times New Roman" w:hAnsi="Times New Roman" w:eastAsia="宋体" w:cs="Times New Roman"/>
                      <w:b w:val="0"/>
                      <w:bCs/>
                      <w:color w:val="000000"/>
                      <w:kern w:val="0"/>
                      <w:sz w:val="21"/>
                      <w:szCs w:val="21"/>
                      <w:u w:val="none" w:color="auto"/>
                    </w:rPr>
                    <w:t>kg/h</w:t>
                  </w:r>
                  <w:r>
                    <w:rPr>
                      <w:rFonts w:hint="default" w:ascii="Times New Roman" w:hAnsi="Times New Roman" w:eastAsia="宋体" w:cs="Times New Roman"/>
                      <w:b w:val="0"/>
                      <w:bCs/>
                      <w:color w:val="000000"/>
                      <w:kern w:val="0"/>
                      <w:sz w:val="21"/>
                      <w:szCs w:val="21"/>
                      <w:u w:val="none" w:color="auto"/>
                      <w:lang w:eastAsia="zh-CN"/>
                    </w:rPr>
                    <w:t>）</w:t>
                  </w:r>
                </w:p>
              </w:tc>
              <w:tc>
                <w:tcPr>
                  <w:tcW w:w="1674" w:type="dxa"/>
                  <w:tcBorders>
                    <w:top w:val="single" w:color="auto" w:sz="4" w:space="0"/>
                    <w:left w:val="single" w:color="auto" w:sz="4" w:space="0"/>
                    <w:bottom w:val="single" w:color="auto" w:sz="4" w:space="0"/>
                    <w:right w:val="single" w:color="auto" w:sz="4" w:space="0"/>
                  </w:tcBorders>
                  <w:vAlign w:val="center"/>
                </w:tcPr>
                <w:p w14:paraId="4E505764">
                  <w:pPr>
                    <w:wordWrap/>
                    <w:adjustRightInd/>
                    <w:snapToGrid/>
                    <w:spacing w:beforeAutospacing="0" w:afterAutospacing="0" w:line="360" w:lineRule="exact"/>
                    <w:jc w:val="center"/>
                    <w:rPr>
                      <w:rFonts w:hint="default" w:ascii="Times New Roman" w:hAnsi="Times New Roman" w:eastAsia="宋体" w:cs="Times New Roman"/>
                      <w:b w:val="0"/>
                      <w:bCs/>
                      <w:color w:val="000000"/>
                      <w:sz w:val="21"/>
                      <w:szCs w:val="21"/>
                      <w:u w:val="none" w:color="auto"/>
                      <w:lang w:eastAsia="zh-CN"/>
                    </w:rPr>
                  </w:pPr>
                  <w:r>
                    <w:rPr>
                      <w:rFonts w:hint="default" w:ascii="Times New Roman" w:hAnsi="Times New Roman" w:eastAsia="宋体" w:cs="Times New Roman"/>
                      <w:b w:val="0"/>
                      <w:bCs/>
                      <w:color w:val="000000"/>
                      <w:sz w:val="21"/>
                      <w:szCs w:val="21"/>
                      <w:u w:val="none" w:color="auto"/>
                    </w:rPr>
                    <w:t>核算年排放量</w:t>
                  </w:r>
                  <w:r>
                    <w:rPr>
                      <w:rFonts w:hint="default" w:ascii="Times New Roman" w:hAnsi="Times New Roman" w:eastAsia="宋体" w:cs="Times New Roman"/>
                      <w:b w:val="0"/>
                      <w:bCs/>
                      <w:color w:val="000000"/>
                      <w:kern w:val="0"/>
                      <w:sz w:val="21"/>
                      <w:szCs w:val="21"/>
                      <w:u w:val="none" w:color="auto"/>
                      <w:lang w:eastAsia="zh-CN"/>
                    </w:rPr>
                    <w:t>（</w:t>
                  </w:r>
                  <w:r>
                    <w:rPr>
                      <w:rFonts w:hint="default" w:ascii="Times New Roman" w:hAnsi="Times New Roman" w:eastAsia="宋体" w:cs="Times New Roman"/>
                      <w:b w:val="0"/>
                      <w:bCs/>
                      <w:color w:val="000000"/>
                      <w:kern w:val="0"/>
                      <w:sz w:val="21"/>
                      <w:szCs w:val="21"/>
                      <w:u w:val="none" w:color="auto"/>
                    </w:rPr>
                    <w:t>t/a</w:t>
                  </w:r>
                  <w:r>
                    <w:rPr>
                      <w:rFonts w:hint="default" w:ascii="Times New Roman" w:hAnsi="Times New Roman" w:eastAsia="宋体" w:cs="Times New Roman"/>
                      <w:b w:val="0"/>
                      <w:bCs/>
                      <w:color w:val="000000"/>
                      <w:kern w:val="0"/>
                      <w:sz w:val="21"/>
                      <w:szCs w:val="21"/>
                      <w:u w:val="none" w:color="auto"/>
                      <w:lang w:eastAsia="zh-CN"/>
                    </w:rPr>
                    <w:t>）</w:t>
                  </w:r>
                </w:p>
              </w:tc>
            </w:tr>
            <w:tr w14:paraId="206D9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70" w:type="dxa"/>
                  <w:gridSpan w:val="6"/>
                  <w:tcBorders>
                    <w:top w:val="single" w:color="auto" w:sz="4" w:space="0"/>
                    <w:left w:val="single" w:color="auto" w:sz="4" w:space="0"/>
                    <w:bottom w:val="single" w:color="auto" w:sz="4" w:space="0"/>
                    <w:right w:val="single" w:color="auto" w:sz="4" w:space="0"/>
                  </w:tcBorders>
                  <w:vAlign w:val="center"/>
                </w:tcPr>
                <w:p w14:paraId="35040111">
                  <w:pPr>
                    <w:wordWrap/>
                    <w:adjustRightInd/>
                    <w:snapToGrid/>
                    <w:spacing w:beforeAutospacing="0" w:afterAutospacing="0" w:line="360" w:lineRule="exact"/>
                    <w:jc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一般排放口</w:t>
                  </w:r>
                </w:p>
              </w:tc>
            </w:tr>
            <w:tr w14:paraId="4CF1B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dxa"/>
                  <w:tcBorders>
                    <w:top w:val="single" w:color="auto" w:sz="4" w:space="0"/>
                    <w:left w:val="single" w:color="auto" w:sz="4" w:space="0"/>
                    <w:right w:val="single" w:color="auto" w:sz="4" w:space="0"/>
                  </w:tcBorders>
                  <w:vAlign w:val="center"/>
                </w:tcPr>
                <w:p w14:paraId="3CFAC33C">
                  <w:pPr>
                    <w:wordWrap/>
                    <w:adjustRightInd/>
                    <w:snapToGrid/>
                    <w:spacing w:beforeAutospacing="0" w:afterAutospacing="0" w:line="360" w:lineRule="exact"/>
                    <w:ind w:left="0" w:leftChars="0" w:right="0" w:rightChars="0"/>
                    <w:jc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1</w:t>
                  </w:r>
                </w:p>
              </w:tc>
              <w:tc>
                <w:tcPr>
                  <w:tcW w:w="1273" w:type="dxa"/>
                  <w:tcBorders>
                    <w:top w:val="single" w:color="auto" w:sz="4" w:space="0"/>
                    <w:left w:val="single" w:color="auto" w:sz="4" w:space="0"/>
                    <w:right w:val="single" w:color="auto" w:sz="4" w:space="0"/>
                  </w:tcBorders>
                  <w:vAlign w:val="center"/>
                </w:tcPr>
                <w:p w14:paraId="01F5BA34">
                  <w:pPr>
                    <w:widowControl/>
                    <w:wordWrap/>
                    <w:adjustRightInd/>
                    <w:snapToGrid/>
                    <w:spacing w:before="0" w:beforeAutospacing="0" w:after="0" w:afterAutospacing="0" w:line="360" w:lineRule="exact"/>
                    <w:ind w:left="0" w:leftChars="0" w:right="0" w:rightChars="0"/>
                    <w:jc w:val="center"/>
                    <w:textAlignment w:val="baseline"/>
                    <w:rPr>
                      <w:rFonts w:hint="eastAsia" w:ascii="Times New Roman" w:hAnsi="Times New Roman" w:eastAsia="宋体" w:cs="Times New Roman"/>
                      <w:color w:val="000000"/>
                      <w:kern w:val="0"/>
                      <w:sz w:val="21"/>
                      <w:szCs w:val="21"/>
                      <w:u w:val="none" w:color="auto"/>
                      <w:lang w:val="en-US" w:eastAsia="zh-CN" w:bidi="ar-SA"/>
                    </w:rPr>
                  </w:pPr>
                  <w:r>
                    <w:rPr>
                      <w:rFonts w:hint="eastAsia" w:ascii="Times New Roman" w:hAnsi="Times New Roman" w:eastAsia="宋体" w:cs="Times New Roman"/>
                      <w:color w:val="000000"/>
                      <w:kern w:val="0"/>
                      <w:sz w:val="21"/>
                      <w:szCs w:val="21"/>
                      <w:u w:val="none" w:color="auto"/>
                      <w:lang w:val="en-US" w:eastAsia="zh-CN" w:bidi="ar-SA"/>
                    </w:rPr>
                    <w:t>DA001</w:t>
                  </w:r>
                </w:p>
              </w:tc>
              <w:tc>
                <w:tcPr>
                  <w:tcW w:w="1369" w:type="dxa"/>
                  <w:tcBorders>
                    <w:top w:val="single" w:color="auto" w:sz="4" w:space="0"/>
                    <w:left w:val="single" w:color="auto" w:sz="4" w:space="0"/>
                    <w:bottom w:val="single" w:color="auto" w:sz="4" w:space="0"/>
                    <w:right w:val="single" w:color="auto" w:sz="4" w:space="0"/>
                  </w:tcBorders>
                  <w:vAlign w:val="center"/>
                </w:tcPr>
                <w:p w14:paraId="3305666B">
                  <w:pPr>
                    <w:wordWrap/>
                    <w:adjustRightInd/>
                    <w:snapToGrid/>
                    <w:spacing w:beforeAutospacing="0" w:afterAutospacing="0" w:line="360" w:lineRule="exact"/>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非甲烷总烃</w:t>
                  </w:r>
                </w:p>
              </w:tc>
              <w:tc>
                <w:tcPr>
                  <w:tcW w:w="1593" w:type="dxa"/>
                  <w:tcBorders>
                    <w:top w:val="single" w:color="auto" w:sz="4" w:space="0"/>
                    <w:left w:val="single" w:color="auto" w:sz="4" w:space="0"/>
                    <w:bottom w:val="single" w:color="auto" w:sz="4" w:space="0"/>
                    <w:right w:val="single" w:color="auto" w:sz="4" w:space="0"/>
                  </w:tcBorders>
                  <w:vAlign w:val="center"/>
                </w:tcPr>
                <w:p w14:paraId="250124F4">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1.08</w:t>
                  </w:r>
                </w:p>
              </w:tc>
              <w:tc>
                <w:tcPr>
                  <w:tcW w:w="1597" w:type="dxa"/>
                  <w:tcBorders>
                    <w:top w:val="single" w:color="auto" w:sz="4" w:space="0"/>
                    <w:left w:val="single" w:color="auto" w:sz="4" w:space="0"/>
                    <w:bottom w:val="single" w:color="auto" w:sz="4" w:space="0"/>
                    <w:right w:val="single" w:color="auto" w:sz="4" w:space="0"/>
                  </w:tcBorders>
                  <w:vAlign w:val="center"/>
                </w:tcPr>
                <w:p w14:paraId="12B4F6C2">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0.0054</w:t>
                  </w:r>
                </w:p>
              </w:tc>
              <w:tc>
                <w:tcPr>
                  <w:tcW w:w="1674" w:type="dxa"/>
                  <w:tcBorders>
                    <w:top w:val="single" w:color="auto" w:sz="4" w:space="0"/>
                    <w:left w:val="single" w:color="auto" w:sz="4" w:space="0"/>
                    <w:bottom w:val="single" w:color="auto" w:sz="4" w:space="0"/>
                    <w:right w:val="single" w:color="auto" w:sz="4" w:space="0"/>
                  </w:tcBorders>
                  <w:vAlign w:val="center"/>
                </w:tcPr>
                <w:p w14:paraId="3F813ABE">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i w:val="0"/>
                      <w:iCs w:val="0"/>
                      <w:color w:val="000000"/>
                      <w:sz w:val="21"/>
                      <w:szCs w:val="21"/>
                      <w:u w:val="none" w:color="auto"/>
                      <w:lang w:val="en-US" w:eastAsia="zh-CN"/>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0.0065</w:t>
                  </w:r>
                </w:p>
              </w:tc>
            </w:tr>
            <w:tr w14:paraId="6B119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37" w:type="dxa"/>
                  <w:gridSpan w:val="2"/>
                  <w:tcBorders>
                    <w:top w:val="single" w:color="auto" w:sz="4" w:space="0"/>
                    <w:left w:val="single" w:color="auto" w:sz="4" w:space="0"/>
                    <w:right w:val="single" w:color="auto" w:sz="4" w:space="0"/>
                  </w:tcBorders>
                  <w:vAlign w:val="center"/>
                </w:tcPr>
                <w:p w14:paraId="19EB65A0">
                  <w:pPr>
                    <w:widowControl/>
                    <w:wordWrap/>
                    <w:adjustRightInd/>
                    <w:snapToGrid/>
                    <w:spacing w:before="0" w:beforeAutospacing="0" w:after="0" w:afterAutospacing="0" w:line="360" w:lineRule="exact"/>
                    <w:jc w:val="center"/>
                    <w:textAlignment w:val="baseline"/>
                    <w:rPr>
                      <w:rFonts w:hint="default" w:ascii="Times New Roman" w:hAnsi="Times New Roman" w:eastAsia="宋体" w:cs="Times New Roman"/>
                      <w:b w:val="0"/>
                      <w:bCs/>
                      <w:color w:val="000000"/>
                      <w:kern w:val="0"/>
                      <w:sz w:val="21"/>
                      <w:szCs w:val="21"/>
                      <w:u w:val="none" w:color="auto"/>
                      <w:lang w:val="en-US" w:eastAsia="zh-CN" w:bidi="ar-SA"/>
                    </w:rPr>
                  </w:pPr>
                  <w:r>
                    <w:rPr>
                      <w:rFonts w:hint="default" w:ascii="Times New Roman" w:hAnsi="Times New Roman" w:eastAsia="宋体" w:cs="Times New Roman"/>
                      <w:color w:val="000000"/>
                      <w:sz w:val="21"/>
                      <w:szCs w:val="21"/>
                      <w:u w:val="none" w:color="auto"/>
                    </w:rPr>
                    <w:t>一般排放口合计</w:t>
                  </w:r>
                </w:p>
              </w:tc>
              <w:tc>
                <w:tcPr>
                  <w:tcW w:w="4559" w:type="dxa"/>
                  <w:gridSpan w:val="3"/>
                  <w:tcBorders>
                    <w:top w:val="single" w:color="auto" w:sz="4" w:space="0"/>
                    <w:left w:val="single" w:color="auto" w:sz="4" w:space="0"/>
                    <w:right w:val="single" w:color="auto" w:sz="4" w:space="0"/>
                  </w:tcBorders>
                  <w:vAlign w:val="center"/>
                </w:tcPr>
                <w:p w14:paraId="0AFFBEFA">
                  <w:pPr>
                    <w:wordWrap/>
                    <w:adjustRightInd/>
                    <w:snapToGrid/>
                    <w:spacing w:beforeAutospacing="0" w:afterAutospacing="0" w:line="360" w:lineRule="exact"/>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非甲烷总烃</w:t>
                  </w:r>
                </w:p>
              </w:tc>
              <w:tc>
                <w:tcPr>
                  <w:tcW w:w="1674" w:type="dxa"/>
                  <w:tcBorders>
                    <w:top w:val="single" w:color="auto" w:sz="4" w:space="0"/>
                    <w:left w:val="single" w:color="auto" w:sz="4" w:space="0"/>
                    <w:bottom w:val="single" w:color="auto" w:sz="4" w:space="0"/>
                    <w:right w:val="single" w:color="auto" w:sz="4" w:space="0"/>
                  </w:tcBorders>
                  <w:vAlign w:val="center"/>
                </w:tcPr>
                <w:p w14:paraId="37AE75B0">
                  <w:pPr>
                    <w:wordWrap/>
                    <w:adjustRightInd/>
                    <w:snapToGrid/>
                    <w:spacing w:beforeAutospacing="0" w:afterAutospacing="0" w:line="360" w:lineRule="exact"/>
                    <w:ind w:left="0" w:leftChars="0" w:right="0"/>
                    <w:jc w:val="center"/>
                    <w:rPr>
                      <w:rFonts w:hint="default" w:ascii="Times New Roman" w:hAnsi="Times New Roman" w:eastAsia="宋体" w:cs="Times New Roman"/>
                      <w:i w:val="0"/>
                      <w:iCs w:val="0"/>
                      <w:color w:val="000000"/>
                      <w:sz w:val="21"/>
                      <w:szCs w:val="21"/>
                      <w:u w:val="none" w:color="auto"/>
                      <w:lang w:val="en-US" w:eastAsia="zh-CN"/>
                    </w:rPr>
                  </w:pPr>
                  <w:r>
                    <w:rPr>
                      <w:rFonts w:hint="eastAsia" w:ascii="Times New Roman" w:hAnsi="Times New Roman" w:cs="Times New Roman"/>
                      <w:i w:val="0"/>
                      <w:iCs w:val="0"/>
                      <w:color w:val="000000"/>
                      <w:sz w:val="21"/>
                      <w:szCs w:val="21"/>
                      <w:u w:val="none" w:color="auto"/>
                      <w:lang w:val="en-US" w:eastAsia="zh-CN"/>
                    </w:rPr>
                    <w:t>0.0065</w:t>
                  </w:r>
                </w:p>
              </w:tc>
            </w:tr>
          </w:tbl>
          <w:p w14:paraId="1A3DA098">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4-6</w:t>
            </w:r>
            <w:r>
              <w:rPr>
                <w:rFonts w:hint="default" w:ascii="Times New Roman" w:hAnsi="Times New Roman" w:eastAsia="黑体" w:cs="Times New Roman"/>
                <w:b w:val="0"/>
                <w:bCs w:val="0"/>
                <w:color w:val="auto"/>
                <w:sz w:val="24"/>
                <w:szCs w:val="24"/>
                <w:u w:val="none" w:color="auto"/>
                <w:lang w:val="en-US" w:eastAsia="zh-CN"/>
              </w:rPr>
              <w:t xml:space="preserve">  </w:t>
            </w:r>
            <w:r>
              <w:rPr>
                <w:rFonts w:hint="eastAsia" w:ascii="Times New Roman" w:hAnsi="Times New Roman" w:eastAsia="黑体" w:cs="Times New Roman"/>
                <w:b w:val="0"/>
                <w:bCs w:val="0"/>
                <w:color w:val="auto"/>
                <w:sz w:val="24"/>
                <w:szCs w:val="24"/>
                <w:u w:val="none" w:color="auto"/>
                <w:lang w:val="en-US" w:eastAsia="zh-CN"/>
              </w:rPr>
              <w:t>大气污染物无组织排放量核算表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750"/>
              <w:gridCol w:w="759"/>
              <w:gridCol w:w="907"/>
              <w:gridCol w:w="1101"/>
              <w:gridCol w:w="1575"/>
              <w:gridCol w:w="1500"/>
              <w:gridCol w:w="871"/>
            </w:tblGrid>
            <w:tr w14:paraId="0BCA7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707" w:type="dxa"/>
                  <w:vMerge w:val="restart"/>
                  <w:vAlign w:val="center"/>
                </w:tcPr>
                <w:p w14:paraId="44A1AA82">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序号</w:t>
                  </w:r>
                </w:p>
              </w:tc>
              <w:tc>
                <w:tcPr>
                  <w:tcW w:w="750" w:type="dxa"/>
                  <w:vMerge w:val="restart"/>
                  <w:vAlign w:val="center"/>
                </w:tcPr>
                <w:p w14:paraId="7B87804E">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排放口编号</w:t>
                  </w:r>
                </w:p>
              </w:tc>
              <w:tc>
                <w:tcPr>
                  <w:tcW w:w="759" w:type="dxa"/>
                  <w:vMerge w:val="restart"/>
                  <w:vAlign w:val="center"/>
                </w:tcPr>
                <w:p w14:paraId="50A0174D">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产污环节</w:t>
                  </w:r>
                </w:p>
              </w:tc>
              <w:tc>
                <w:tcPr>
                  <w:tcW w:w="907" w:type="dxa"/>
                  <w:vMerge w:val="restart"/>
                  <w:vAlign w:val="center"/>
                </w:tcPr>
                <w:p w14:paraId="68F692C9">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污染物</w:t>
                  </w:r>
                </w:p>
              </w:tc>
              <w:tc>
                <w:tcPr>
                  <w:tcW w:w="1101" w:type="dxa"/>
                  <w:vMerge w:val="restart"/>
                  <w:vAlign w:val="center"/>
                </w:tcPr>
                <w:p w14:paraId="294C0A73">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主要污染防治措施</w:t>
                  </w:r>
                </w:p>
              </w:tc>
              <w:tc>
                <w:tcPr>
                  <w:tcW w:w="3075" w:type="dxa"/>
                  <w:gridSpan w:val="2"/>
                  <w:vAlign w:val="center"/>
                </w:tcPr>
                <w:p w14:paraId="01EE34C7">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国家或地方污染物排放标准</w:t>
                  </w:r>
                </w:p>
              </w:tc>
              <w:tc>
                <w:tcPr>
                  <w:tcW w:w="871" w:type="dxa"/>
                  <w:vMerge w:val="restart"/>
                  <w:vAlign w:val="center"/>
                </w:tcPr>
                <w:p w14:paraId="64E9FD26">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auto"/>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bidi="zh-CN"/>
                    </w:rPr>
                    <w:t>年排放量</w:t>
                  </w:r>
                  <w:r>
                    <w:rPr>
                      <w:rFonts w:hint="eastAsia" w:ascii="Times New Roman" w:hAnsi="Times New Roman" w:cs="Times New Roman"/>
                      <w:b/>
                      <w:bCs/>
                      <w:sz w:val="21"/>
                      <w:szCs w:val="21"/>
                      <w:u w:val="none" w:color="auto"/>
                      <w:lang w:val="en-US" w:eastAsia="zh-CN" w:bidi="zh-CN"/>
                    </w:rPr>
                    <w:t>/（t/a）</w:t>
                  </w:r>
                </w:p>
              </w:tc>
            </w:tr>
            <w:tr w14:paraId="7B0CD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7" w:type="dxa"/>
                  <w:vMerge w:val="continue"/>
                  <w:vAlign w:val="center"/>
                </w:tcPr>
                <w:p w14:paraId="725D60ED">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rPr>
                  </w:pPr>
                </w:p>
              </w:tc>
              <w:tc>
                <w:tcPr>
                  <w:tcW w:w="750" w:type="dxa"/>
                  <w:vMerge w:val="continue"/>
                  <w:vAlign w:val="center"/>
                </w:tcPr>
                <w:p w14:paraId="27A91653">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rPr>
                  </w:pPr>
                </w:p>
              </w:tc>
              <w:tc>
                <w:tcPr>
                  <w:tcW w:w="759" w:type="dxa"/>
                  <w:vMerge w:val="continue"/>
                  <w:vAlign w:val="center"/>
                </w:tcPr>
                <w:p w14:paraId="1B2DE6E9">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rPr>
                  </w:pPr>
                </w:p>
              </w:tc>
              <w:tc>
                <w:tcPr>
                  <w:tcW w:w="907" w:type="dxa"/>
                  <w:vMerge w:val="continue"/>
                  <w:vAlign w:val="center"/>
                </w:tcPr>
                <w:p w14:paraId="6DBE1146">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rPr>
                  </w:pPr>
                </w:p>
              </w:tc>
              <w:tc>
                <w:tcPr>
                  <w:tcW w:w="1101" w:type="dxa"/>
                  <w:vMerge w:val="continue"/>
                  <w:vAlign w:val="center"/>
                </w:tcPr>
                <w:p w14:paraId="586055D7">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rPr>
                  </w:pPr>
                </w:p>
              </w:tc>
              <w:tc>
                <w:tcPr>
                  <w:tcW w:w="1575" w:type="dxa"/>
                  <w:vMerge w:val="restart"/>
                  <w:vAlign w:val="center"/>
                </w:tcPr>
                <w:p w14:paraId="452ACB88">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标准名称</w:t>
                  </w:r>
                </w:p>
              </w:tc>
              <w:tc>
                <w:tcPr>
                  <w:tcW w:w="1500" w:type="dxa"/>
                  <w:vMerge w:val="restart"/>
                  <w:vAlign w:val="center"/>
                </w:tcPr>
                <w:p w14:paraId="57C6BE10">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浓度限值/（mg/m</w:t>
                  </w:r>
                  <w:r>
                    <w:rPr>
                      <w:rFonts w:hint="eastAsia" w:ascii="Times New Roman" w:hAnsi="Times New Roman" w:eastAsia="宋体" w:cs="Times New Roman"/>
                      <w:b/>
                      <w:bCs/>
                      <w:sz w:val="21"/>
                      <w:szCs w:val="21"/>
                      <w:u w:val="none" w:color="auto"/>
                      <w:vertAlign w:val="superscript"/>
                      <w:lang w:val="en-US" w:eastAsia="zh-CN"/>
                    </w:rPr>
                    <w:t>3</w:t>
                  </w:r>
                  <w:r>
                    <w:rPr>
                      <w:rFonts w:hint="eastAsia" w:ascii="Times New Roman" w:hAnsi="Times New Roman" w:eastAsia="宋体" w:cs="Times New Roman"/>
                      <w:b/>
                      <w:bCs/>
                      <w:sz w:val="21"/>
                      <w:szCs w:val="21"/>
                      <w:u w:val="none" w:color="auto"/>
                      <w:lang w:val="en-US" w:eastAsia="zh-CN"/>
                    </w:rPr>
                    <w:t>）</w:t>
                  </w:r>
                </w:p>
              </w:tc>
              <w:tc>
                <w:tcPr>
                  <w:tcW w:w="871" w:type="dxa"/>
                  <w:vMerge w:val="continue"/>
                  <w:vAlign w:val="top"/>
                </w:tcPr>
                <w:p w14:paraId="2CCDA6A5">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1"/>
                      <w:szCs w:val="21"/>
                      <w:u w:val="none" w:color="auto"/>
                      <w:lang w:val="en-US" w:eastAsia="zh-CN"/>
                    </w:rPr>
                  </w:pPr>
                </w:p>
              </w:tc>
            </w:tr>
            <w:tr w14:paraId="1485D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7" w:type="dxa"/>
                  <w:vMerge w:val="continue"/>
                  <w:vAlign w:val="center"/>
                </w:tcPr>
                <w:p w14:paraId="55308DE4">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c>
                <w:tcPr>
                  <w:tcW w:w="750" w:type="dxa"/>
                  <w:vMerge w:val="continue"/>
                  <w:vAlign w:val="center"/>
                </w:tcPr>
                <w:p w14:paraId="2695848C">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p>
              </w:tc>
              <w:tc>
                <w:tcPr>
                  <w:tcW w:w="759" w:type="dxa"/>
                  <w:vMerge w:val="continue"/>
                  <w:vAlign w:val="center"/>
                </w:tcPr>
                <w:p w14:paraId="42175DAA">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sz w:val="21"/>
                      <w:szCs w:val="21"/>
                      <w:u w:val="none" w:color="auto"/>
                      <w:lang w:val="en-US" w:eastAsia="zh-CN"/>
                    </w:rPr>
                  </w:pPr>
                </w:p>
              </w:tc>
              <w:tc>
                <w:tcPr>
                  <w:tcW w:w="907" w:type="dxa"/>
                  <w:vMerge w:val="continue"/>
                  <w:vAlign w:val="center"/>
                </w:tcPr>
                <w:p w14:paraId="7912C4C9">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u w:val="none" w:color="auto"/>
                      <w:lang w:val="en-US" w:eastAsia="zh-CN"/>
                    </w:rPr>
                  </w:pPr>
                </w:p>
              </w:tc>
              <w:tc>
                <w:tcPr>
                  <w:tcW w:w="1101" w:type="dxa"/>
                  <w:vMerge w:val="continue"/>
                  <w:vAlign w:val="center"/>
                </w:tcPr>
                <w:p w14:paraId="45D1B910">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u w:val="none" w:color="auto"/>
                      <w:lang w:val="en-US" w:eastAsia="zh-CN"/>
                    </w:rPr>
                  </w:pPr>
                </w:p>
              </w:tc>
              <w:tc>
                <w:tcPr>
                  <w:tcW w:w="1575" w:type="dxa"/>
                  <w:vMerge w:val="continue"/>
                  <w:vAlign w:val="center"/>
                </w:tcPr>
                <w:p w14:paraId="1067E5E3">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u w:val="none" w:color="auto"/>
                      <w:lang w:val="en-US" w:eastAsia="zh-CN"/>
                    </w:rPr>
                  </w:pPr>
                </w:p>
              </w:tc>
              <w:tc>
                <w:tcPr>
                  <w:tcW w:w="1500" w:type="dxa"/>
                  <w:vMerge w:val="continue"/>
                  <w:vAlign w:val="center"/>
                </w:tcPr>
                <w:p w14:paraId="6FEC63CC">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sz w:val="21"/>
                      <w:szCs w:val="21"/>
                      <w:u w:val="none" w:color="auto"/>
                      <w:lang w:val="en-US" w:eastAsia="zh-CN"/>
                    </w:rPr>
                  </w:pPr>
                </w:p>
              </w:tc>
              <w:tc>
                <w:tcPr>
                  <w:tcW w:w="871" w:type="dxa"/>
                  <w:vMerge w:val="continue"/>
                  <w:vAlign w:val="center"/>
                </w:tcPr>
                <w:p w14:paraId="1A30DC20">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eastAsia" w:ascii="Times New Roman" w:hAnsi="Times New Roman" w:eastAsia="宋体" w:cs="Times New Roman"/>
                      <w:color w:val="000000"/>
                      <w:sz w:val="21"/>
                      <w:szCs w:val="21"/>
                      <w:u w:val="none" w:color="auto"/>
                      <w:lang w:val="en-US" w:eastAsia="zh-CN"/>
                    </w:rPr>
                  </w:pPr>
                </w:p>
              </w:tc>
            </w:tr>
            <w:tr w14:paraId="0DA5E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Align w:val="center"/>
                </w:tcPr>
                <w:p w14:paraId="14C5CDFD">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1</w:t>
                  </w:r>
                </w:p>
              </w:tc>
              <w:tc>
                <w:tcPr>
                  <w:tcW w:w="750" w:type="dxa"/>
                  <w:vAlign w:val="center"/>
                </w:tcPr>
                <w:p w14:paraId="28365C5D">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01</w:t>
                  </w:r>
                </w:p>
              </w:tc>
              <w:tc>
                <w:tcPr>
                  <w:tcW w:w="759" w:type="dxa"/>
                  <w:vAlign w:val="center"/>
                </w:tcPr>
                <w:p w14:paraId="3A8FE5E9">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吹塑、化妆</w:t>
                  </w:r>
                </w:p>
              </w:tc>
              <w:tc>
                <w:tcPr>
                  <w:tcW w:w="907" w:type="dxa"/>
                  <w:vAlign w:val="center"/>
                </w:tcPr>
                <w:p w14:paraId="5A47545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非甲烷总烃</w:t>
                  </w:r>
                </w:p>
              </w:tc>
              <w:tc>
                <w:tcPr>
                  <w:tcW w:w="1101" w:type="dxa"/>
                  <w:vMerge w:val="restart"/>
                  <w:vAlign w:val="center"/>
                </w:tcPr>
                <w:p w14:paraId="5A9B4C65">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车间二次密闭</w:t>
                  </w:r>
                </w:p>
              </w:tc>
              <w:tc>
                <w:tcPr>
                  <w:tcW w:w="1575" w:type="dxa"/>
                  <w:vAlign w:val="center"/>
                </w:tcPr>
                <w:p w14:paraId="5703746B">
                  <w:pPr>
                    <w:pStyle w:val="10"/>
                    <w:widowControl w:val="0"/>
                    <w:wordWrap/>
                    <w:autoSpaceDE w:val="0"/>
                    <w:autoSpaceDN w:val="0"/>
                    <w:adjustRightInd/>
                    <w:snapToGrid/>
                    <w:spacing w:before="58" w:beforeAutospacing="0" w:afterAutospacing="0" w:line="360" w:lineRule="exact"/>
                    <w:ind w:left="0" w:leftChars="0" w:right="0"/>
                    <w:jc w:val="both"/>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宋体"/>
                      <w:sz w:val="21"/>
                      <w:szCs w:val="21"/>
                      <w:u w:val="none" w:color="auto"/>
                      <w:lang w:val="en-US" w:eastAsia="zh-CN"/>
                    </w:rPr>
                    <w:t>《合成树脂工业</w:t>
                  </w:r>
                  <w:r>
                    <w:rPr>
                      <w:rFonts w:hint="eastAsia" w:ascii="Times New Roman" w:hAnsi="Times New Roman" w:eastAsia="宋体" w:cs="Times New Roman"/>
                      <w:sz w:val="21"/>
                      <w:szCs w:val="21"/>
                      <w:u w:val="none" w:color="auto"/>
                      <w:lang w:val="en-US" w:eastAsia="zh-CN"/>
                    </w:rPr>
                    <w:t>污染物排放标准》（GB31572-2015）表9</w:t>
                  </w:r>
                </w:p>
              </w:tc>
              <w:tc>
                <w:tcPr>
                  <w:tcW w:w="1500" w:type="dxa"/>
                  <w:vAlign w:val="center"/>
                </w:tcPr>
                <w:p w14:paraId="5249B20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4.0</w:t>
                  </w:r>
                </w:p>
              </w:tc>
              <w:tc>
                <w:tcPr>
                  <w:tcW w:w="871" w:type="dxa"/>
                  <w:vAlign w:val="center"/>
                </w:tcPr>
                <w:p w14:paraId="60B9C793">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0.0054</w:t>
                  </w:r>
                </w:p>
              </w:tc>
            </w:tr>
            <w:tr w14:paraId="1925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07" w:type="dxa"/>
                  <w:vAlign w:val="center"/>
                </w:tcPr>
                <w:p w14:paraId="313FE942">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750" w:type="dxa"/>
                  <w:vAlign w:val="center"/>
                </w:tcPr>
                <w:p w14:paraId="5D2A4717">
                  <w:pPr>
                    <w:pStyle w:val="10"/>
                    <w:widowControl w:val="0"/>
                    <w:wordWrap/>
                    <w:autoSpaceDE w:val="0"/>
                    <w:autoSpaceDN w:val="0"/>
                    <w:adjustRightInd/>
                    <w:snapToGrid/>
                    <w:spacing w:before="58" w:beforeAutospacing="0" w:afterAutospacing="0" w:line="360" w:lineRule="exact"/>
                    <w:ind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w:t>
                  </w:r>
                </w:p>
              </w:tc>
              <w:tc>
                <w:tcPr>
                  <w:tcW w:w="759" w:type="dxa"/>
                  <w:vAlign w:val="center"/>
                </w:tcPr>
                <w:p w14:paraId="1F35ECB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混料粉碎</w:t>
                  </w:r>
                </w:p>
              </w:tc>
              <w:tc>
                <w:tcPr>
                  <w:tcW w:w="907" w:type="dxa"/>
                  <w:vAlign w:val="center"/>
                </w:tcPr>
                <w:p w14:paraId="327ABFCD">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颗粒物</w:t>
                  </w:r>
                </w:p>
              </w:tc>
              <w:tc>
                <w:tcPr>
                  <w:tcW w:w="1101" w:type="dxa"/>
                  <w:vMerge w:val="continue"/>
                  <w:vAlign w:val="center"/>
                </w:tcPr>
                <w:p w14:paraId="60928925">
                  <w:pPr>
                    <w:pStyle w:val="10"/>
                    <w:widowControl w:val="0"/>
                    <w:wordWrap/>
                    <w:autoSpaceDE w:val="0"/>
                    <w:autoSpaceDN w:val="0"/>
                    <w:adjustRightInd/>
                    <w:snapToGrid/>
                    <w:spacing w:before="58" w:beforeAutospacing="0" w:afterAutospacing="0" w:line="360" w:lineRule="exact"/>
                    <w:ind w:right="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575" w:type="dxa"/>
                  <w:vAlign w:val="center"/>
                </w:tcPr>
                <w:p w14:paraId="35CF570D">
                  <w:pPr>
                    <w:pStyle w:val="10"/>
                    <w:widowControl w:val="0"/>
                    <w:wordWrap/>
                    <w:autoSpaceDE w:val="0"/>
                    <w:autoSpaceDN w:val="0"/>
                    <w:adjustRightInd/>
                    <w:snapToGrid/>
                    <w:spacing w:before="58" w:beforeAutospacing="0" w:afterAutospacing="0" w:line="360" w:lineRule="exact"/>
                    <w:ind w:left="0" w:leftChars="0" w:right="0"/>
                    <w:jc w:val="both"/>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lang w:val="en-US" w:eastAsia="zh-CN"/>
                      <w14:textFill>
                        <w14:solidFill>
                          <w14:schemeClr w14:val="tx1"/>
                        </w14:solidFill>
                      </w14:textFill>
                    </w:rPr>
                    <w:t>《大气污染物综合排放标准》（GB16297-1996）</w:t>
                  </w:r>
                </w:p>
              </w:tc>
              <w:tc>
                <w:tcPr>
                  <w:tcW w:w="1500" w:type="dxa"/>
                  <w:vAlign w:val="center"/>
                </w:tcPr>
                <w:p w14:paraId="773ECD28">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p>
              </w:tc>
              <w:tc>
                <w:tcPr>
                  <w:tcW w:w="871" w:type="dxa"/>
                  <w:vAlign w:val="center"/>
                </w:tcPr>
                <w:p w14:paraId="00BA45AC">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-5</w:t>
                  </w:r>
                </w:p>
              </w:tc>
            </w:tr>
            <w:tr w14:paraId="7B08D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0" w:type="dxa"/>
                  <w:gridSpan w:val="8"/>
                  <w:vAlign w:val="center"/>
                </w:tcPr>
                <w:p w14:paraId="05B04739">
                  <w:pPr>
                    <w:widowControl w:val="0"/>
                    <w:wordWrap/>
                    <w:autoSpaceDE w:val="0"/>
                    <w:autoSpaceDN w:val="0"/>
                    <w:adjustRightInd/>
                    <w:snapToGrid/>
                    <w:spacing w:beforeAutospacing="0" w:afterAutospacing="0" w:line="360" w:lineRule="exact"/>
                    <w:ind w:right="0"/>
                    <w:jc w:val="center"/>
                    <w:textAlignment w:val="auto"/>
                    <w:outlineLvl w:val="9"/>
                    <w:rPr>
                      <w:rFonts w:hint="eastAsia" w:ascii="Times New Roman" w:hAnsi="Times New Roman" w:eastAsia="黑体" w:cs="Times New Roman"/>
                      <w:b w:val="0"/>
                      <w:bCs w:val="0"/>
                      <w:color w:val="auto"/>
                      <w:sz w:val="21"/>
                      <w:szCs w:val="21"/>
                      <w:u w:val="none" w:color="auto"/>
                      <w:lang w:val="en-US" w:eastAsia="zh-CN"/>
                    </w:rPr>
                  </w:pPr>
                  <w:r>
                    <w:rPr>
                      <w:rFonts w:hint="eastAsia" w:ascii="Times New Roman" w:hAnsi="Times New Roman" w:eastAsia="宋体" w:cs="Times New Roman"/>
                      <w:sz w:val="21"/>
                      <w:szCs w:val="21"/>
                      <w:u w:val="none" w:color="auto"/>
                      <w:lang w:val="en-US" w:eastAsia="zh-CN" w:bidi="zh-CN"/>
                    </w:rPr>
                    <w:t>无组织排放总计</w:t>
                  </w:r>
                </w:p>
              </w:tc>
            </w:tr>
            <w:tr w14:paraId="7B04F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23" w:type="dxa"/>
                  <w:gridSpan w:val="4"/>
                  <w:vAlign w:val="center"/>
                </w:tcPr>
                <w:p w14:paraId="1982A7CA">
                  <w:pPr>
                    <w:widowControl w:val="0"/>
                    <w:wordWrap/>
                    <w:autoSpaceDE w:val="0"/>
                    <w:autoSpaceDN w:val="0"/>
                    <w:adjustRightInd/>
                    <w:snapToGrid/>
                    <w:spacing w:beforeAutospacing="0" w:afterAutospacing="0" w:line="360" w:lineRule="exact"/>
                    <w:ind w:right="0"/>
                    <w:jc w:val="center"/>
                    <w:textAlignment w:val="auto"/>
                    <w:outlineLvl w:val="9"/>
                    <w:rPr>
                      <w:rFonts w:hint="default" w:ascii="Times New Roman" w:hAnsi="Times New Roman" w:eastAsia="黑体" w:cs="Times New Roman"/>
                      <w:b w:val="0"/>
                      <w:bCs w:val="0"/>
                      <w:color w:val="auto"/>
                      <w:sz w:val="21"/>
                      <w:szCs w:val="21"/>
                      <w:u w:val="none" w:color="auto"/>
                      <w:lang w:val="en-US" w:eastAsia="zh-CN"/>
                    </w:rPr>
                  </w:pPr>
                  <w:r>
                    <w:rPr>
                      <w:rFonts w:hint="eastAsia" w:ascii="Times New Roman" w:hAnsi="Times New Roman" w:eastAsia="宋体" w:cs="Times New Roman"/>
                      <w:sz w:val="21"/>
                      <w:szCs w:val="21"/>
                      <w:u w:val="none" w:color="auto"/>
                      <w:lang w:val="en-US" w:eastAsia="zh-CN" w:bidi="zh-CN"/>
                    </w:rPr>
                    <w:t>无组织排放总计</w:t>
                  </w:r>
                </w:p>
              </w:tc>
              <w:tc>
                <w:tcPr>
                  <w:tcW w:w="2676" w:type="dxa"/>
                  <w:gridSpan w:val="2"/>
                  <w:vAlign w:val="center"/>
                </w:tcPr>
                <w:p w14:paraId="3445D1F6">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非甲烷总烃</w:t>
                  </w:r>
                </w:p>
              </w:tc>
              <w:tc>
                <w:tcPr>
                  <w:tcW w:w="2371" w:type="dxa"/>
                  <w:gridSpan w:val="2"/>
                  <w:vAlign w:val="center"/>
                </w:tcPr>
                <w:p w14:paraId="378EC1CE">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0.0054</w:t>
                  </w:r>
                </w:p>
              </w:tc>
            </w:tr>
          </w:tbl>
          <w:p w14:paraId="7492BCBC">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4-7</w:t>
            </w:r>
            <w:r>
              <w:rPr>
                <w:rFonts w:hint="default" w:ascii="Times New Roman" w:hAnsi="Times New Roman" w:eastAsia="黑体" w:cs="Times New Roman"/>
                <w:b w:val="0"/>
                <w:bCs w:val="0"/>
                <w:color w:val="auto"/>
                <w:sz w:val="24"/>
                <w:szCs w:val="24"/>
                <w:u w:val="none" w:color="auto"/>
                <w:lang w:val="en-US" w:eastAsia="zh-CN"/>
              </w:rPr>
              <w:t xml:space="preserve">  </w:t>
            </w:r>
            <w:r>
              <w:rPr>
                <w:rFonts w:hint="eastAsia" w:ascii="Times New Roman" w:hAnsi="Times New Roman" w:eastAsia="黑体" w:cs="Times New Roman"/>
                <w:b w:val="0"/>
                <w:bCs w:val="0"/>
                <w:color w:val="auto"/>
                <w:sz w:val="24"/>
                <w:szCs w:val="24"/>
                <w:u w:val="none" w:color="auto"/>
                <w:lang w:val="en-US" w:eastAsia="zh-CN"/>
              </w:rPr>
              <w:t>大气污染物年排放量核算表</w:t>
            </w:r>
          </w:p>
          <w:tbl>
            <w:tblPr>
              <w:tblStyle w:val="24"/>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2739"/>
              <w:gridCol w:w="2739"/>
            </w:tblGrid>
            <w:tr w14:paraId="1E7E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9" w:type="dxa"/>
                  <w:vAlign w:val="center"/>
                </w:tcPr>
                <w:p w14:paraId="04234A2C">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bidi="zh-CN"/>
                    </w:rPr>
                  </w:pPr>
                  <w:r>
                    <w:rPr>
                      <w:rFonts w:hint="eastAsia" w:ascii="Times New Roman" w:hAnsi="Times New Roman" w:eastAsia="宋体" w:cs="Times New Roman"/>
                      <w:b/>
                      <w:bCs/>
                      <w:sz w:val="21"/>
                      <w:szCs w:val="21"/>
                      <w:u w:val="none" w:color="auto"/>
                      <w:lang w:val="en-US" w:eastAsia="zh-CN" w:bidi="zh-CN"/>
                    </w:rPr>
                    <w:t>序号</w:t>
                  </w:r>
                </w:p>
              </w:tc>
              <w:tc>
                <w:tcPr>
                  <w:tcW w:w="2739" w:type="dxa"/>
                  <w:vAlign w:val="center"/>
                </w:tcPr>
                <w:p w14:paraId="5670CBE2">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b/>
                      <w:bCs/>
                      <w:sz w:val="21"/>
                      <w:szCs w:val="21"/>
                      <w:u w:val="none" w:color="auto"/>
                      <w:lang w:val="en-US" w:eastAsia="zh-CN" w:bidi="zh-CN"/>
                    </w:rPr>
                  </w:pPr>
                  <w:r>
                    <w:rPr>
                      <w:rFonts w:hint="eastAsia" w:ascii="Times New Roman" w:hAnsi="Times New Roman" w:eastAsia="宋体" w:cs="Times New Roman"/>
                      <w:b/>
                      <w:bCs/>
                      <w:sz w:val="21"/>
                      <w:szCs w:val="21"/>
                      <w:u w:val="none" w:color="auto"/>
                      <w:lang w:val="en-US" w:eastAsia="zh-CN" w:bidi="zh-CN"/>
                    </w:rPr>
                    <w:t>污染物</w:t>
                  </w:r>
                </w:p>
              </w:tc>
              <w:tc>
                <w:tcPr>
                  <w:tcW w:w="2739" w:type="dxa"/>
                  <w:vAlign w:val="center"/>
                </w:tcPr>
                <w:p w14:paraId="6576FBCB">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eastAsia" w:ascii="Times New Roman" w:hAnsi="Times New Roman" w:eastAsia="宋体" w:cs="Times New Roman"/>
                      <w:b/>
                      <w:bCs/>
                      <w:sz w:val="21"/>
                      <w:szCs w:val="21"/>
                      <w:u w:val="none" w:color="auto"/>
                      <w:lang w:val="en-US" w:eastAsia="zh-CN" w:bidi="zh-CN"/>
                    </w:rPr>
                  </w:pPr>
                  <w:r>
                    <w:rPr>
                      <w:rFonts w:hint="eastAsia" w:ascii="Times New Roman" w:hAnsi="Times New Roman" w:eastAsia="宋体" w:cs="Times New Roman"/>
                      <w:b/>
                      <w:bCs/>
                      <w:sz w:val="21"/>
                      <w:szCs w:val="21"/>
                      <w:u w:val="none" w:color="auto"/>
                      <w:lang w:val="en-US" w:eastAsia="zh-CN" w:bidi="zh-CN"/>
                    </w:rPr>
                    <w:t>年排放量/（t/a）</w:t>
                  </w:r>
                </w:p>
              </w:tc>
            </w:tr>
            <w:tr w14:paraId="03439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39" w:type="dxa"/>
                  <w:vAlign w:val="center"/>
                </w:tcPr>
                <w:p w14:paraId="13BFAB60">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eastAsia="宋体" w:cs="Times New Roman"/>
                      <w:sz w:val="21"/>
                      <w:szCs w:val="21"/>
                      <w:u w:val="none" w:color="auto"/>
                      <w:lang w:val="en-US" w:eastAsia="zh-CN" w:bidi="zh-CN"/>
                    </w:rPr>
                  </w:pPr>
                  <w:r>
                    <w:rPr>
                      <w:rFonts w:hint="eastAsia" w:ascii="Times New Roman" w:hAnsi="Times New Roman" w:cs="Times New Roman"/>
                      <w:sz w:val="21"/>
                      <w:szCs w:val="21"/>
                      <w:u w:val="none" w:color="auto"/>
                      <w:lang w:val="en-US" w:eastAsia="zh-CN" w:bidi="zh-CN"/>
                    </w:rPr>
                    <w:t>1</w:t>
                  </w:r>
                </w:p>
              </w:tc>
              <w:tc>
                <w:tcPr>
                  <w:tcW w:w="2739" w:type="dxa"/>
                  <w:vAlign w:val="center"/>
                </w:tcPr>
                <w:p w14:paraId="1214858C">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bidi="zh-CN"/>
                    </w:rPr>
                  </w:pPr>
                  <w:r>
                    <w:rPr>
                      <w:rFonts w:hint="eastAsia" w:ascii="Times New Roman" w:hAnsi="Times New Roman" w:eastAsia="宋体" w:cs="Times New Roman"/>
                      <w:sz w:val="21"/>
                      <w:szCs w:val="21"/>
                      <w:u w:val="none" w:color="auto"/>
                      <w:lang w:val="en-US" w:eastAsia="zh-CN" w:bidi="zh-CN"/>
                    </w:rPr>
                    <w:t>非甲烷总烃</w:t>
                  </w:r>
                </w:p>
              </w:tc>
              <w:tc>
                <w:tcPr>
                  <w:tcW w:w="2739" w:type="dxa"/>
                  <w:vAlign w:val="center"/>
                </w:tcPr>
                <w:p w14:paraId="067708B6">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t>0.0119</w:t>
                  </w:r>
                </w:p>
              </w:tc>
            </w:tr>
            <w:tr w14:paraId="199FC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39" w:type="dxa"/>
                  <w:vAlign w:val="center"/>
                </w:tcPr>
                <w:p w14:paraId="4BEAFACC">
                  <w:pPr>
                    <w:pStyle w:val="44"/>
                    <w:widowControl w:val="0"/>
                    <w:numPr>
                      <w:ilvl w:val="0"/>
                      <w:numId w:val="0"/>
                    </w:numPr>
                    <w:wordWrap/>
                    <w:autoSpaceDE w:val="0"/>
                    <w:autoSpaceDN w:val="0"/>
                    <w:adjustRightInd/>
                    <w:snapToGrid/>
                    <w:spacing w:before="0" w:beforeAutospacing="0" w:afterAutospacing="0" w:line="360" w:lineRule="exact"/>
                    <w:ind w:right="0"/>
                    <w:jc w:val="center"/>
                    <w:textAlignment w:val="auto"/>
                    <w:rPr>
                      <w:rFonts w:hint="default" w:ascii="Times New Roman" w:hAnsi="Times New Roman" w:cs="Times New Roman"/>
                      <w:sz w:val="21"/>
                      <w:szCs w:val="21"/>
                      <w:u w:val="none" w:color="auto"/>
                      <w:lang w:val="en-US" w:eastAsia="zh-CN" w:bidi="zh-CN"/>
                    </w:rPr>
                  </w:pPr>
                  <w:r>
                    <w:rPr>
                      <w:rFonts w:hint="eastAsia" w:ascii="Times New Roman" w:hAnsi="Times New Roman" w:cs="Times New Roman"/>
                      <w:sz w:val="21"/>
                      <w:szCs w:val="21"/>
                      <w:u w:val="none" w:color="auto"/>
                      <w:lang w:val="en-US" w:eastAsia="zh-CN" w:bidi="zh-CN"/>
                    </w:rPr>
                    <w:t>2</w:t>
                  </w:r>
                </w:p>
              </w:tc>
              <w:tc>
                <w:tcPr>
                  <w:tcW w:w="2739" w:type="dxa"/>
                  <w:vAlign w:val="center"/>
                </w:tcPr>
                <w:p w14:paraId="335FE9B3">
                  <w:pPr>
                    <w:pStyle w:val="10"/>
                    <w:widowControl w:val="0"/>
                    <w:wordWrap/>
                    <w:autoSpaceDE w:val="0"/>
                    <w:autoSpaceDN w:val="0"/>
                    <w:adjustRightInd/>
                    <w:snapToGrid/>
                    <w:spacing w:before="58" w:beforeAutospacing="0" w:afterAutospacing="0" w:line="360" w:lineRule="exact"/>
                    <w:ind w:left="0" w:leftChars="0" w:right="0"/>
                    <w:jc w:val="center"/>
                    <w:textAlignment w:val="auto"/>
                    <w:rPr>
                      <w:rFonts w:hint="default" w:ascii="Times New Roman" w:hAnsi="Times New Roman" w:eastAsia="宋体" w:cs="Times New Roman"/>
                      <w:sz w:val="21"/>
                      <w:szCs w:val="21"/>
                      <w:u w:val="none" w:color="auto"/>
                      <w:lang w:val="en-US" w:eastAsia="zh-CN" w:bidi="zh-CN"/>
                    </w:rPr>
                  </w:pPr>
                  <w:r>
                    <w:rPr>
                      <w:rFonts w:hint="eastAsia" w:ascii="Times New Roman" w:hAnsi="Times New Roman" w:eastAsia="宋体" w:cs="Times New Roman"/>
                      <w:sz w:val="21"/>
                      <w:szCs w:val="21"/>
                      <w:u w:val="none" w:color="auto"/>
                      <w:lang w:val="en-US" w:eastAsia="zh-CN" w:bidi="zh-CN"/>
                    </w:rPr>
                    <w:t>颗粒物</w:t>
                  </w:r>
                </w:p>
              </w:tc>
              <w:tc>
                <w:tcPr>
                  <w:tcW w:w="2739" w:type="dxa"/>
                  <w:vAlign w:val="center"/>
                </w:tcPr>
                <w:p w14:paraId="4BA3E8A7">
                  <w:pPr>
                    <w:pStyle w:val="10"/>
                    <w:widowControl w:val="0"/>
                    <w:wordWrap/>
                    <w:autoSpaceDE w:val="0"/>
                    <w:autoSpaceDN w:val="0"/>
                    <w:adjustRightInd/>
                    <w:snapToGrid/>
                    <w:spacing w:before="0" w:beforeAutospacing="0" w:afterAutospacing="0" w:line="360" w:lineRule="exact"/>
                    <w:ind w:left="0" w:leftChars="0" w:right="0"/>
                    <w:jc w:val="center"/>
                    <w:textAlignment w:val="auto"/>
                    <w:rPr>
                      <w:rFonts w:hint="eastAsia" w:ascii="Times New Roman" w:hAnsi="Times New Roman" w:eastAsia="宋体" w:cs="Times New Roman"/>
                      <w:color w:val="000000" w:themeColor="text1"/>
                      <w:sz w:val="21"/>
                      <w:szCs w:val="21"/>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-5</w:t>
                  </w:r>
                </w:p>
              </w:tc>
            </w:tr>
          </w:tbl>
          <w:p w14:paraId="2F5F26C4">
            <w:pPr>
              <w:pStyle w:val="44"/>
              <w:widowControl w:val="0"/>
              <w:numPr>
                <w:ilvl w:val="0"/>
                <w:numId w:val="0"/>
              </w:numPr>
              <w:wordWrap/>
              <w:autoSpaceDE w:val="0"/>
              <w:autoSpaceDN w:val="0"/>
              <w:adjustRightInd/>
              <w:snapToGrid/>
              <w:spacing w:before="0" w:beforeAutospacing="0" w:afterAutospacing="0" w:line="520" w:lineRule="exact"/>
              <w:ind w:right="0" w:firstLine="480" w:firstLineChars="200"/>
              <w:jc w:val="both"/>
              <w:textAlignment w:val="auto"/>
              <w:rPr>
                <w:rFonts w:hint="eastAsia" w:ascii="Times New Roman" w:hAnsi="Times New Roman" w:cs="Times New Roman"/>
                <w:b w:val="0"/>
                <w:bCs w:val="0"/>
                <w:sz w:val="24"/>
                <w:szCs w:val="24"/>
                <w:u w:val="none" w:color="auto"/>
                <w:lang w:val="en-US" w:eastAsia="zh-CN" w:bidi="zh-CN"/>
              </w:rPr>
            </w:pPr>
            <w:r>
              <w:rPr>
                <w:rFonts w:hint="eastAsia" w:ascii="Times New Roman" w:hAnsi="Times New Roman" w:cs="Times New Roman"/>
                <w:b w:val="0"/>
                <w:bCs w:val="0"/>
                <w:sz w:val="24"/>
                <w:szCs w:val="24"/>
                <w:u w:val="none" w:color="auto"/>
                <w:lang w:val="en-US" w:eastAsia="zh-CN" w:bidi="zh-CN"/>
              </w:rPr>
              <w:t>综上所述，项目废气处理设施处理后排放能够满足相关排放标准，对周边环境影响较小。</w:t>
            </w:r>
          </w:p>
          <w:p w14:paraId="115F69F8">
            <w:pPr>
              <w:widowControl/>
              <w:numPr>
                <w:ilvl w:val="0"/>
                <w:numId w:val="35"/>
              </w:numPr>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kern w:val="0"/>
                <w:sz w:val="24"/>
                <w:szCs w:val="20"/>
                <w:u w:val="none" w:color="auto"/>
                <w:lang w:val="en-US" w:eastAsia="zh-CN" w:bidi="zh-CN"/>
              </w:rPr>
            </w:pPr>
            <w:r>
              <w:rPr>
                <w:rFonts w:hint="eastAsia" w:ascii="Times New Roman" w:hAnsi="Times New Roman" w:eastAsia="宋体" w:cs="Times New Roman"/>
                <w:color w:val="000000"/>
                <w:kern w:val="0"/>
                <w:sz w:val="24"/>
                <w:szCs w:val="20"/>
                <w:u w:val="none" w:color="auto"/>
                <w:lang w:val="en-US" w:eastAsia="zh-CN" w:bidi="zh-CN"/>
              </w:rPr>
              <w:t>废气污染防治措施可行性分析</w:t>
            </w:r>
          </w:p>
          <w:p w14:paraId="4953094F">
            <w:pPr>
              <w:autoSpaceDE/>
              <w:autoSpaceDN/>
              <w:spacing w:beforeAutospacing="0" w:afterAutospacing="0" w:line="520" w:lineRule="exact"/>
              <w:ind w:firstLine="480" w:firstLineChars="200"/>
              <w:jc w:val="both"/>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本项目属于</w:t>
            </w:r>
            <w:r>
              <w:rPr>
                <w:rFonts w:hint="default"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教学用模型及教具制造</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主要生产模特头，根据《固定污染源排污许可分类管理名录（2019年版），本项目属于十九、文教、工美、体育和娱乐用品制造业24，41、文教办公用品制造241，不涉及通用工序重点管理和简化管理，为其他。参考《排污许可证申请与核发技术规范 总则》（HJ942-2018），有机废气收集治理设施（焚烧、吸附、催化分解、其他）。本项目</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有机废气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采取“二级活性炭”装置处理。</w:t>
            </w:r>
          </w:p>
          <w:p w14:paraId="5C21E1C8">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活性炭：有机废气</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收集后引入进入活</w:t>
            </w:r>
            <w:r>
              <w:rPr>
                <w:rFonts w:hint="eastAsia" w:ascii="Times New Roman" w:hAnsi="Times New Roman" w:eastAsia="宋体" w:cs="Times New Roman"/>
                <w:b w:val="0"/>
                <w:bCs w:val="0"/>
                <w:sz w:val="24"/>
                <w:szCs w:val="24"/>
                <w:u w:val="none" w:color="auto"/>
                <w:lang w:val="en-US" w:eastAsia="zh-CN" w:bidi="zh-CN"/>
              </w:rPr>
              <w:t>性炭吸附装置中进行处理，活性炭吸附装置的多孔性固体吸附剂活性炭具有的吸附作用，能将废气中的有机类污染物质和臭味祛除。是一种由含碳材料制成的外观呈黑色、内部孔隙结构发达、比表面积大、吸附能力强的一类微晶质碳素材料。活性炭材料中有大量肉眼看不见的微孔，1g活性炭材料中微孔的总内表面积可高达700～2300m</w:t>
            </w:r>
            <w:r>
              <w:rPr>
                <w:rFonts w:hint="eastAsia" w:ascii="Times New Roman" w:hAnsi="Times New Roman" w:eastAsia="宋体" w:cs="Times New Roman"/>
                <w:b w:val="0"/>
                <w:bCs w:val="0"/>
                <w:sz w:val="24"/>
                <w:szCs w:val="24"/>
                <w:u w:val="none" w:color="auto"/>
                <w:vertAlign w:val="superscript"/>
                <w:lang w:val="en-US" w:eastAsia="zh-CN" w:bidi="zh-CN"/>
              </w:rPr>
              <w:t>2</w:t>
            </w:r>
            <w:r>
              <w:rPr>
                <w:rFonts w:hint="eastAsia" w:ascii="Times New Roman" w:hAnsi="Times New Roman" w:eastAsia="宋体" w:cs="Times New Roman"/>
                <w:b w:val="0"/>
                <w:bCs w:val="0"/>
                <w:sz w:val="24"/>
                <w:szCs w:val="24"/>
                <w:u w:val="none" w:color="auto"/>
                <w:lang w:val="en-US" w:eastAsia="zh-CN" w:bidi="zh-CN"/>
              </w:rPr>
              <w:t>。正是这些微孔使得活性炭能“捕捉”各种有毒有害气体和杂质。由于气相分子和吸附剂表面分子之间的吸引力，使气相分子吸附在吸附剂表面。综上，废气污染防治措施可行。</w:t>
            </w:r>
          </w:p>
          <w:p w14:paraId="40FB7700">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cs="Times New Roman"/>
                <w:b w:val="0"/>
                <w:bCs w:val="0"/>
                <w:sz w:val="24"/>
                <w:szCs w:val="24"/>
                <w:u w:val="none" w:color="auto"/>
                <w:lang w:val="en-US" w:eastAsia="zh-CN" w:bidi="zh-CN"/>
              </w:rPr>
              <w:t>3、</w:t>
            </w:r>
            <w:r>
              <w:rPr>
                <w:rFonts w:hint="eastAsia" w:ascii="Times New Roman" w:hAnsi="Times New Roman" w:eastAsia="宋体" w:cs="Times New Roman"/>
                <w:b w:val="0"/>
                <w:bCs w:val="0"/>
                <w:sz w:val="24"/>
                <w:szCs w:val="24"/>
                <w:u w:val="none" w:color="auto"/>
                <w:lang w:val="en-US" w:eastAsia="zh-CN" w:bidi="zh-CN"/>
              </w:rPr>
              <w:t>非正常工况环境影响分析</w:t>
            </w:r>
          </w:p>
          <w:p w14:paraId="60003725">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非正常工况是指生产运行阶段的开、停车、检修、操作不正常或设备故障等。</w:t>
            </w:r>
          </w:p>
          <w:p w14:paraId="13CC7C80">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本项目设备检修时不进行生产作业，生产过程出现异常时可停产、检修，待所有生产设备恢复正常后再投入生产。针对本项目而言，非正常工况主要为废气处理设施出现故障导致污染物非正常排放。本项目废气治理设施出现故障时，现场工作人员立即报告公司管理人员，停止生产进行设备的维护，治理设施出现故障到被发现最长时间约为1h，根据建设单位现有其他工程运行经验，故障频次约1次/a。结合本项目</w:t>
            </w:r>
            <w:r>
              <w:rPr>
                <w:rFonts w:hint="eastAsia" w:ascii="Times New Roman" w:hAnsi="Times New Roman" w:cs="Times New Roman"/>
                <w:b w:val="0"/>
                <w:bCs w:val="0"/>
                <w:sz w:val="24"/>
                <w:szCs w:val="24"/>
                <w:u w:val="none" w:color="auto"/>
                <w:lang w:val="en-US" w:eastAsia="zh-CN" w:bidi="zh-CN"/>
              </w:rPr>
              <w:t>非甲烷总烃</w:t>
            </w:r>
            <w:r>
              <w:rPr>
                <w:rFonts w:hint="eastAsia" w:ascii="Times New Roman" w:hAnsi="Times New Roman" w:eastAsia="宋体" w:cs="Times New Roman"/>
                <w:b w:val="0"/>
                <w:bCs w:val="0"/>
                <w:sz w:val="24"/>
                <w:szCs w:val="24"/>
                <w:u w:val="none" w:color="auto"/>
                <w:lang w:val="en-US" w:eastAsia="zh-CN" w:bidi="zh-CN"/>
              </w:rPr>
              <w:t>排放源强，项目非正常排放量核算结果见表</w:t>
            </w:r>
            <w:r>
              <w:rPr>
                <w:rFonts w:hint="eastAsia" w:ascii="Times New Roman" w:hAnsi="Times New Roman" w:cs="Times New Roman"/>
                <w:b w:val="0"/>
                <w:bCs w:val="0"/>
                <w:sz w:val="24"/>
                <w:szCs w:val="24"/>
                <w:u w:val="none" w:color="auto"/>
                <w:lang w:val="en-US" w:eastAsia="zh-CN" w:bidi="zh-CN"/>
              </w:rPr>
              <w:t>4-8</w:t>
            </w:r>
            <w:r>
              <w:rPr>
                <w:rFonts w:hint="eastAsia" w:ascii="Times New Roman" w:hAnsi="Times New Roman" w:eastAsia="宋体" w:cs="Times New Roman"/>
                <w:b w:val="0"/>
                <w:bCs w:val="0"/>
                <w:sz w:val="24"/>
                <w:szCs w:val="24"/>
                <w:u w:val="none" w:color="auto"/>
                <w:lang w:val="en-US" w:eastAsia="zh-CN" w:bidi="zh-CN"/>
              </w:rPr>
              <w:t>。</w:t>
            </w:r>
          </w:p>
          <w:p w14:paraId="65CB5ECB">
            <w:pPr>
              <w:widowControl/>
              <w:wordWrap/>
              <w:autoSpaceDE w:val="0"/>
              <w:spacing w:beforeAutospacing="0" w:afterAutospacing="0" w:line="520" w:lineRule="exact"/>
              <w:ind w:firstLine="480" w:firstLineChars="200"/>
              <w:jc w:val="center"/>
              <w:textAlignment w:val="auto"/>
              <w:rPr>
                <w:rFonts w:hint="eastAsia" w:ascii="Times New Roman" w:hAnsi="Times New Roman" w:eastAsia="黑体" w:cs="Times New Roman"/>
                <w:b w:val="0"/>
                <w:bCs w:val="0"/>
                <w:sz w:val="24"/>
                <w:szCs w:val="24"/>
                <w:u w:val="none" w:color="auto"/>
                <w:lang w:val="en-US" w:eastAsia="zh-CN" w:bidi="zh-CN"/>
              </w:rPr>
            </w:pPr>
            <w:r>
              <w:rPr>
                <w:rFonts w:hint="eastAsia" w:ascii="Times New Roman" w:hAnsi="Times New Roman" w:eastAsia="黑体" w:cs="Times New Roman"/>
                <w:b w:val="0"/>
                <w:bCs w:val="0"/>
                <w:sz w:val="24"/>
                <w:szCs w:val="24"/>
                <w:u w:val="none" w:color="auto"/>
                <w:lang w:val="en-US" w:eastAsia="zh-CN" w:bidi="zh-CN"/>
              </w:rPr>
              <w:t>表4-8  非正常工况排放信息表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024"/>
              <w:gridCol w:w="669"/>
              <w:gridCol w:w="832"/>
              <w:gridCol w:w="910"/>
              <w:gridCol w:w="989"/>
              <w:gridCol w:w="890"/>
              <w:gridCol w:w="796"/>
              <w:gridCol w:w="1334"/>
            </w:tblGrid>
            <w:tr w14:paraId="67863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6" w:type="dxa"/>
                  <w:vMerge w:val="restart"/>
                  <w:vAlign w:val="center"/>
                </w:tcPr>
                <w:p w14:paraId="1175398C">
                  <w:pPr>
                    <w:pStyle w:val="64"/>
                    <w:wordWrap/>
                    <w:spacing w:line="360" w:lineRule="exact"/>
                    <w:rPr>
                      <w:rFonts w:hint="default" w:ascii="Times New Roman" w:hAnsi="Times New Roman" w:eastAsia="宋体" w:cs="Times New Roman"/>
                      <w:b/>
                      <w:bCs/>
                      <w:color w:val="000000"/>
                      <w:sz w:val="21"/>
                      <w:szCs w:val="21"/>
                      <w:u w:val="none" w:color="auto"/>
                      <w:lang w:val="en-US" w:eastAsia="zh-CN"/>
                    </w:rPr>
                  </w:pPr>
                  <w:r>
                    <w:rPr>
                      <w:rFonts w:hint="eastAsia" w:ascii="Times New Roman" w:hAnsi="Times New Roman" w:eastAsia="宋体" w:cs="Times New Roman"/>
                      <w:b/>
                      <w:bCs/>
                      <w:color w:val="000000"/>
                      <w:sz w:val="21"/>
                      <w:szCs w:val="21"/>
                      <w:u w:val="none" w:color="auto"/>
                      <w:lang w:val="en-US" w:eastAsia="zh-CN"/>
                    </w:rPr>
                    <w:t>非正常排放源</w:t>
                  </w:r>
                </w:p>
              </w:tc>
              <w:tc>
                <w:tcPr>
                  <w:tcW w:w="1024" w:type="dxa"/>
                  <w:vMerge w:val="restart"/>
                  <w:vAlign w:val="center"/>
                </w:tcPr>
                <w:p w14:paraId="3FD45E75">
                  <w:pPr>
                    <w:pStyle w:val="64"/>
                    <w:wordWrap/>
                    <w:spacing w:line="360" w:lineRule="exact"/>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非正常排放原</w:t>
                  </w:r>
                </w:p>
                <w:p w14:paraId="2BA3CA22">
                  <w:pPr>
                    <w:pStyle w:val="64"/>
                    <w:wordWrap/>
                    <w:spacing w:line="360" w:lineRule="exact"/>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因</w:t>
                  </w:r>
                </w:p>
              </w:tc>
              <w:tc>
                <w:tcPr>
                  <w:tcW w:w="669" w:type="dxa"/>
                  <w:vMerge w:val="restart"/>
                  <w:vAlign w:val="center"/>
                </w:tcPr>
                <w:p w14:paraId="11AA0627">
                  <w:pPr>
                    <w:pStyle w:val="64"/>
                    <w:wordWrap/>
                    <w:spacing w:line="360" w:lineRule="exact"/>
                    <w:rPr>
                      <w:rFonts w:hint="eastAsia" w:ascii="Times New Roman" w:hAnsi="Times New Roman" w:eastAsia="宋体" w:cs="Times New Roman"/>
                      <w:b/>
                      <w:bCs/>
                      <w:color w:val="000000"/>
                      <w:sz w:val="21"/>
                      <w:szCs w:val="21"/>
                      <w:u w:val="none" w:color="auto"/>
                      <w:lang w:val="en-US" w:eastAsia="zh-CN"/>
                    </w:rPr>
                  </w:pPr>
                  <w:r>
                    <w:rPr>
                      <w:rFonts w:hint="eastAsia" w:ascii="Times New Roman" w:hAnsi="Times New Roman" w:eastAsia="宋体" w:cs="Times New Roman"/>
                      <w:b/>
                      <w:bCs/>
                      <w:color w:val="000000"/>
                      <w:sz w:val="21"/>
                      <w:szCs w:val="21"/>
                      <w:u w:val="none" w:color="auto"/>
                      <w:lang w:val="en-US" w:eastAsia="zh-CN"/>
                    </w:rPr>
                    <w:t>污染物</w:t>
                  </w:r>
                </w:p>
              </w:tc>
              <w:tc>
                <w:tcPr>
                  <w:tcW w:w="2731" w:type="dxa"/>
                  <w:gridSpan w:val="3"/>
                  <w:vAlign w:val="center"/>
                </w:tcPr>
                <w:p w14:paraId="6A1BB839">
                  <w:pPr>
                    <w:pStyle w:val="64"/>
                    <w:wordWrap/>
                    <w:spacing w:line="360" w:lineRule="exact"/>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非正常排放情况</w:t>
                  </w:r>
                </w:p>
              </w:tc>
              <w:tc>
                <w:tcPr>
                  <w:tcW w:w="890" w:type="dxa"/>
                  <w:vMerge w:val="restart"/>
                  <w:vAlign w:val="center"/>
                </w:tcPr>
                <w:p w14:paraId="76BE6EDB">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单次持续时间/h</w:t>
                  </w:r>
                </w:p>
              </w:tc>
              <w:tc>
                <w:tcPr>
                  <w:tcW w:w="796" w:type="dxa"/>
                  <w:vMerge w:val="restart"/>
                  <w:vAlign w:val="center"/>
                </w:tcPr>
                <w:p w14:paraId="5524C66F">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年发生频次</w:t>
                  </w:r>
                </w:p>
              </w:tc>
              <w:tc>
                <w:tcPr>
                  <w:tcW w:w="1334" w:type="dxa"/>
                  <w:vMerge w:val="restart"/>
                  <w:vAlign w:val="center"/>
                </w:tcPr>
                <w:p w14:paraId="0428E1E6">
                  <w:pPr>
                    <w:wordWrap/>
                    <w:adjustRightInd w:val="0"/>
                    <w:snapToGrid w:val="0"/>
                    <w:spacing w:beforeAutospacing="0" w:afterAutospacing="0" w:line="360" w:lineRule="exact"/>
                    <w:ind w:firstLine="0" w:firstLineChars="0"/>
                    <w:jc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应对措施</w:t>
                  </w:r>
                </w:p>
              </w:tc>
            </w:tr>
            <w:tr w14:paraId="59D8B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jc w:val="center"/>
              </w:trPr>
              <w:tc>
                <w:tcPr>
                  <w:tcW w:w="726" w:type="dxa"/>
                  <w:vMerge w:val="continue"/>
                  <w:vAlign w:val="center"/>
                </w:tcPr>
                <w:p w14:paraId="626F4EC2">
                  <w:pPr>
                    <w:pStyle w:val="64"/>
                    <w:wordWrap/>
                    <w:spacing w:line="360" w:lineRule="exact"/>
                    <w:rPr>
                      <w:rFonts w:hint="default" w:ascii="Times New Roman" w:hAnsi="Times New Roman" w:eastAsia="宋体" w:cs="Times New Roman"/>
                      <w:b/>
                      <w:bCs/>
                      <w:color w:val="000000"/>
                      <w:sz w:val="21"/>
                      <w:szCs w:val="21"/>
                      <w:u w:val="none" w:color="auto"/>
                    </w:rPr>
                  </w:pPr>
                </w:p>
              </w:tc>
              <w:tc>
                <w:tcPr>
                  <w:tcW w:w="1024" w:type="dxa"/>
                  <w:vMerge w:val="continue"/>
                  <w:vAlign w:val="center"/>
                </w:tcPr>
                <w:p w14:paraId="15808AFC">
                  <w:pPr>
                    <w:pStyle w:val="64"/>
                    <w:wordWrap/>
                    <w:spacing w:line="360" w:lineRule="exact"/>
                    <w:rPr>
                      <w:rFonts w:hint="default" w:ascii="Times New Roman" w:hAnsi="Times New Roman" w:eastAsia="宋体" w:cs="Times New Roman"/>
                      <w:b/>
                      <w:bCs/>
                      <w:color w:val="000000"/>
                      <w:sz w:val="21"/>
                      <w:szCs w:val="21"/>
                      <w:u w:val="none" w:color="auto"/>
                    </w:rPr>
                  </w:pPr>
                </w:p>
              </w:tc>
              <w:tc>
                <w:tcPr>
                  <w:tcW w:w="669" w:type="dxa"/>
                  <w:vMerge w:val="continue"/>
                  <w:vAlign w:val="center"/>
                </w:tcPr>
                <w:p w14:paraId="4075B7DC">
                  <w:pPr>
                    <w:pStyle w:val="64"/>
                    <w:wordWrap/>
                    <w:spacing w:line="360" w:lineRule="exact"/>
                    <w:rPr>
                      <w:rFonts w:hint="default" w:ascii="Times New Roman" w:hAnsi="Times New Roman" w:eastAsia="宋体" w:cs="Times New Roman"/>
                      <w:b/>
                      <w:bCs/>
                      <w:color w:val="000000"/>
                      <w:sz w:val="21"/>
                      <w:szCs w:val="21"/>
                      <w:u w:val="none" w:color="auto"/>
                    </w:rPr>
                  </w:pPr>
                </w:p>
              </w:tc>
              <w:tc>
                <w:tcPr>
                  <w:tcW w:w="832" w:type="dxa"/>
                  <w:vAlign w:val="center"/>
                </w:tcPr>
                <w:p w14:paraId="1FA76A08">
                  <w:pPr>
                    <w:pStyle w:val="64"/>
                    <w:wordWrap/>
                    <w:spacing w:line="360" w:lineRule="exact"/>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排放浓度mg/m</w:t>
                  </w:r>
                  <w:r>
                    <w:rPr>
                      <w:rFonts w:hint="default" w:ascii="Times New Roman" w:hAnsi="Times New Roman" w:eastAsia="宋体" w:cs="Times New Roman"/>
                      <w:b/>
                      <w:bCs/>
                      <w:color w:val="000000"/>
                      <w:sz w:val="21"/>
                      <w:szCs w:val="21"/>
                      <w:u w:val="none" w:color="auto"/>
                      <w:vertAlign w:val="superscript"/>
                    </w:rPr>
                    <w:t>3</w:t>
                  </w:r>
                </w:p>
              </w:tc>
              <w:tc>
                <w:tcPr>
                  <w:tcW w:w="910" w:type="dxa"/>
                  <w:vAlign w:val="center"/>
                </w:tcPr>
                <w:p w14:paraId="60C4E876">
                  <w:pPr>
                    <w:pStyle w:val="64"/>
                    <w:wordWrap/>
                    <w:spacing w:line="360" w:lineRule="exact"/>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排放速率kg/h</w:t>
                  </w:r>
                </w:p>
              </w:tc>
              <w:tc>
                <w:tcPr>
                  <w:tcW w:w="989" w:type="dxa"/>
                  <w:vAlign w:val="center"/>
                </w:tcPr>
                <w:p w14:paraId="781F707B">
                  <w:pPr>
                    <w:pStyle w:val="64"/>
                    <w:wordWrap/>
                    <w:spacing w:line="360" w:lineRule="exact"/>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rPr>
                    <w:t>排放量</w:t>
                  </w:r>
                  <w:r>
                    <w:rPr>
                      <w:rFonts w:hint="eastAsia" w:ascii="Times New Roman" w:hAnsi="Times New Roman" w:eastAsia="宋体" w:cs="Times New Roman"/>
                      <w:b/>
                      <w:bCs/>
                      <w:color w:val="000000"/>
                      <w:sz w:val="21"/>
                      <w:szCs w:val="21"/>
                      <w:u w:val="none" w:color="auto"/>
                      <w:lang w:val="en-US" w:eastAsia="zh-CN"/>
                    </w:rPr>
                    <w:t>kg</w:t>
                  </w:r>
                </w:p>
              </w:tc>
              <w:tc>
                <w:tcPr>
                  <w:tcW w:w="890" w:type="dxa"/>
                  <w:vMerge w:val="continue"/>
                  <w:vAlign w:val="center"/>
                </w:tcPr>
                <w:p w14:paraId="17656F86">
                  <w:pPr>
                    <w:pStyle w:val="64"/>
                    <w:wordWrap/>
                    <w:spacing w:line="360" w:lineRule="exact"/>
                    <w:rPr>
                      <w:rFonts w:hint="default" w:ascii="Times New Roman" w:hAnsi="Times New Roman" w:eastAsia="宋体" w:cs="Times New Roman"/>
                      <w:color w:val="000000"/>
                      <w:sz w:val="21"/>
                      <w:szCs w:val="21"/>
                      <w:u w:val="none" w:color="auto"/>
                    </w:rPr>
                  </w:pPr>
                </w:p>
              </w:tc>
              <w:tc>
                <w:tcPr>
                  <w:tcW w:w="796" w:type="dxa"/>
                  <w:vMerge w:val="continue"/>
                  <w:vAlign w:val="center"/>
                </w:tcPr>
                <w:p w14:paraId="1644A6A9">
                  <w:pPr>
                    <w:pStyle w:val="64"/>
                    <w:wordWrap/>
                    <w:spacing w:line="360" w:lineRule="exact"/>
                    <w:rPr>
                      <w:rFonts w:hint="default" w:ascii="Times New Roman" w:hAnsi="Times New Roman" w:eastAsia="宋体" w:cs="Times New Roman"/>
                      <w:color w:val="000000"/>
                      <w:sz w:val="21"/>
                      <w:szCs w:val="21"/>
                      <w:u w:val="none" w:color="auto"/>
                    </w:rPr>
                  </w:pPr>
                </w:p>
              </w:tc>
              <w:tc>
                <w:tcPr>
                  <w:tcW w:w="1334" w:type="dxa"/>
                  <w:vMerge w:val="continue"/>
                  <w:vAlign w:val="center"/>
                </w:tcPr>
                <w:p w14:paraId="0A1248ED">
                  <w:pPr>
                    <w:pStyle w:val="64"/>
                    <w:wordWrap/>
                    <w:spacing w:line="360" w:lineRule="exact"/>
                    <w:rPr>
                      <w:rFonts w:hint="default" w:ascii="Times New Roman" w:hAnsi="Times New Roman" w:eastAsia="宋体" w:cs="Times New Roman"/>
                      <w:color w:val="000000"/>
                      <w:sz w:val="21"/>
                      <w:szCs w:val="21"/>
                      <w:u w:val="none" w:color="auto"/>
                    </w:rPr>
                  </w:pPr>
                </w:p>
              </w:tc>
            </w:tr>
            <w:tr w14:paraId="7FED3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726" w:type="dxa"/>
                  <w:vAlign w:val="center"/>
                </w:tcPr>
                <w:p w14:paraId="52985DBD">
                  <w:pPr>
                    <w:widowControl/>
                    <w:wordWrap/>
                    <w:adjustRightInd/>
                    <w:snapToGrid/>
                    <w:spacing w:beforeAutospacing="0" w:afterAutospacing="0" w:line="360" w:lineRule="exact"/>
                    <w:ind w:left="0" w:leftChars="0" w:right="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DA001</w:t>
                  </w:r>
                </w:p>
              </w:tc>
              <w:tc>
                <w:tcPr>
                  <w:tcW w:w="1024" w:type="dxa"/>
                  <w:vAlign w:val="center"/>
                </w:tcPr>
                <w:p w14:paraId="6958A46D">
                  <w:pPr>
                    <w:pStyle w:val="10"/>
                    <w:wordWrap/>
                    <w:spacing w:before="58" w:beforeAutospacing="0" w:afterAutospacing="0" w:line="360" w:lineRule="exact"/>
                    <w:jc w:val="center"/>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二级活性炭故障</w:t>
                  </w:r>
                </w:p>
              </w:tc>
              <w:tc>
                <w:tcPr>
                  <w:tcW w:w="669" w:type="dxa"/>
                  <w:vAlign w:val="center"/>
                </w:tcPr>
                <w:p w14:paraId="5F0920A9">
                  <w:pPr>
                    <w:wordWrap/>
                    <w:spacing w:before="58" w:beforeAutospacing="0" w:afterAutospacing="0" w:line="360" w:lineRule="exact"/>
                    <w:ind w:left="0" w:leftChars="0" w:right="0" w:rightChars="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非甲烷总烃</w:t>
                  </w:r>
                </w:p>
              </w:tc>
              <w:tc>
                <w:tcPr>
                  <w:tcW w:w="832" w:type="dxa"/>
                  <w:vAlign w:val="center"/>
                </w:tcPr>
                <w:p w14:paraId="4528F19A">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3.6</w:t>
                  </w:r>
                </w:p>
              </w:tc>
              <w:tc>
                <w:tcPr>
                  <w:tcW w:w="910" w:type="dxa"/>
                  <w:vAlign w:val="center"/>
                </w:tcPr>
                <w:p w14:paraId="75C41DB1">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sz w:val="21"/>
                      <w:szCs w:val="21"/>
                      <w:u w:val="none"/>
                      <w:lang w:val="en-US" w:eastAsia="zh-CN"/>
                      <w14:textFill>
                        <w14:solidFill>
                          <w14:schemeClr w14:val="tx1"/>
                        </w14:solidFill>
                      </w14:textFill>
                    </w:rPr>
                    <w:t>0.018</w:t>
                  </w:r>
                </w:p>
              </w:tc>
              <w:tc>
                <w:tcPr>
                  <w:tcW w:w="989" w:type="dxa"/>
                  <w:vAlign w:val="center"/>
                </w:tcPr>
                <w:p w14:paraId="127C69AD">
                  <w:pPr>
                    <w:widowControl/>
                    <w:wordWrap/>
                    <w:adjustRightInd/>
                    <w:snapToGrid/>
                    <w:spacing w:beforeAutospacing="0" w:afterAutospacing="0" w:line="360" w:lineRule="exact"/>
                    <w:ind w:left="0" w:leftChars="0" w:right="0" w:rightChars="0"/>
                    <w:jc w:val="center"/>
                    <w:textAlignment w:val="center"/>
                    <w:rPr>
                      <w:rFonts w:hint="default" w:ascii="Times New Roman" w:hAnsi="Times New Roman" w:eastAsia="宋体" w:cs="Times New Roman"/>
                      <w:color w:val="000000" w:themeColor="text1"/>
                      <w:kern w:val="2"/>
                      <w:sz w:val="21"/>
                      <w:szCs w:val="21"/>
                      <w:u w:val="none" w:color="auto"/>
                      <w:lang w:val="en-US" w:eastAsia="zh-CN" w:bidi="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u w:val="none"/>
                      <w:lang w:val="en-US" w:eastAsia="zh-CN"/>
                      <w14:textFill>
                        <w14:solidFill>
                          <w14:schemeClr w14:val="tx1"/>
                        </w14:solidFill>
                      </w14:textFill>
                    </w:rPr>
                    <w:t>0.018</w:t>
                  </w:r>
                </w:p>
              </w:tc>
              <w:tc>
                <w:tcPr>
                  <w:tcW w:w="890" w:type="dxa"/>
                  <w:vAlign w:val="center"/>
                </w:tcPr>
                <w:p w14:paraId="6624D7F2">
                  <w:pPr>
                    <w:pStyle w:val="64"/>
                    <w:wordWrap/>
                    <w:spacing w:line="360" w:lineRule="exact"/>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1</w:t>
                  </w:r>
                </w:p>
              </w:tc>
              <w:tc>
                <w:tcPr>
                  <w:tcW w:w="796" w:type="dxa"/>
                  <w:vAlign w:val="center"/>
                </w:tcPr>
                <w:p w14:paraId="3F66D01B">
                  <w:pPr>
                    <w:wordWrap/>
                    <w:spacing w:beforeAutospacing="0" w:afterAutospacing="0" w:line="360" w:lineRule="exact"/>
                    <w:ind w:left="0" w:leftChars="0" w:right="0"/>
                    <w:jc w:val="center"/>
                    <w:rPr>
                      <w:rFonts w:hint="eastAsia" w:ascii="Times New Roman" w:hAnsi="Times New Roman" w:eastAsia="宋体" w:cs="Times New Roman"/>
                      <w:color w:val="000000"/>
                      <w:kern w:val="2"/>
                      <w:sz w:val="21"/>
                      <w:szCs w:val="21"/>
                      <w:u w:val="none" w:color="auto"/>
                      <w:lang w:val="en-US" w:eastAsia="zh-CN" w:bidi="zh-CN"/>
                    </w:rPr>
                  </w:pPr>
                  <w:r>
                    <w:rPr>
                      <w:rFonts w:hint="eastAsia" w:ascii="Times New Roman" w:hAnsi="Times New Roman" w:eastAsia="宋体" w:cs="Times New Roman"/>
                      <w:color w:val="000000"/>
                      <w:kern w:val="2"/>
                      <w:sz w:val="21"/>
                      <w:szCs w:val="21"/>
                      <w:u w:val="none" w:color="auto"/>
                      <w:lang w:val="en-US" w:eastAsia="zh-CN" w:bidi="zh-CN"/>
                    </w:rPr>
                    <w:t>1次/a</w:t>
                  </w:r>
                </w:p>
              </w:tc>
              <w:tc>
                <w:tcPr>
                  <w:tcW w:w="1334" w:type="dxa"/>
                  <w:vAlign w:val="center"/>
                </w:tcPr>
                <w:p w14:paraId="767EA94F">
                  <w:pPr>
                    <w:pStyle w:val="64"/>
                    <w:wordWrap/>
                    <w:spacing w:line="360" w:lineRule="exact"/>
                    <w:rPr>
                      <w:rFonts w:hint="default" w:ascii="Times New Roman" w:hAnsi="Times New Roman" w:eastAsia="宋体" w:cs="Times New Roman"/>
                      <w:color w:val="C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涉及生产工序立即停产并及时检修</w:t>
                  </w:r>
                </w:p>
              </w:tc>
            </w:tr>
          </w:tbl>
          <w:p w14:paraId="05D0945C">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为防止项目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3FFA9663">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①安排专人负责环保设备的日常维护和管理，每隔固定时间检测、汇报情况，及时发现废气处理设备的隐患，确保废气处理系统正常运行。</w:t>
            </w:r>
          </w:p>
          <w:p w14:paraId="6B64B3E3">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②建立健全的环保管理机构，对环保管理人员的技术人员进行岗位培训，委托具有专业资质的环境监测单位对项目排放的各类污染物进行定期检测；</w:t>
            </w:r>
          </w:p>
          <w:p w14:paraId="0D20FC1E">
            <w:pPr>
              <w:widowControl/>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③定期维护、检修废气净化装置，以保持废气处理装置的净化能力和净化容量。</w:t>
            </w:r>
          </w:p>
          <w:p w14:paraId="36CC64EE">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0" w:leftChars="0" w:right="0" w:firstLine="480" w:firstLineChars="200"/>
              <w:jc w:val="both"/>
              <w:textAlignment w:val="auto"/>
              <w:outlineLvl w:val="9"/>
              <w:rPr>
                <w:rFonts w:hint="default" w:ascii="Times New Roman" w:hAnsi="Times New Roman" w:eastAsia="黑体" w:cs="Times New Roman"/>
                <w:b w:val="0"/>
                <w:bCs w:val="0"/>
                <w:color w:val="auto"/>
                <w:sz w:val="24"/>
                <w:szCs w:val="24"/>
                <w:u w:val="none" w:color="auto"/>
                <w:lang w:val="en-US" w:eastAsia="zh-CN"/>
              </w:rPr>
            </w:pPr>
            <w:r>
              <w:rPr>
                <w:rFonts w:hint="eastAsia" w:ascii="Times New Roman" w:hAnsi="Times New Roman" w:cs="Times New Roman"/>
                <w:b w:val="0"/>
                <w:bCs w:val="0"/>
                <w:sz w:val="24"/>
                <w:szCs w:val="24"/>
                <w:u w:val="none"/>
                <w:lang w:val="en-US" w:eastAsia="zh-CN" w:bidi="zh-CN"/>
              </w:rPr>
              <w:t>根据</w:t>
            </w:r>
            <w:r>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t>《排污单位自行监测技术指南 总则》（HJ 819-2017）</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中对监测指标要求</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，厂区属于非重点排污单位，排放口为一般排放口。监测要求如下。</w:t>
            </w:r>
          </w:p>
          <w:p w14:paraId="63C523FB">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auto"/>
                <w:sz w:val="24"/>
                <w:szCs w:val="24"/>
                <w:u w:val="none" w:color="auto"/>
                <w:lang w:val="en-US"/>
              </w:rPr>
            </w:pPr>
            <w:r>
              <w:rPr>
                <w:rFonts w:hint="eastAsia" w:ascii="Times New Roman" w:hAnsi="Times New Roman" w:eastAsia="黑体" w:cs="Times New Roman"/>
                <w:b w:val="0"/>
                <w:bCs w:val="0"/>
                <w:color w:val="auto"/>
                <w:sz w:val="24"/>
                <w:szCs w:val="24"/>
                <w:u w:val="none" w:color="auto"/>
                <w:lang w:val="en-US"/>
              </w:rPr>
              <w:t>表</w:t>
            </w:r>
            <w:r>
              <w:rPr>
                <w:rFonts w:hint="eastAsia" w:ascii="Times New Roman" w:hAnsi="Times New Roman" w:eastAsia="黑体" w:cs="Times New Roman"/>
                <w:b w:val="0"/>
                <w:bCs w:val="0"/>
                <w:color w:val="auto"/>
                <w:sz w:val="24"/>
                <w:szCs w:val="24"/>
                <w:u w:val="none" w:color="auto"/>
                <w:lang w:val="en-US" w:eastAsia="zh-CN"/>
              </w:rPr>
              <w:t>4-9</w:t>
            </w:r>
            <w:r>
              <w:rPr>
                <w:rFonts w:hint="eastAsia" w:ascii="Times New Roman" w:hAnsi="Times New Roman" w:eastAsia="黑体" w:cs="Times New Roman"/>
                <w:b w:val="0"/>
                <w:bCs w:val="0"/>
                <w:color w:val="auto"/>
                <w:sz w:val="24"/>
                <w:szCs w:val="24"/>
                <w:u w:val="none" w:color="auto"/>
                <w:lang w:val="en-US"/>
              </w:rPr>
              <w:t xml:space="preserve">  </w:t>
            </w:r>
            <w:r>
              <w:rPr>
                <w:rFonts w:hint="eastAsia" w:ascii="Times New Roman" w:hAnsi="Times New Roman" w:eastAsia="黑体" w:cs="Times New Roman"/>
                <w:b w:val="0"/>
                <w:bCs w:val="0"/>
                <w:color w:val="auto"/>
                <w:sz w:val="24"/>
                <w:szCs w:val="24"/>
                <w:u w:val="none" w:color="auto"/>
                <w:lang w:val="en-US" w:eastAsia="zh-CN"/>
              </w:rPr>
              <w:t>本工程排放口基本信息及监测要求一览表</w:t>
            </w:r>
          </w:p>
          <w:tbl>
            <w:tblPr>
              <w:tblStyle w:val="24"/>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838"/>
              <w:gridCol w:w="906"/>
              <w:gridCol w:w="748"/>
              <w:gridCol w:w="797"/>
              <w:gridCol w:w="766"/>
              <w:gridCol w:w="1585"/>
              <w:gridCol w:w="867"/>
              <w:gridCol w:w="826"/>
            </w:tblGrid>
            <w:tr w14:paraId="31B9C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37" w:type="dxa"/>
                  <w:tcBorders>
                    <w:tl2br w:val="nil"/>
                    <w:tr2bl w:val="nil"/>
                  </w:tcBorders>
                  <w:vAlign w:val="center"/>
                </w:tcPr>
                <w:p w14:paraId="1298BC22">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名称</w:t>
                  </w:r>
                </w:p>
              </w:tc>
              <w:tc>
                <w:tcPr>
                  <w:tcW w:w="838" w:type="dxa"/>
                  <w:tcBorders>
                    <w:tl2br w:val="nil"/>
                    <w:tr2bl w:val="nil"/>
                  </w:tcBorders>
                  <w:vAlign w:val="center"/>
                </w:tcPr>
                <w:p w14:paraId="20EF582E">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宋体"/>
                      <w:b w:val="0"/>
                      <w:bCs w:val="0"/>
                      <w:color w:val="000000"/>
                      <w:sz w:val="21"/>
                      <w:szCs w:val="21"/>
                      <w:u w:val="none" w:color="auto"/>
                      <w:lang w:val="en-US"/>
                    </w:rPr>
                  </w:pPr>
                  <w:r>
                    <w:rPr>
                      <w:rFonts w:hint="eastAsia" w:ascii="Times New Roman" w:hAnsi="Times New Roman" w:eastAsia="宋体" w:cs="宋体"/>
                      <w:b w:val="0"/>
                      <w:bCs w:val="0"/>
                      <w:color w:val="000000"/>
                      <w:sz w:val="21"/>
                      <w:szCs w:val="21"/>
                      <w:u w:val="none" w:color="auto"/>
                      <w:lang w:val="en-US"/>
                    </w:rPr>
                    <w:t>监测点位</w:t>
                  </w:r>
                </w:p>
              </w:tc>
              <w:tc>
                <w:tcPr>
                  <w:tcW w:w="906" w:type="dxa"/>
                  <w:tcBorders>
                    <w:tl2br w:val="nil"/>
                    <w:tr2bl w:val="nil"/>
                  </w:tcBorders>
                  <w:vAlign w:val="center"/>
                </w:tcPr>
                <w:p w14:paraId="2ACE42D4">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排放口类型</w:t>
                  </w:r>
                </w:p>
              </w:tc>
              <w:tc>
                <w:tcPr>
                  <w:tcW w:w="748" w:type="dxa"/>
                  <w:tcBorders>
                    <w:tl2br w:val="nil"/>
                    <w:tr2bl w:val="nil"/>
                  </w:tcBorders>
                  <w:vAlign w:val="center"/>
                </w:tcPr>
                <w:p w14:paraId="65B9B014">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高度</w:t>
                  </w:r>
                </w:p>
              </w:tc>
              <w:tc>
                <w:tcPr>
                  <w:tcW w:w="797" w:type="dxa"/>
                  <w:tcBorders>
                    <w:tl2br w:val="nil"/>
                    <w:tr2bl w:val="nil"/>
                  </w:tcBorders>
                  <w:vAlign w:val="center"/>
                </w:tcPr>
                <w:p w14:paraId="7986DDD7">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内径</w:t>
                  </w:r>
                </w:p>
              </w:tc>
              <w:tc>
                <w:tcPr>
                  <w:tcW w:w="766" w:type="dxa"/>
                  <w:tcBorders>
                    <w:tl2br w:val="nil"/>
                    <w:tr2bl w:val="nil"/>
                  </w:tcBorders>
                  <w:vAlign w:val="center"/>
                </w:tcPr>
                <w:p w14:paraId="48A8B2B8">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温度</w:t>
                  </w:r>
                </w:p>
              </w:tc>
              <w:tc>
                <w:tcPr>
                  <w:tcW w:w="1585" w:type="dxa"/>
                  <w:tcBorders>
                    <w:tl2br w:val="nil"/>
                    <w:tr2bl w:val="nil"/>
                  </w:tcBorders>
                  <w:vAlign w:val="center"/>
                </w:tcPr>
                <w:p w14:paraId="29EAF551">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b w:val="0"/>
                      <w:bCs w:val="0"/>
                      <w:color w:val="000000"/>
                      <w:sz w:val="21"/>
                      <w:szCs w:val="21"/>
                      <w:u w:val="none" w:color="auto"/>
                      <w:lang w:val="en-US" w:eastAsia="zh-CN"/>
                    </w:rPr>
                  </w:pPr>
                  <w:r>
                    <w:rPr>
                      <w:rFonts w:hint="eastAsia" w:ascii="Times New Roman" w:hAnsi="Times New Roman" w:cs="宋体"/>
                      <w:b w:val="0"/>
                      <w:bCs w:val="0"/>
                      <w:color w:val="000000"/>
                      <w:sz w:val="21"/>
                      <w:szCs w:val="21"/>
                      <w:u w:val="none" w:color="auto"/>
                      <w:lang w:val="en-US" w:eastAsia="zh-CN"/>
                    </w:rPr>
                    <w:t>坐标</w:t>
                  </w:r>
                </w:p>
              </w:tc>
              <w:tc>
                <w:tcPr>
                  <w:tcW w:w="867" w:type="dxa"/>
                  <w:tcBorders>
                    <w:tl2br w:val="nil"/>
                    <w:tr2bl w:val="nil"/>
                  </w:tcBorders>
                  <w:vAlign w:val="center"/>
                </w:tcPr>
                <w:p w14:paraId="58DF80DE">
                  <w:pPr>
                    <w:widowControl/>
                    <w:wordWrap/>
                    <w:autoSpaceDE w:val="0"/>
                    <w:autoSpaceDN w:val="0"/>
                    <w:adjustRightInd/>
                    <w:snapToGrid/>
                    <w:spacing w:beforeAutospacing="0" w:afterAutospacing="0" w:line="360" w:lineRule="exact"/>
                    <w:ind w:left="0" w:leftChars="0" w:right="0" w:firstLine="0" w:firstLineChars="0"/>
                    <w:jc w:val="center"/>
                    <w:textAlignment w:val="auto"/>
                    <w:rPr>
                      <w:rFonts w:hint="eastAsia" w:ascii="Times New Roman" w:hAnsi="Times New Roman" w:eastAsia="宋体" w:cs="宋体"/>
                      <w:b w:val="0"/>
                      <w:bCs w:val="0"/>
                      <w:color w:val="000000"/>
                      <w:sz w:val="21"/>
                      <w:szCs w:val="21"/>
                      <w:u w:val="none" w:color="auto"/>
                      <w:lang w:val="en-US"/>
                    </w:rPr>
                  </w:pPr>
                  <w:r>
                    <w:rPr>
                      <w:rFonts w:hint="eastAsia" w:ascii="Times New Roman" w:hAnsi="Times New Roman" w:eastAsia="宋体" w:cs="宋体"/>
                      <w:b w:val="0"/>
                      <w:bCs w:val="0"/>
                      <w:color w:val="000000"/>
                      <w:sz w:val="21"/>
                      <w:szCs w:val="21"/>
                      <w:u w:val="none" w:color="auto"/>
                      <w:lang w:val="en-US"/>
                    </w:rPr>
                    <w:t>监测</w:t>
                  </w:r>
                  <w:r>
                    <w:rPr>
                      <w:rFonts w:hint="eastAsia" w:ascii="Times New Roman" w:hAnsi="Times New Roman" w:cs="宋体"/>
                      <w:b w:val="0"/>
                      <w:bCs w:val="0"/>
                      <w:color w:val="000000"/>
                      <w:sz w:val="21"/>
                      <w:szCs w:val="21"/>
                      <w:u w:val="none" w:color="auto"/>
                      <w:lang w:val="en-US" w:eastAsia="zh-CN"/>
                    </w:rPr>
                    <w:t>因子</w:t>
                  </w:r>
                </w:p>
              </w:tc>
              <w:tc>
                <w:tcPr>
                  <w:tcW w:w="826" w:type="dxa"/>
                  <w:tcBorders>
                    <w:tl2br w:val="nil"/>
                    <w:tr2bl w:val="nil"/>
                  </w:tcBorders>
                  <w:vAlign w:val="center"/>
                </w:tcPr>
                <w:p w14:paraId="12DF9675">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val="0"/>
                      <w:bCs w:val="0"/>
                      <w:color w:val="000000"/>
                      <w:sz w:val="21"/>
                      <w:szCs w:val="21"/>
                      <w:u w:val="none" w:color="auto"/>
                      <w:lang w:val="en-US"/>
                    </w:rPr>
                  </w:pPr>
                  <w:r>
                    <w:rPr>
                      <w:rFonts w:hint="eastAsia" w:ascii="Times New Roman" w:hAnsi="Times New Roman" w:eastAsia="宋体" w:cs="宋体"/>
                      <w:b w:val="0"/>
                      <w:bCs w:val="0"/>
                      <w:color w:val="000000"/>
                      <w:sz w:val="21"/>
                      <w:szCs w:val="21"/>
                      <w:u w:val="none" w:color="auto"/>
                      <w:lang w:val="en-US"/>
                    </w:rPr>
                    <w:t>监测频次</w:t>
                  </w:r>
                </w:p>
              </w:tc>
            </w:tr>
            <w:tr w14:paraId="415E9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37" w:type="dxa"/>
                  <w:tcBorders>
                    <w:tl2br w:val="nil"/>
                    <w:tr2bl w:val="nil"/>
                  </w:tcBorders>
                  <w:vAlign w:val="center"/>
                </w:tcPr>
                <w:p w14:paraId="77716B6B">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themeColor="text1"/>
                      <w:sz w:val="21"/>
                      <w:szCs w:val="21"/>
                      <w:u w:val="none" w:color="auto"/>
                      <w:lang w:val="en-US"/>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#排气筒</w:t>
                  </w:r>
                </w:p>
              </w:tc>
              <w:tc>
                <w:tcPr>
                  <w:tcW w:w="838" w:type="dxa"/>
                  <w:tcBorders>
                    <w:tl2br w:val="nil"/>
                    <w:tr2bl w:val="nil"/>
                  </w:tcBorders>
                  <w:vAlign w:val="center"/>
                </w:tcPr>
                <w:p w14:paraId="45B3541D">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DA00</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1</w:t>
                  </w:r>
                </w:p>
              </w:tc>
              <w:tc>
                <w:tcPr>
                  <w:tcW w:w="906" w:type="dxa"/>
                  <w:tcBorders>
                    <w:tl2br w:val="nil"/>
                    <w:tr2bl w:val="nil"/>
                  </w:tcBorders>
                  <w:vAlign w:val="center"/>
                </w:tcPr>
                <w:p w14:paraId="5DBB594D">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一般排放口</w:t>
                  </w:r>
                </w:p>
              </w:tc>
              <w:tc>
                <w:tcPr>
                  <w:tcW w:w="748" w:type="dxa"/>
                  <w:tcBorders>
                    <w:tl2br w:val="nil"/>
                    <w:tr2bl w:val="nil"/>
                  </w:tcBorders>
                  <w:vAlign w:val="center"/>
                </w:tcPr>
                <w:p w14:paraId="1A68B414">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15m</w:t>
                  </w:r>
                </w:p>
              </w:tc>
              <w:tc>
                <w:tcPr>
                  <w:tcW w:w="797" w:type="dxa"/>
                  <w:tcBorders>
                    <w:tl2br w:val="nil"/>
                    <w:tr2bl w:val="nil"/>
                  </w:tcBorders>
                  <w:vAlign w:val="center"/>
                </w:tcPr>
                <w:p w14:paraId="48262D23">
                  <w:pPr>
                    <w:pStyle w:val="1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0.3m</w:t>
                  </w:r>
                </w:p>
              </w:tc>
              <w:tc>
                <w:tcPr>
                  <w:tcW w:w="766" w:type="dxa"/>
                  <w:tcBorders>
                    <w:tl2br w:val="nil"/>
                    <w:tr2bl w:val="nil"/>
                  </w:tcBorders>
                  <w:vAlign w:val="center"/>
                </w:tcPr>
                <w:p w14:paraId="57D291A1">
                  <w:pPr>
                    <w:pStyle w:val="10"/>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20℃</w:t>
                  </w:r>
                </w:p>
              </w:tc>
              <w:tc>
                <w:tcPr>
                  <w:tcW w:w="1585" w:type="dxa"/>
                  <w:tcBorders>
                    <w:tl2br w:val="nil"/>
                    <w:tr2bl w:val="nil"/>
                  </w:tcBorders>
                  <w:vAlign w:val="center"/>
                </w:tcPr>
                <w:p w14:paraId="4D6146D3">
                  <w:pPr>
                    <w:widowControl/>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E113.818536，N34.069978</w:t>
                  </w:r>
                </w:p>
              </w:tc>
              <w:tc>
                <w:tcPr>
                  <w:tcW w:w="867" w:type="dxa"/>
                  <w:tcBorders>
                    <w:tl2br w:val="nil"/>
                    <w:tr2bl w:val="nil"/>
                  </w:tcBorders>
                  <w:vAlign w:val="center"/>
                </w:tcPr>
                <w:p w14:paraId="21FC9FCF">
                  <w:pPr>
                    <w:widowControl/>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非甲烷总烃</w:t>
                  </w:r>
                </w:p>
              </w:tc>
              <w:tc>
                <w:tcPr>
                  <w:tcW w:w="826" w:type="dxa"/>
                  <w:vMerge w:val="restart"/>
                  <w:tcBorders>
                    <w:tl2br w:val="nil"/>
                    <w:tr2bl w:val="nil"/>
                  </w:tcBorders>
                  <w:vAlign w:val="center"/>
                </w:tcPr>
                <w:p w14:paraId="0AC3DC8A">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olor w:val="000000" w:themeColor="text1"/>
                      <w:sz w:val="21"/>
                      <w:szCs w:val="21"/>
                      <w:u w:val="none" w:color="auto"/>
                      <w14:textFill>
                        <w14:solidFill>
                          <w14:schemeClr w14:val="tx1"/>
                        </w14:solidFill>
                      </w14:textFill>
                    </w:rPr>
                    <w:t>1</w:t>
                  </w:r>
                  <w:r>
                    <w:rPr>
                      <w:rFonts w:hint="eastAsia" w:ascii="Times New Roman" w:hAnsi="Times New Roman"/>
                      <w:color w:val="000000" w:themeColor="text1"/>
                      <w:sz w:val="21"/>
                      <w:szCs w:val="21"/>
                      <w:u w:val="none" w:color="auto"/>
                      <w:lang w:val="en-US" w:eastAsia="zh-CN"/>
                      <w14:textFill>
                        <w14:solidFill>
                          <w14:schemeClr w14:val="tx1"/>
                        </w14:solidFill>
                      </w14:textFill>
                    </w:rPr>
                    <w:t>次</w:t>
                  </w:r>
                  <w:r>
                    <w:rPr>
                      <w:rFonts w:hint="default" w:ascii="Times New Roman" w:hAnsi="Times New Roman" w:eastAsia="宋体"/>
                      <w:color w:val="000000" w:themeColor="text1"/>
                      <w:sz w:val="21"/>
                      <w:szCs w:val="21"/>
                      <w:u w:val="none" w:color="auto"/>
                      <w14:textFill>
                        <w14:solidFill>
                          <w14:schemeClr w14:val="tx1"/>
                        </w14:solidFill>
                      </w14:textFill>
                    </w:rPr>
                    <w:t>/年</w:t>
                  </w:r>
                </w:p>
              </w:tc>
            </w:tr>
            <w:tr w14:paraId="609B4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08E311DC">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厂内无组织</w:t>
                  </w:r>
                </w:p>
              </w:tc>
              <w:tc>
                <w:tcPr>
                  <w:tcW w:w="838" w:type="dxa"/>
                  <w:tcBorders>
                    <w:tl2br w:val="nil"/>
                    <w:tr2bl w:val="nil"/>
                  </w:tcBorders>
                  <w:vAlign w:val="center"/>
                </w:tcPr>
                <w:p w14:paraId="50630455">
                  <w:pPr>
                    <w:pStyle w:val="1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生产车间下风向1m</w:t>
                  </w:r>
                </w:p>
              </w:tc>
              <w:tc>
                <w:tcPr>
                  <w:tcW w:w="906" w:type="dxa"/>
                  <w:tcBorders>
                    <w:tl2br w:val="nil"/>
                    <w:tr2bl w:val="nil"/>
                  </w:tcBorders>
                  <w:vAlign w:val="center"/>
                </w:tcPr>
                <w:p w14:paraId="0814E818">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48" w:type="dxa"/>
                  <w:tcBorders>
                    <w:tl2br w:val="nil"/>
                    <w:tr2bl w:val="nil"/>
                  </w:tcBorders>
                  <w:vAlign w:val="center"/>
                </w:tcPr>
                <w:p w14:paraId="41584F70">
                  <w:pPr>
                    <w:pStyle w:val="10"/>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w:t>
                  </w:r>
                </w:p>
              </w:tc>
              <w:tc>
                <w:tcPr>
                  <w:tcW w:w="797" w:type="dxa"/>
                  <w:tcBorders>
                    <w:tl2br w:val="nil"/>
                    <w:tr2bl w:val="nil"/>
                  </w:tcBorders>
                  <w:vAlign w:val="center"/>
                </w:tcPr>
                <w:p w14:paraId="31948F61">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766" w:type="dxa"/>
                  <w:tcBorders>
                    <w:tl2br w:val="nil"/>
                    <w:tr2bl w:val="nil"/>
                  </w:tcBorders>
                  <w:vAlign w:val="center"/>
                </w:tcPr>
                <w:p w14:paraId="6CB6615C">
                  <w:pPr>
                    <w:widowControl/>
                    <w:wordWrap/>
                    <w:autoSpaceDE w:val="0"/>
                    <w:autoSpaceDN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1585" w:type="dxa"/>
                  <w:tcBorders>
                    <w:tl2br w:val="nil"/>
                    <w:tr2bl w:val="nil"/>
                  </w:tcBorders>
                  <w:vAlign w:val="center"/>
                </w:tcPr>
                <w:p w14:paraId="7815DA5D">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w:t>
                  </w:r>
                </w:p>
              </w:tc>
              <w:tc>
                <w:tcPr>
                  <w:tcW w:w="867" w:type="dxa"/>
                  <w:tcBorders>
                    <w:tl2br w:val="nil"/>
                    <w:tr2bl w:val="nil"/>
                  </w:tcBorders>
                  <w:vAlign w:val="center"/>
                </w:tcPr>
                <w:p w14:paraId="08EF78B4">
                  <w:pPr>
                    <w:widowControl/>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cs="宋体"/>
                      <w:color w:val="000000" w:themeColor="text1"/>
                      <w:sz w:val="21"/>
                      <w:szCs w:val="21"/>
                      <w:u w:val="none" w:color="auto"/>
                      <w:lang w:val="en-US" w:eastAsia="zh-CN"/>
                      <w14:textFill>
                        <w14:solidFill>
                          <w14:schemeClr w14:val="tx1"/>
                        </w14:solidFill>
                      </w14:textFill>
                    </w:rPr>
                    <w:t>非甲烷总烃</w:t>
                  </w:r>
                </w:p>
              </w:tc>
              <w:tc>
                <w:tcPr>
                  <w:tcW w:w="826" w:type="dxa"/>
                  <w:vMerge w:val="continue"/>
                  <w:tcBorders>
                    <w:tl2br w:val="nil"/>
                    <w:tr2bl w:val="nil"/>
                  </w:tcBorders>
                  <w:vAlign w:val="center"/>
                </w:tcPr>
                <w:p w14:paraId="14255E77">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p>
              </w:tc>
            </w:tr>
            <w:tr w14:paraId="4A7D4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tcBorders>
                    <w:tl2br w:val="nil"/>
                    <w:tr2bl w:val="nil"/>
                  </w:tcBorders>
                  <w:vAlign w:val="center"/>
                </w:tcPr>
                <w:p w14:paraId="48365F79">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color="auto"/>
                      <w:lang w:val="en-US" w:eastAsia="zh-CN"/>
                    </w:rPr>
                  </w:pPr>
                  <w:r>
                    <w:rPr>
                      <w:rFonts w:hint="eastAsia" w:ascii="Times New Roman" w:hAnsi="Times New Roman" w:eastAsia="宋体" w:cs="宋体"/>
                      <w:color w:val="000000"/>
                      <w:sz w:val="21"/>
                      <w:szCs w:val="21"/>
                      <w:u w:val="none" w:color="auto"/>
                      <w:lang w:val="en-US" w:eastAsia="zh-CN"/>
                    </w:rPr>
                    <w:t>厂界无组织</w:t>
                  </w:r>
                </w:p>
              </w:tc>
              <w:tc>
                <w:tcPr>
                  <w:tcW w:w="838" w:type="dxa"/>
                  <w:tcBorders>
                    <w:tl2br w:val="nil"/>
                    <w:tr2bl w:val="nil"/>
                  </w:tcBorders>
                  <w:vAlign w:val="center"/>
                </w:tcPr>
                <w:p w14:paraId="0F3466EF">
                  <w:pPr>
                    <w:pStyle w:val="10"/>
                    <w:widowControl/>
                    <w:wordWrap/>
                    <w:autoSpaceDE w:val="0"/>
                    <w:autoSpaceDN w:val="0"/>
                    <w:adjustRightInd/>
                    <w:snapToGrid/>
                    <w:spacing w:before="0" w:beforeAutospacing="0" w:after="0" w:afterAutospacing="0" w:line="360" w:lineRule="exact"/>
                    <w:ind w:left="0" w:leftChars="0" w:right="0" w:firstLine="0" w:firstLineChars="0"/>
                    <w:jc w:val="both"/>
                    <w:textAlignment w:val="auto"/>
                    <w:rPr>
                      <w:rFonts w:hint="default" w:ascii="Times New Roman" w:hAnsi="Times New Roman" w:eastAsia="宋体" w:cs="宋体"/>
                      <w:color w:val="000000"/>
                      <w:sz w:val="21"/>
                      <w:szCs w:val="21"/>
                      <w:u w:val="none" w:color="auto"/>
                      <w:lang w:val="en-US" w:eastAsia="zh-CN"/>
                    </w:rPr>
                  </w:pPr>
                  <w:r>
                    <w:rPr>
                      <w:rFonts w:hint="eastAsia" w:ascii="Times New Roman" w:hAnsi="Times New Roman" w:eastAsia="宋体" w:cs="宋体"/>
                      <w:color w:val="000000"/>
                      <w:sz w:val="21"/>
                      <w:szCs w:val="21"/>
                      <w:u w:val="none" w:color="auto"/>
                      <w:lang w:val="en-US" w:eastAsia="zh-CN"/>
                    </w:rPr>
                    <w:t>厂界上风向1m处1个点位，下风向1m处3个点位</w:t>
                  </w:r>
                </w:p>
              </w:tc>
              <w:tc>
                <w:tcPr>
                  <w:tcW w:w="906" w:type="dxa"/>
                  <w:tcBorders>
                    <w:tl2br w:val="nil"/>
                    <w:tr2bl w:val="nil"/>
                  </w:tcBorders>
                  <w:vAlign w:val="center"/>
                </w:tcPr>
                <w:p w14:paraId="6FA8B5D3">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eastAsia" w:ascii="Times New Roman" w:hAnsi="Times New Roman" w:eastAsia="宋体" w:cs="宋体"/>
                      <w:color w:val="000000"/>
                      <w:sz w:val="21"/>
                      <w:szCs w:val="21"/>
                      <w:u w:val="none" w:color="auto"/>
                      <w:lang w:val="en-US" w:eastAsia="zh-CN"/>
                    </w:rPr>
                  </w:pPr>
                  <w:r>
                    <w:rPr>
                      <w:rFonts w:hint="eastAsia" w:ascii="Times New Roman" w:hAnsi="Times New Roman" w:eastAsia="宋体" w:cs="宋体"/>
                      <w:color w:val="000000"/>
                      <w:sz w:val="21"/>
                      <w:szCs w:val="21"/>
                      <w:u w:val="none" w:color="auto"/>
                      <w:lang w:val="en-US" w:eastAsia="zh-CN"/>
                    </w:rPr>
                    <w:t>/</w:t>
                  </w:r>
                </w:p>
              </w:tc>
              <w:tc>
                <w:tcPr>
                  <w:tcW w:w="748" w:type="dxa"/>
                  <w:tcBorders>
                    <w:tl2br w:val="nil"/>
                    <w:tr2bl w:val="nil"/>
                  </w:tcBorders>
                  <w:vAlign w:val="center"/>
                </w:tcPr>
                <w:p w14:paraId="46F259F0">
                  <w:pPr>
                    <w:pStyle w:val="10"/>
                    <w:widowControl/>
                    <w:wordWrap/>
                    <w:autoSpaceDE w:val="0"/>
                    <w:autoSpaceDN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color="auto"/>
                      <w:lang w:val="en-US" w:eastAsia="zh-CN"/>
                    </w:rPr>
                  </w:pPr>
                  <w:r>
                    <w:rPr>
                      <w:rFonts w:hint="eastAsia" w:ascii="Times New Roman" w:hAnsi="Times New Roman" w:eastAsia="宋体" w:cs="宋体"/>
                      <w:color w:val="000000"/>
                      <w:sz w:val="21"/>
                      <w:szCs w:val="21"/>
                      <w:u w:val="none" w:color="auto"/>
                      <w:lang w:val="en-US" w:eastAsia="zh-CN"/>
                    </w:rPr>
                    <w:t>/</w:t>
                  </w:r>
                </w:p>
              </w:tc>
              <w:tc>
                <w:tcPr>
                  <w:tcW w:w="797" w:type="dxa"/>
                  <w:tcBorders>
                    <w:tl2br w:val="nil"/>
                    <w:tr2bl w:val="nil"/>
                  </w:tcBorders>
                  <w:vAlign w:val="center"/>
                </w:tcPr>
                <w:p w14:paraId="6C4610EA">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sz w:val="21"/>
                      <w:szCs w:val="21"/>
                      <w:u w:val="none" w:color="auto"/>
                      <w:lang w:val="en-US" w:eastAsia="zh-CN"/>
                    </w:rPr>
                  </w:pPr>
                  <w:r>
                    <w:rPr>
                      <w:rFonts w:hint="eastAsia" w:ascii="Times New Roman" w:hAnsi="Times New Roman" w:cs="宋体"/>
                      <w:color w:val="000000"/>
                      <w:sz w:val="21"/>
                      <w:szCs w:val="21"/>
                      <w:u w:val="none" w:color="auto"/>
                      <w:lang w:val="en-US" w:eastAsia="zh-CN"/>
                    </w:rPr>
                    <w:t>/</w:t>
                  </w:r>
                </w:p>
              </w:tc>
              <w:tc>
                <w:tcPr>
                  <w:tcW w:w="766" w:type="dxa"/>
                  <w:tcBorders>
                    <w:tl2br w:val="nil"/>
                    <w:tr2bl w:val="nil"/>
                  </w:tcBorders>
                  <w:vAlign w:val="center"/>
                </w:tcPr>
                <w:p w14:paraId="338553F0">
                  <w:pPr>
                    <w:widowControl/>
                    <w:wordWrap/>
                    <w:autoSpaceDE w:val="0"/>
                    <w:autoSpaceDN w:val="0"/>
                    <w:adjustRightInd/>
                    <w:snapToGrid/>
                    <w:spacing w:before="0" w:beforeAutospacing="0" w:after="0" w:afterAutospacing="0" w:line="360" w:lineRule="exact"/>
                    <w:ind w:left="0" w:leftChars="0" w:right="0" w:firstLine="0" w:firstLineChars="0"/>
                    <w:jc w:val="center"/>
                    <w:textAlignment w:val="auto"/>
                    <w:rPr>
                      <w:rFonts w:hint="eastAsia" w:ascii="Times New Roman" w:hAnsi="Times New Roman" w:eastAsia="宋体" w:cs="宋体"/>
                      <w:color w:val="000000"/>
                      <w:sz w:val="21"/>
                      <w:szCs w:val="21"/>
                      <w:u w:val="none" w:color="auto"/>
                      <w:lang w:val="en-US" w:eastAsia="zh-CN"/>
                    </w:rPr>
                  </w:pPr>
                  <w:r>
                    <w:rPr>
                      <w:rFonts w:hint="eastAsia" w:ascii="Times New Roman" w:hAnsi="Times New Roman" w:cs="宋体"/>
                      <w:color w:val="000000"/>
                      <w:sz w:val="21"/>
                      <w:szCs w:val="21"/>
                      <w:u w:val="none" w:color="auto"/>
                      <w:lang w:val="en-US" w:eastAsia="zh-CN"/>
                    </w:rPr>
                    <w:t>/</w:t>
                  </w:r>
                </w:p>
              </w:tc>
              <w:tc>
                <w:tcPr>
                  <w:tcW w:w="1585" w:type="dxa"/>
                  <w:tcBorders>
                    <w:tl2br w:val="nil"/>
                    <w:tr2bl w:val="nil"/>
                  </w:tcBorders>
                  <w:vAlign w:val="center"/>
                </w:tcPr>
                <w:p w14:paraId="6AB6BCFD">
                  <w:pPr>
                    <w:widowControl/>
                    <w:wordWrap/>
                    <w:autoSpaceDE w:val="0"/>
                    <w:autoSpaceDN w:val="0"/>
                    <w:adjustRightInd/>
                    <w:snapToGrid/>
                    <w:spacing w:beforeAutospacing="0" w:afterAutospacing="0" w:line="360" w:lineRule="exact"/>
                    <w:ind w:right="0" w:firstLine="0" w:firstLineChars="0"/>
                    <w:jc w:val="center"/>
                    <w:textAlignment w:val="auto"/>
                    <w:rPr>
                      <w:rFonts w:hint="default" w:ascii="Times New Roman" w:hAnsi="Times New Roman" w:cs="宋体"/>
                      <w:color w:val="000000"/>
                      <w:sz w:val="21"/>
                      <w:szCs w:val="21"/>
                      <w:u w:val="none" w:color="auto"/>
                      <w:lang w:val="en-US" w:eastAsia="zh-CN"/>
                    </w:rPr>
                  </w:pPr>
                  <w:r>
                    <w:rPr>
                      <w:rFonts w:hint="eastAsia" w:ascii="Times New Roman" w:hAnsi="Times New Roman" w:cs="宋体"/>
                      <w:color w:val="000000"/>
                      <w:sz w:val="21"/>
                      <w:szCs w:val="21"/>
                      <w:u w:val="none" w:color="auto"/>
                      <w:lang w:val="en-US" w:eastAsia="zh-CN"/>
                    </w:rPr>
                    <w:t>/</w:t>
                  </w:r>
                </w:p>
              </w:tc>
              <w:tc>
                <w:tcPr>
                  <w:tcW w:w="867" w:type="dxa"/>
                  <w:tcBorders>
                    <w:tl2br w:val="nil"/>
                    <w:tr2bl w:val="nil"/>
                  </w:tcBorders>
                  <w:vAlign w:val="center"/>
                </w:tcPr>
                <w:p w14:paraId="2A9B8C3D">
                  <w:pPr>
                    <w:widowControl/>
                    <w:wordWrap/>
                    <w:autoSpaceDE w:val="0"/>
                    <w:autoSpaceDN w:val="0"/>
                    <w:adjustRightInd/>
                    <w:snapToGrid/>
                    <w:spacing w:beforeAutospacing="0" w:afterAutospacing="0" w:line="360" w:lineRule="exact"/>
                    <w:ind w:left="0" w:leftChars="0" w:right="0" w:firstLine="0" w:firstLineChars="0"/>
                    <w:jc w:val="both"/>
                    <w:textAlignment w:val="auto"/>
                    <w:rPr>
                      <w:rFonts w:hint="default" w:ascii="Times New Roman" w:hAnsi="Times New Roman" w:cs="宋体"/>
                      <w:color w:val="000000"/>
                      <w:sz w:val="21"/>
                      <w:szCs w:val="21"/>
                      <w:u w:val="none" w:color="auto"/>
                      <w:lang w:val="en-US" w:eastAsia="zh-CN"/>
                    </w:rPr>
                  </w:pPr>
                  <w:r>
                    <w:rPr>
                      <w:rFonts w:hint="eastAsia" w:ascii="Times New Roman" w:hAnsi="Times New Roman" w:cs="宋体"/>
                      <w:color w:val="000000"/>
                      <w:sz w:val="21"/>
                      <w:szCs w:val="21"/>
                      <w:u w:val="none" w:color="auto"/>
                      <w:lang w:val="en-US" w:eastAsia="zh-CN"/>
                    </w:rPr>
                    <w:t>非甲烷总烃、颗粒物</w:t>
                  </w:r>
                </w:p>
              </w:tc>
              <w:tc>
                <w:tcPr>
                  <w:tcW w:w="826" w:type="dxa"/>
                  <w:vMerge w:val="continue"/>
                  <w:tcBorders>
                    <w:tl2br w:val="nil"/>
                    <w:tr2bl w:val="nil"/>
                  </w:tcBorders>
                  <w:vAlign w:val="center"/>
                </w:tcPr>
                <w:p w14:paraId="77192356">
                  <w:pPr>
                    <w:widowControl/>
                    <w:wordWrap/>
                    <w:autoSpaceDE w:val="0"/>
                    <w:autoSpaceDN w:val="0"/>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sz w:val="21"/>
                      <w:szCs w:val="21"/>
                      <w:u w:val="none" w:color="auto"/>
                      <w:lang w:val="en-US" w:eastAsia="zh-CN"/>
                    </w:rPr>
                  </w:pPr>
                </w:p>
              </w:tc>
            </w:tr>
          </w:tbl>
          <w:p w14:paraId="2FD46421">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left"/>
              <w:textAlignment w:val="auto"/>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4、分析废气排放的环境影响</w:t>
            </w:r>
          </w:p>
          <w:p w14:paraId="42D8649C">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color w:val="000000" w:themeColor="text1"/>
                <w:sz w:val="24"/>
                <w:szCs w:val="24"/>
                <w:u w:val="none" w:color="auto"/>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本项目废气主要为非甲烷总烃、颗粒物，项目所在区域</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2.5</w:t>
            </w:r>
            <w:r>
              <w:rPr>
                <w:rFonts w:hint="default" w:ascii="Times New Roman" w:hAnsi="Times New Roman"/>
                <w:color w:val="000000" w:themeColor="text1"/>
                <w:sz w:val="24"/>
                <w:szCs w:val="20"/>
                <w14:textFill>
                  <w14:solidFill>
                    <w14:schemeClr w14:val="tx1"/>
                  </w14:solidFill>
                </w14:textFill>
              </w:rPr>
              <w:t>、PM</w:t>
            </w:r>
            <w:r>
              <w:rPr>
                <w:rFonts w:hint="default" w:ascii="Times New Roman" w:hAnsi="Times New Roman"/>
                <w:color w:val="000000" w:themeColor="text1"/>
                <w:sz w:val="24"/>
                <w:szCs w:val="20"/>
                <w:vertAlign w:val="subscript"/>
                <w14:textFill>
                  <w14:solidFill>
                    <w14:schemeClr w14:val="tx1"/>
                  </w14:solidFill>
                </w14:textFill>
              </w:rPr>
              <w:t>10</w:t>
            </w:r>
            <w:r>
              <w:rPr>
                <w:rFonts w:hint="eastAsia" w:ascii="Times New Roman" w:hAnsi="Times New Roman"/>
                <w:color w:val="000000" w:themeColor="text1"/>
                <w:sz w:val="24"/>
                <w:szCs w:val="20"/>
                <w:vertAlign w:val="baseline"/>
                <w:lang w:eastAsia="zh-CN"/>
                <w14:textFill>
                  <w14:solidFill>
                    <w14:schemeClr w14:val="tx1"/>
                  </w14:solidFill>
                </w14:textFill>
              </w:rPr>
              <w:t>、</w:t>
            </w:r>
            <w:r>
              <w:rPr>
                <w:rFonts w:hint="default" w:ascii="Times New Roman" w:hAnsi="Times New Roman"/>
                <w:color w:val="000000" w:themeColor="text1"/>
                <w:sz w:val="24"/>
                <w:szCs w:val="20"/>
                <w14:textFill>
                  <w14:solidFill>
                    <w14:schemeClr w14:val="tx1"/>
                  </w14:solidFill>
                </w14:textFill>
              </w:rPr>
              <w:t>O</w:t>
            </w:r>
            <w:r>
              <w:rPr>
                <w:rFonts w:hint="default" w:ascii="Times New Roman" w:hAnsi="Times New Roman"/>
                <w:color w:val="000000" w:themeColor="text1"/>
                <w:sz w:val="24"/>
                <w:szCs w:val="20"/>
                <w:vertAlign w:val="subscript"/>
                <w14:textFill>
                  <w14:solidFill>
                    <w14:schemeClr w14:val="tx1"/>
                  </w14:solidFill>
                </w14:textFill>
              </w:rPr>
              <w:t>3</w:t>
            </w:r>
            <w:r>
              <w:rPr>
                <w:rFonts w:hint="default" w:ascii="Times New Roman" w:hAnsi="Times New Roman"/>
                <w:color w:val="000000" w:themeColor="text1"/>
                <w:sz w:val="24"/>
                <w:szCs w:val="20"/>
                <w14:textFill>
                  <w14:solidFill>
                    <w14:schemeClr w14:val="tx1"/>
                  </w14:solidFill>
                </w14:textFill>
              </w:rPr>
              <w:t>存在超</w:t>
            </w:r>
            <w:r>
              <w:rPr>
                <w:rFonts w:hint="default" w:ascii="Times New Roman" w:hAnsi="Times New Roman"/>
                <w:color w:val="000000" w:themeColor="text1"/>
                <w:sz w:val="24"/>
                <w:szCs w:val="24"/>
                <w14:textFill>
                  <w14:solidFill>
                    <w14:schemeClr w14:val="tx1"/>
                  </w14:solidFill>
                </w14:textFill>
              </w:rPr>
              <w:t>标现象</w:t>
            </w:r>
            <w:r>
              <w:rPr>
                <w:rFonts w:hint="eastAsia" w:ascii="Times New Roman" w:hAnsi="Times New Roman"/>
                <w:color w:val="000000" w:themeColor="text1"/>
                <w:sz w:val="24"/>
                <w:szCs w:val="24"/>
                <w:lang w:eastAsia="zh-CN"/>
                <w14:textFill>
                  <w14:solidFill>
                    <w14:schemeClr w14:val="tx1"/>
                  </w14:solidFill>
                </w14:textFill>
              </w:rPr>
              <w:t>，</w:t>
            </w:r>
            <w:r>
              <w:rPr>
                <w:rFonts w:hint="default" w:ascii="Times New Roman" w:hAnsi="Times New Roman"/>
                <w:color w:val="000000" w:themeColor="text1"/>
                <w:sz w:val="24"/>
                <w:szCs w:val="24"/>
                <w14:textFill>
                  <w14:solidFill>
                    <w14:schemeClr w14:val="tx1"/>
                  </w14:solidFill>
                </w14:textFill>
              </w:rPr>
              <w:t>属于环境空气质量不达标区。</w:t>
            </w:r>
            <w:r>
              <w:rPr>
                <w:rFonts w:hint="eastAsia" w:ascii="Times New Roman" w:hAnsi="Times New Roman"/>
                <w:color w:val="000000" w:themeColor="text1"/>
                <w:sz w:val="24"/>
                <w:szCs w:val="24"/>
                <w:lang w:val="en-US" w:eastAsia="zh-CN"/>
                <w14:textFill>
                  <w14:solidFill>
                    <w14:schemeClr w14:val="tx1"/>
                  </w14:solidFill>
                </w14:textFill>
              </w:rPr>
              <w:t>本项目颗粒物产生量极少，为</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3.75</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-5</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t/a，且粉碎设备为全密闭，无组织排放，因此本项目颗粒物对区域环境空气几乎无影响。项目非甲烷总烃产生量较少，经集气罩收集+二级活性炭收集处理后有组织排放，非甲烷总烃排放量为0.0119t/a，有机废气实行倍量替代，对环境空气影响较小。</w:t>
            </w:r>
          </w:p>
          <w:p w14:paraId="73A04830">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jc w:val="both"/>
              <w:textAlignment w:val="auto"/>
              <w:rPr>
                <w:rFonts w:hint="eastAsia" w:ascii="宋体" w:hAnsi="宋体" w:eastAsia="宋体" w:cs="宋体"/>
                <w:b/>
                <w:bCs/>
                <w:color w:val="000000"/>
                <w:sz w:val="24"/>
                <w:szCs w:val="24"/>
                <w:u w:val="none" w:color="auto"/>
                <w:lang w:val="en-US" w:eastAsia="zh-CN" w:bidi="zh-CN"/>
              </w:rPr>
            </w:pPr>
            <w:r>
              <w:rPr>
                <w:rFonts w:hint="eastAsia" w:ascii="Times New Roman" w:hAnsi="Times New Roman" w:cs="宋体"/>
                <w:b/>
                <w:bCs/>
                <w:color w:val="000000"/>
                <w:sz w:val="24"/>
                <w:szCs w:val="24"/>
                <w:u w:val="none" w:color="auto"/>
                <w:lang w:val="en-US" w:eastAsia="zh-CN" w:bidi="zh-CN"/>
              </w:rPr>
              <w:t>二、</w:t>
            </w:r>
            <w:r>
              <w:rPr>
                <w:rFonts w:hint="eastAsia" w:ascii="宋体" w:hAnsi="宋体" w:eastAsia="宋体" w:cs="宋体"/>
                <w:b/>
                <w:bCs/>
                <w:color w:val="000000"/>
                <w:sz w:val="24"/>
                <w:szCs w:val="24"/>
                <w:u w:val="none" w:color="auto"/>
                <w:lang w:val="en-US" w:eastAsia="zh-CN" w:bidi="zh-CN"/>
              </w:rPr>
              <w:t>废水</w:t>
            </w:r>
          </w:p>
          <w:p w14:paraId="38D542C5">
            <w:pPr>
              <w:pStyle w:val="13"/>
              <w:keepNext w:val="0"/>
              <w:keepLines w:val="0"/>
              <w:pageBreakBefore w:val="0"/>
              <w:kinsoku/>
              <w:wordWrap/>
              <w:overflowPunct/>
              <w:topLinePunct w:val="0"/>
              <w:autoSpaceDE w:val="0"/>
              <w:autoSpaceDN w:val="0"/>
              <w:bidi w:val="0"/>
              <w:snapToGrid/>
              <w:spacing w:beforeAutospacing="0" w:afterAutospacing="0" w:line="520" w:lineRule="exact"/>
              <w:ind w:firstLine="482" w:firstLineChars="200"/>
              <w:jc w:val="both"/>
              <w:textAlignment w:val="auto"/>
              <w:rPr>
                <w:rFonts w:hint="default" w:ascii="Times New Roman" w:hAnsi="Times New Roman" w:eastAsia="宋体" w:cs="Times New Roman"/>
                <w:b/>
                <w:bCs/>
                <w:sz w:val="24"/>
                <w:szCs w:val="24"/>
                <w:u w:val="none" w:color="auto"/>
                <w:lang w:val="en-US" w:eastAsia="zh-CN" w:bidi="zh-CN"/>
              </w:rPr>
            </w:pPr>
            <w:r>
              <w:rPr>
                <w:rFonts w:hint="eastAsia" w:ascii="Times New Roman" w:hAnsi="Times New Roman" w:eastAsia="宋体" w:cs="Times New Roman"/>
                <w:b/>
                <w:bCs/>
                <w:sz w:val="24"/>
                <w:szCs w:val="24"/>
                <w:u w:val="none" w:color="auto"/>
                <w:lang w:val="en-US" w:eastAsia="zh-CN" w:bidi="zh-CN"/>
              </w:rPr>
              <w:t>1、项目废水产排情况</w:t>
            </w:r>
          </w:p>
          <w:p w14:paraId="1CD0A0D1">
            <w:pPr>
              <w:keepNext w:val="0"/>
              <w:keepLines w:val="0"/>
              <w:pageBreakBefore w:val="0"/>
              <w:widowControl/>
              <w:suppressLineNumbers w:val="0"/>
              <w:kinsoku/>
              <w:wordWrap/>
              <w:overflowPunct/>
              <w:topLinePunct w:val="0"/>
              <w:autoSpaceDE w:val="0"/>
              <w:autoSpaceDN w:val="0"/>
              <w:bidi w:val="0"/>
              <w:snapToGrid/>
              <w:spacing w:beforeAutospacing="0" w:afterAutospacing="0" w:line="520" w:lineRule="exact"/>
              <w:ind w:firstLine="480" w:firstLineChars="200"/>
              <w:jc w:val="left"/>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cs="Times New Roman"/>
                <w:b w:val="0"/>
                <w:bCs w:val="0"/>
                <w:sz w:val="24"/>
                <w:szCs w:val="24"/>
                <w:u w:val="none" w:color="auto"/>
                <w:lang w:val="en-US" w:eastAsia="zh-CN" w:bidi="zh-CN"/>
              </w:rPr>
              <w:t>本项目废水主要为生活污水和冷却水废水。</w:t>
            </w:r>
          </w:p>
          <w:p w14:paraId="183AEF26">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u w:val="none" w:color="auto"/>
                <w:lang w:eastAsia="zh-CN"/>
              </w:rPr>
            </w:pPr>
            <w:r>
              <w:rPr>
                <w:rFonts w:hint="eastAsia" w:ascii="Times New Roman" w:hAnsi="Times New Roman" w:eastAsia="宋体" w:cs="Times New Roman"/>
                <w:b w:val="0"/>
                <w:bCs w:val="0"/>
                <w:sz w:val="24"/>
                <w:szCs w:val="24"/>
                <w:u w:val="none" w:color="auto"/>
                <w:lang w:val="en-US" w:eastAsia="zh-CN" w:bidi="zh-CN"/>
              </w:rPr>
              <w:t>①</w:t>
            </w:r>
            <w:r>
              <w:rPr>
                <w:rFonts w:hint="eastAsia" w:ascii="Times New Roman" w:hAnsi="Times New Roman" w:eastAsia="宋体" w:cs="Times New Roman"/>
                <w:b w:val="0"/>
                <w:bCs w:val="0"/>
                <w:color w:val="000000"/>
                <w:sz w:val="24"/>
                <w:szCs w:val="24"/>
                <w:u w:val="none" w:color="auto"/>
                <w:lang w:val="en-US" w:eastAsia="zh-CN" w:bidi="zh-CN"/>
              </w:rPr>
              <w:t>生活污</w:t>
            </w:r>
            <w:r>
              <w:rPr>
                <w:rFonts w:hint="eastAsia" w:ascii="Times New Roman" w:hAnsi="Times New Roman" w:eastAsia="宋体" w:cs="Times New Roman"/>
                <w:sz w:val="24"/>
                <w:szCs w:val="24"/>
                <w:u w:val="none" w:color="auto"/>
                <w:lang w:eastAsia="zh-CN"/>
              </w:rPr>
              <w:t>水</w:t>
            </w:r>
          </w:p>
          <w:p w14:paraId="5229A5BE">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color w:val="000000"/>
                <w:sz w:val="24"/>
                <w:szCs w:val="24"/>
                <w:u w:val="none" w:color="auto"/>
                <w:lang w:val="en-US" w:eastAsia="zh-CN" w:bidi="zh-CN"/>
              </w:rPr>
            </w:pPr>
            <w:r>
              <w:rPr>
                <w:rFonts w:hint="eastAsia" w:ascii="Times New Roman" w:hAnsi="Times New Roman" w:eastAsia="宋体" w:cs="Times New Roman"/>
                <w:b w:val="0"/>
                <w:bCs w:val="0"/>
                <w:color w:val="000000"/>
                <w:sz w:val="24"/>
                <w:szCs w:val="24"/>
                <w:u w:val="none" w:color="auto"/>
                <w:lang w:val="en-US" w:eastAsia="zh-CN" w:bidi="zh-CN"/>
              </w:rPr>
              <w:t>生活污水排放量为</w:t>
            </w:r>
            <w:r>
              <w:rPr>
                <w:rFonts w:hint="eastAsia" w:ascii="Times New Roman" w:hAnsi="Times New Roman" w:cs="Times New Roman"/>
                <w:b w:val="0"/>
                <w:bCs w:val="0"/>
                <w:color w:val="000000"/>
                <w:sz w:val="24"/>
                <w:szCs w:val="24"/>
                <w:u w:val="none" w:color="auto"/>
                <w:lang w:val="en-US" w:eastAsia="zh-CN" w:bidi="zh-CN"/>
              </w:rPr>
              <w:t>0.6</w:t>
            </w:r>
            <w:r>
              <w:rPr>
                <w:rFonts w:hint="eastAsia" w:ascii="Times New Roman" w:hAnsi="Times New Roman" w:eastAsia="宋体" w:cs="Times New Roman"/>
                <w:b w:val="0"/>
                <w:bCs w:val="0"/>
                <w:color w:val="000000"/>
                <w:sz w:val="24"/>
                <w:szCs w:val="24"/>
                <w:u w:val="none" w:color="auto"/>
                <w:lang w:val="en-US" w:eastAsia="zh-CN" w:bidi="zh-CN"/>
              </w:rPr>
              <w:t>m</w:t>
            </w:r>
            <w:r>
              <w:rPr>
                <w:rFonts w:hint="eastAsia" w:ascii="Times New Roman" w:hAnsi="Times New Roman" w:eastAsia="宋体" w:cs="Times New Roman"/>
                <w:b w:val="0"/>
                <w:bCs w:val="0"/>
                <w:color w:val="000000"/>
                <w:sz w:val="24"/>
                <w:szCs w:val="24"/>
                <w:u w:val="none" w:color="auto"/>
                <w:vertAlign w:val="superscript"/>
                <w:lang w:val="en-US" w:eastAsia="zh-CN" w:bidi="zh-CN"/>
              </w:rPr>
              <w:t>3</w:t>
            </w:r>
            <w:r>
              <w:rPr>
                <w:rFonts w:hint="eastAsia" w:ascii="Times New Roman" w:hAnsi="Times New Roman" w:eastAsia="宋体" w:cs="Times New Roman"/>
                <w:b w:val="0"/>
                <w:bCs w:val="0"/>
                <w:color w:val="000000"/>
                <w:sz w:val="24"/>
                <w:szCs w:val="24"/>
                <w:u w:val="none" w:color="auto"/>
                <w:lang w:val="en-US" w:eastAsia="zh-CN" w:bidi="zh-CN"/>
              </w:rPr>
              <w:t>/d，</w:t>
            </w:r>
            <w:r>
              <w:rPr>
                <w:rFonts w:hint="eastAsia" w:ascii="Times New Roman" w:hAnsi="Times New Roman" w:cs="Times New Roman"/>
                <w:b w:val="0"/>
                <w:bCs w:val="0"/>
                <w:color w:val="000000"/>
                <w:sz w:val="24"/>
                <w:szCs w:val="24"/>
                <w:u w:val="none" w:color="auto"/>
                <w:lang w:val="en-US" w:eastAsia="zh-CN" w:bidi="zh-CN"/>
              </w:rPr>
              <w:t>80</w:t>
            </w:r>
            <w:r>
              <w:rPr>
                <w:rFonts w:hint="eastAsia" w:ascii="Times New Roman" w:hAnsi="Times New Roman" w:eastAsia="宋体" w:cs="Times New Roman"/>
                <w:b w:val="0"/>
                <w:bCs w:val="0"/>
                <w:color w:val="000000"/>
                <w:sz w:val="24"/>
                <w:szCs w:val="24"/>
                <w:u w:val="none" w:color="auto"/>
                <w:lang w:val="en-US" w:eastAsia="zh-CN" w:bidi="zh-CN"/>
              </w:rPr>
              <w:t>m</w:t>
            </w:r>
            <w:r>
              <w:rPr>
                <w:rFonts w:hint="eastAsia" w:ascii="Times New Roman" w:hAnsi="Times New Roman" w:eastAsia="宋体" w:cs="Times New Roman"/>
                <w:b w:val="0"/>
                <w:bCs w:val="0"/>
                <w:color w:val="000000"/>
                <w:sz w:val="24"/>
                <w:szCs w:val="24"/>
                <w:u w:val="none" w:color="auto"/>
                <w:vertAlign w:val="superscript"/>
                <w:lang w:val="en-US" w:eastAsia="zh-CN" w:bidi="zh-CN"/>
              </w:rPr>
              <w:t>3</w:t>
            </w:r>
            <w:r>
              <w:rPr>
                <w:rFonts w:hint="eastAsia" w:ascii="Times New Roman" w:hAnsi="Times New Roman" w:eastAsia="宋体" w:cs="Times New Roman"/>
                <w:b w:val="0"/>
                <w:bCs w:val="0"/>
                <w:color w:val="000000"/>
                <w:sz w:val="24"/>
                <w:szCs w:val="24"/>
                <w:u w:val="none" w:color="auto"/>
                <w:lang w:val="en-US" w:eastAsia="zh-CN" w:bidi="zh-CN"/>
              </w:rPr>
              <w:t>/a，经化粪池处</w:t>
            </w:r>
            <w:r>
              <w:rPr>
                <w:rFonts w:hint="eastAsia" w:ascii="Times New Roman" w:hAnsi="Times New Roman" w:eastAsia="宋体" w:cs="Times New Roman"/>
                <w:b w:val="0"/>
                <w:bCs w:val="0"/>
                <w:sz w:val="24"/>
                <w:szCs w:val="24"/>
                <w:u w:val="none" w:color="auto"/>
                <w:lang w:val="en-US" w:eastAsia="zh-CN" w:bidi="zh-CN"/>
              </w:rPr>
              <w:t>理后</w:t>
            </w:r>
            <w:r>
              <w:rPr>
                <w:rFonts w:hint="eastAsia" w:ascii="Times New Roman" w:hAnsi="Times New Roman" w:cs="Times New Roman"/>
                <w:b w:val="0"/>
                <w:bCs w:val="0"/>
                <w:sz w:val="24"/>
                <w:szCs w:val="24"/>
                <w:u w:val="none" w:color="auto"/>
                <w:lang w:val="en-US" w:eastAsia="zh-CN" w:bidi="zh-CN"/>
              </w:rPr>
              <w:t>经</w:t>
            </w:r>
            <w:r>
              <w:rPr>
                <w:rFonts w:hint="eastAsia" w:ascii="Times New Roman" w:hAnsi="Times New Roman" w:eastAsia="宋体" w:cs="Times New Roman"/>
                <w:b w:val="0"/>
                <w:bCs w:val="0"/>
                <w:sz w:val="24"/>
                <w:szCs w:val="24"/>
                <w:u w:val="none" w:color="auto"/>
                <w:lang w:val="en-US" w:eastAsia="zh-CN" w:bidi="zh-CN"/>
              </w:rPr>
              <w:t>市政污水管网排入</w:t>
            </w:r>
            <w:r>
              <w:rPr>
                <w:rFonts w:hint="eastAsia" w:ascii="Times New Roman" w:hAnsi="Times New Roman" w:cs="Times New Roman"/>
                <w:sz w:val="24"/>
                <w:szCs w:val="24"/>
                <w:u w:val="none" w:color="auto"/>
                <w:lang w:val="en-US"/>
              </w:rPr>
              <w:t>许昌市鸿瀚环境技术管理有限公司</w:t>
            </w:r>
            <w:r>
              <w:rPr>
                <w:rFonts w:hint="eastAsia" w:ascii="Times New Roman" w:hAnsi="Times New Roman" w:eastAsia="宋体" w:cs="Times New Roman"/>
                <w:b w:val="0"/>
                <w:bCs w:val="0"/>
                <w:sz w:val="24"/>
                <w:szCs w:val="24"/>
                <w:u w:val="none" w:color="auto"/>
                <w:lang w:val="en-US" w:eastAsia="zh-CN" w:bidi="zh-CN"/>
              </w:rPr>
              <w:t>处</w:t>
            </w:r>
            <w:r>
              <w:rPr>
                <w:rFonts w:hint="eastAsia" w:ascii="Times New Roman" w:hAnsi="Times New Roman" w:eastAsia="宋体" w:cs="Times New Roman"/>
                <w:b w:val="0"/>
                <w:bCs w:val="0"/>
                <w:color w:val="000000"/>
                <w:sz w:val="24"/>
                <w:szCs w:val="24"/>
                <w:u w:val="none" w:color="auto"/>
                <w:lang w:val="en-US" w:eastAsia="zh-CN" w:bidi="zh-CN"/>
              </w:rPr>
              <w:t>理。</w:t>
            </w:r>
          </w:p>
          <w:p w14:paraId="46B5378B">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②</w:t>
            </w:r>
            <w:r>
              <w:rPr>
                <w:rFonts w:hint="eastAsia" w:ascii="Times New Roman" w:hAnsi="Times New Roman" w:eastAsia="宋体" w:cs="Times New Roman"/>
                <w:b w:val="0"/>
                <w:bCs w:val="0"/>
                <w:sz w:val="24"/>
                <w:szCs w:val="24"/>
                <w:u w:val="none" w:color="auto"/>
                <w:lang w:val="en-US" w:eastAsia="zh-CN" w:bidi="zh-CN"/>
              </w:rPr>
              <w:t>冷却水废水</w:t>
            </w:r>
          </w:p>
          <w:p w14:paraId="531C7279">
            <w:pPr>
              <w:keepNext w:val="0"/>
              <w:keepLines w:val="0"/>
              <w:pageBreakBefore w:val="0"/>
              <w:widowControl/>
              <w:kinsoku/>
              <w:wordWrap/>
              <w:overflowPunct/>
              <w:topLinePunct w:val="0"/>
              <w:autoSpaceDE w:val="0"/>
              <w:autoSpaceDN w:val="0"/>
              <w:bidi w:val="0"/>
              <w:snapToGrid/>
              <w:spacing w:beforeAutospacing="0" w:afterAutospacing="0" w:line="520" w:lineRule="exact"/>
              <w:ind w:firstLine="480" w:firstLineChars="200"/>
              <w:jc w:val="both"/>
              <w:textAlignment w:val="auto"/>
              <w:rPr>
                <w:rFonts w:hint="default"/>
                <w:lang w:val="en-US" w:eastAsia="zh-CN"/>
              </w:rPr>
            </w:pPr>
            <w:r>
              <w:rPr>
                <w:rFonts w:hint="eastAsia" w:ascii="Times New Roman" w:hAnsi="Times New Roman" w:eastAsia="宋体" w:cs="Times New Roman"/>
                <w:b w:val="0"/>
                <w:bCs w:val="0"/>
                <w:sz w:val="24"/>
                <w:szCs w:val="24"/>
                <w:u w:val="none" w:color="auto"/>
                <w:lang w:val="en-US" w:eastAsia="zh-CN" w:bidi="zh-CN"/>
              </w:rPr>
              <w:t>项目循环水能力</w:t>
            </w:r>
            <w:r>
              <w:rPr>
                <w:rFonts w:hint="eastAsia" w:ascii="Times New Roman" w:hAnsi="Times New Roman" w:cs="Times New Roman"/>
                <w:b w:val="0"/>
                <w:bCs w:val="0"/>
                <w:sz w:val="24"/>
                <w:szCs w:val="24"/>
                <w:u w:val="none" w:color="auto"/>
                <w:lang w:val="en-US" w:eastAsia="zh-CN" w:bidi="zh-CN"/>
              </w:rPr>
              <w:t>20</w:t>
            </w:r>
            <w:r>
              <w:rPr>
                <w:rFonts w:hint="eastAsia"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vertAlign w:val="superscript"/>
                <w:lang w:val="en-US" w:eastAsia="zh-CN" w:bidi="zh-CN"/>
              </w:rPr>
              <w:t>3</w:t>
            </w:r>
            <w:r>
              <w:rPr>
                <w:rFonts w:hint="eastAsia" w:ascii="Times New Roman" w:hAnsi="Times New Roman" w:eastAsia="宋体" w:cs="Times New Roman"/>
                <w:b w:val="0"/>
                <w:bCs w:val="0"/>
                <w:sz w:val="24"/>
                <w:szCs w:val="24"/>
                <w:u w:val="none" w:color="auto"/>
                <w:lang w:val="en-US" w:eastAsia="zh-CN" w:bidi="zh-CN"/>
              </w:rPr>
              <w:t>/h，蒸发损失水量Qe=0.0015×5×</w:t>
            </w:r>
            <w:r>
              <w:rPr>
                <w:rFonts w:hint="eastAsia" w:ascii="Times New Roman" w:hAnsi="Times New Roman" w:cs="Times New Roman"/>
                <w:b w:val="0"/>
                <w:bCs w:val="0"/>
                <w:sz w:val="24"/>
                <w:szCs w:val="24"/>
                <w:u w:val="none" w:color="auto"/>
                <w:lang w:val="en-US" w:eastAsia="zh-CN" w:bidi="zh-CN"/>
              </w:rPr>
              <w:t>20</w:t>
            </w:r>
            <w:r>
              <w:rPr>
                <w:rFonts w:hint="eastAsia" w:ascii="Times New Roman" w:hAnsi="Times New Roman" w:eastAsia="宋体" w:cs="Times New Roman"/>
                <w:b w:val="0"/>
                <w:bCs w:val="0"/>
                <w:sz w:val="24"/>
                <w:szCs w:val="24"/>
                <w:u w:val="none" w:color="auto"/>
                <w:lang w:val="en-US" w:eastAsia="zh-CN" w:bidi="zh-CN"/>
              </w:rPr>
              <w:t>=</w:t>
            </w:r>
            <w:r>
              <w:rPr>
                <w:rFonts w:hint="eastAsia" w:ascii="Times New Roman" w:hAnsi="Times New Roman" w:cs="Times New Roman"/>
                <w:b w:val="0"/>
                <w:bCs w:val="0"/>
                <w:sz w:val="24"/>
                <w:szCs w:val="24"/>
                <w:u w:val="none" w:color="auto"/>
                <w:lang w:val="en-US" w:eastAsia="zh-CN" w:bidi="zh-CN"/>
              </w:rPr>
              <w:t>0.15</w:t>
            </w:r>
            <w:r>
              <w:rPr>
                <w:rFonts w:hint="eastAsia"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vertAlign w:val="superscript"/>
                <w:lang w:val="en-US" w:eastAsia="zh-CN" w:bidi="zh-CN"/>
              </w:rPr>
              <w:t>3</w:t>
            </w:r>
            <w:r>
              <w:rPr>
                <w:rFonts w:hint="eastAsia" w:ascii="Times New Roman" w:hAnsi="Times New Roman" w:eastAsia="宋体" w:cs="Times New Roman"/>
                <w:b w:val="0"/>
                <w:bCs w:val="0"/>
                <w:sz w:val="24"/>
                <w:szCs w:val="24"/>
                <w:u w:val="none" w:color="auto"/>
                <w:lang w:val="en-US" w:eastAsia="zh-CN" w:bidi="zh-CN"/>
              </w:rPr>
              <w:t>/h，补充水量Qm=</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/h×4/(4-1)=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/h，风吹损失量Qw=</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20</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×0.1%=</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/h，排水水量Qb=Qm-Qe-Qw=</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0.15</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0.03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/h。</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每日设备冷却4h，</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则年排水量为</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0.12</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d、36</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color="auto"/>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/a。冷却</w:t>
            </w:r>
            <w:r>
              <w:rPr>
                <w:rFonts w:hint="eastAsia" w:ascii="Times New Roman" w:hAnsi="Times New Roman" w:cs="Times New Roman"/>
                <w:b w:val="0"/>
                <w:bCs w:val="0"/>
                <w:color w:val="000000" w:themeColor="text1"/>
                <w:sz w:val="24"/>
                <w:szCs w:val="24"/>
                <w:u w:val="none" w:color="auto"/>
                <w:lang w:val="en-US" w:eastAsia="zh-CN" w:bidi="zh-CN"/>
                <w14:textFill>
                  <w14:solidFill>
                    <w14:schemeClr w14:val="tx1"/>
                  </w14:solidFill>
                </w14:textFill>
              </w:rPr>
              <w:t>水废水</w:t>
            </w:r>
            <w:r>
              <w:rPr>
                <w:rFonts w:hint="eastAsia" w:ascii="Times New Roman" w:hAnsi="Times New Roman" w:eastAsia="宋体" w:cs="Times New Roman"/>
                <w:b w:val="0"/>
                <w:bCs w:val="0"/>
                <w:color w:val="000000" w:themeColor="text1"/>
                <w:sz w:val="24"/>
                <w:szCs w:val="24"/>
                <w:u w:val="none" w:color="auto"/>
                <w:lang w:val="en-US" w:eastAsia="zh-CN" w:bidi="zh-CN"/>
                <w14:textFill>
                  <w14:solidFill>
                    <w14:schemeClr w14:val="tx1"/>
                  </w14:solidFill>
                </w14:textFill>
              </w:rPr>
              <w:t>为自来水</w:t>
            </w:r>
            <w:r>
              <w:rPr>
                <w:rFonts w:hint="eastAsia" w:ascii="Times New Roman" w:hAnsi="Times New Roman" w:eastAsia="宋体" w:cs="Times New Roman"/>
                <w:b w:val="0"/>
                <w:bCs w:val="0"/>
                <w:color w:val="000000"/>
                <w:sz w:val="24"/>
                <w:szCs w:val="24"/>
                <w:u w:val="none" w:color="auto"/>
                <w:lang w:val="en-US" w:eastAsia="zh-CN" w:bidi="zh-CN"/>
              </w:rPr>
              <w:t>，水质较为洁净，</w:t>
            </w:r>
            <w:r>
              <w:rPr>
                <w:rFonts w:hint="eastAsia" w:ascii="Times New Roman" w:hAnsi="Times New Roman" w:cs="Times New Roman"/>
                <w:b w:val="0"/>
                <w:bCs w:val="0"/>
                <w:sz w:val="24"/>
                <w:szCs w:val="24"/>
                <w:u w:val="none" w:color="auto"/>
                <w:lang w:val="en-US" w:eastAsia="zh-CN" w:bidi="zh-CN"/>
              </w:rPr>
              <w:t>经</w:t>
            </w:r>
            <w:r>
              <w:rPr>
                <w:rFonts w:hint="eastAsia" w:ascii="Times New Roman" w:hAnsi="Times New Roman" w:eastAsia="宋体" w:cs="Times New Roman"/>
                <w:b w:val="0"/>
                <w:bCs w:val="0"/>
                <w:sz w:val="24"/>
                <w:szCs w:val="24"/>
                <w:u w:val="none" w:color="auto"/>
                <w:lang w:val="en-US" w:eastAsia="zh-CN" w:bidi="zh-CN"/>
              </w:rPr>
              <w:t>市政污水管网排入</w:t>
            </w:r>
            <w:r>
              <w:rPr>
                <w:rFonts w:hint="eastAsia" w:ascii="Times New Roman" w:hAnsi="Times New Roman" w:cs="Times New Roman"/>
                <w:sz w:val="24"/>
                <w:szCs w:val="24"/>
                <w:u w:val="none" w:color="auto"/>
                <w:lang w:val="en-US"/>
              </w:rPr>
              <w:t>许昌市鸿瀚环境技术管理有限公司</w:t>
            </w:r>
            <w:r>
              <w:rPr>
                <w:rFonts w:hint="eastAsia" w:ascii="Times New Roman" w:hAnsi="Times New Roman" w:eastAsia="宋体" w:cs="Times New Roman"/>
                <w:b w:val="0"/>
                <w:bCs w:val="0"/>
                <w:sz w:val="24"/>
                <w:szCs w:val="24"/>
                <w:u w:val="none" w:color="auto"/>
                <w:lang w:val="en-US" w:eastAsia="zh-CN" w:bidi="zh-CN"/>
              </w:rPr>
              <w:t>处</w:t>
            </w:r>
            <w:r>
              <w:rPr>
                <w:rFonts w:hint="eastAsia" w:ascii="Times New Roman" w:hAnsi="Times New Roman" w:eastAsia="宋体" w:cs="Times New Roman"/>
                <w:b w:val="0"/>
                <w:bCs w:val="0"/>
                <w:color w:val="000000"/>
                <w:sz w:val="24"/>
                <w:szCs w:val="24"/>
                <w:u w:val="none" w:color="auto"/>
                <w:lang w:val="en-US" w:eastAsia="zh-CN" w:bidi="zh-CN"/>
              </w:rPr>
              <w:t>理。</w:t>
            </w:r>
          </w:p>
          <w:p w14:paraId="2A5FEB9F">
            <w:pPr>
              <w:pStyle w:val="44"/>
              <w:widowControl w:val="0"/>
              <w:numPr>
                <w:ilvl w:val="0"/>
                <w:numId w:val="0"/>
              </w:numPr>
              <w:wordWrap/>
              <w:autoSpaceDE w:val="0"/>
              <w:adjustRightInd/>
              <w:snapToGrid/>
              <w:spacing w:before="0" w:beforeAutospacing="0" w:afterAutospacing="0" w:line="520" w:lineRule="exact"/>
              <w:ind w:right="0"/>
              <w:jc w:val="center"/>
              <w:textAlignment w:val="auto"/>
              <w:rPr>
                <w:rFonts w:hint="default" w:ascii="Times New Roman" w:hAnsi="Times New Roman" w:eastAsia="黑体" w:cs="Times New Roman"/>
                <w:b w:val="0"/>
                <w:bCs w:val="0"/>
                <w:sz w:val="24"/>
                <w:szCs w:val="24"/>
                <w:u w:val="none" w:color="auto"/>
                <w:lang w:val="en-US" w:eastAsia="zh-CN"/>
              </w:rPr>
            </w:pPr>
            <w:r>
              <w:rPr>
                <w:rFonts w:hint="default" w:ascii="Times New Roman" w:hAnsi="Times New Roman" w:eastAsia="黑体" w:cs="Times New Roman"/>
                <w:b w:val="0"/>
                <w:bCs w:val="0"/>
                <w:sz w:val="24"/>
                <w:szCs w:val="24"/>
                <w:u w:val="none" w:color="auto"/>
                <w:lang w:val="en-US" w:eastAsia="zh-CN"/>
              </w:rPr>
              <w:t>表</w:t>
            </w:r>
            <w:r>
              <w:rPr>
                <w:rFonts w:hint="eastAsia" w:ascii="Times New Roman" w:hAnsi="Times New Roman" w:eastAsia="黑体" w:cs="Times New Roman"/>
                <w:b w:val="0"/>
                <w:bCs w:val="0"/>
                <w:sz w:val="24"/>
                <w:szCs w:val="24"/>
                <w:u w:val="none" w:color="auto"/>
                <w:lang w:val="en-US" w:eastAsia="zh-CN"/>
              </w:rPr>
              <w:t>4-10</w:t>
            </w:r>
            <w:r>
              <w:rPr>
                <w:rFonts w:hint="default" w:ascii="Times New Roman" w:hAnsi="Times New Roman" w:eastAsia="黑体" w:cs="Times New Roman"/>
                <w:b w:val="0"/>
                <w:bCs w:val="0"/>
                <w:sz w:val="24"/>
                <w:szCs w:val="24"/>
                <w:u w:val="none" w:color="auto"/>
                <w:lang w:val="en-US" w:eastAsia="zh-CN"/>
              </w:rPr>
              <w:t xml:space="preserve">  项目污水处理站处理效率及污染物排放情况</w:t>
            </w:r>
          </w:p>
          <w:tbl>
            <w:tblPr>
              <w:tblStyle w:val="23"/>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0"/>
              <w:gridCol w:w="2732"/>
              <w:gridCol w:w="1531"/>
              <w:gridCol w:w="1116"/>
              <w:gridCol w:w="1093"/>
              <w:gridCol w:w="1154"/>
            </w:tblGrid>
            <w:tr w14:paraId="303EEE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jc w:val="center"/>
              </w:trPr>
              <w:tc>
                <w:tcPr>
                  <w:tcW w:w="520" w:type="dxa"/>
                  <w:tcBorders>
                    <w:tl2br w:val="nil"/>
                    <w:tr2bl w:val="nil"/>
                  </w:tcBorders>
                  <w:vAlign w:val="center"/>
                </w:tcPr>
                <w:p w14:paraId="23CE2720">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eastAsia="宋体" w:cs="Times New Roman"/>
                      <w:b/>
                      <w:bCs w:val="0"/>
                      <w:color w:val="000000" w:themeColor="text1"/>
                      <w:sz w:val="21"/>
                      <w:szCs w:val="21"/>
                      <w:u w:val="none"/>
                      <w:lang w:eastAsia="zh-CN"/>
                      <w14:textFill>
                        <w14:solidFill>
                          <w14:schemeClr w14:val="tx1"/>
                        </w14:solidFill>
                      </w14:textFill>
                    </w:rPr>
                  </w:pPr>
                  <w:r>
                    <w:rPr>
                      <w:rFonts w:hint="default" w:ascii="Times New Roman" w:hAnsi="Times New Roman" w:cs="Times New Roman"/>
                      <w:b/>
                      <w:bCs w:val="0"/>
                      <w:color w:val="000000" w:themeColor="text1"/>
                      <w:sz w:val="21"/>
                      <w:szCs w:val="21"/>
                      <w:u w:val="none"/>
                      <w:lang w:eastAsia="zh-CN"/>
                      <w14:textFill>
                        <w14:solidFill>
                          <w14:schemeClr w14:val="tx1"/>
                        </w14:solidFill>
                      </w14:textFill>
                    </w:rPr>
                    <w:t>序号</w:t>
                  </w:r>
                </w:p>
              </w:tc>
              <w:tc>
                <w:tcPr>
                  <w:tcW w:w="2732" w:type="dxa"/>
                  <w:tcBorders>
                    <w:tl2br w:val="nil"/>
                    <w:tr2bl w:val="nil"/>
                  </w:tcBorders>
                  <w:vAlign w:val="center"/>
                </w:tcPr>
                <w:p w14:paraId="27C7DE71">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14:textFill>
                        <w14:solidFill>
                          <w14:schemeClr w14:val="tx1"/>
                        </w14:solidFill>
                      </w14:textFill>
                    </w:rPr>
                  </w:pPr>
                  <w:r>
                    <w:rPr>
                      <w:rFonts w:hint="default" w:ascii="Times New Roman" w:hAnsi="Times New Roman" w:cs="Times New Roman"/>
                      <w:b/>
                      <w:bCs w:val="0"/>
                      <w:color w:val="000000" w:themeColor="text1"/>
                      <w:sz w:val="21"/>
                      <w:szCs w:val="21"/>
                      <w:u w:val="none"/>
                      <w14:textFill>
                        <w14:solidFill>
                          <w14:schemeClr w14:val="tx1"/>
                        </w14:solidFill>
                      </w14:textFill>
                    </w:rPr>
                    <w:t>污染物</w:t>
                  </w:r>
                </w:p>
              </w:tc>
              <w:tc>
                <w:tcPr>
                  <w:tcW w:w="1531" w:type="dxa"/>
                  <w:tcBorders>
                    <w:tl2br w:val="nil"/>
                    <w:tr2bl w:val="nil"/>
                  </w:tcBorders>
                  <w:vAlign w:val="center"/>
                </w:tcPr>
                <w:p w14:paraId="25E95635">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14:textFill>
                        <w14:solidFill>
                          <w14:schemeClr w14:val="tx1"/>
                        </w14:solidFill>
                      </w14:textFill>
                    </w:rPr>
                  </w:pPr>
                  <w:r>
                    <w:rPr>
                      <w:rFonts w:hint="default" w:ascii="Times New Roman" w:hAnsi="Times New Roman" w:cs="Times New Roman"/>
                      <w:b/>
                      <w:bCs w:val="0"/>
                      <w:color w:val="000000" w:themeColor="text1"/>
                      <w:sz w:val="21"/>
                      <w:szCs w:val="21"/>
                      <w:u w:val="none"/>
                      <w14:textFill>
                        <w14:solidFill>
                          <w14:schemeClr w14:val="tx1"/>
                        </w14:solidFill>
                      </w14:textFill>
                    </w:rPr>
                    <w:t>COD</w:t>
                  </w:r>
                </w:p>
              </w:tc>
              <w:tc>
                <w:tcPr>
                  <w:tcW w:w="1116" w:type="dxa"/>
                  <w:tcBorders>
                    <w:tl2br w:val="nil"/>
                    <w:tr2bl w:val="nil"/>
                  </w:tcBorders>
                  <w:vAlign w:val="center"/>
                </w:tcPr>
                <w:p w14:paraId="7B4150F5">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val="0"/>
                      <w:color w:val="000000" w:themeColor="text1"/>
                      <w:sz w:val="21"/>
                      <w:szCs w:val="21"/>
                      <w:u w:val="none"/>
                      <w:lang w:val="en-US" w:eastAsia="zh-CN"/>
                      <w14:textFill>
                        <w14:solidFill>
                          <w14:schemeClr w14:val="tx1"/>
                        </w14:solidFill>
                      </w14:textFill>
                    </w:rPr>
                    <w:t>BOD</w:t>
                  </w:r>
                  <w:r>
                    <w:rPr>
                      <w:rFonts w:hint="default" w:ascii="Times New Roman" w:hAnsi="Times New Roman" w:cs="Times New Roman"/>
                      <w:b/>
                      <w:bCs w:val="0"/>
                      <w:color w:val="000000" w:themeColor="text1"/>
                      <w:sz w:val="21"/>
                      <w:szCs w:val="21"/>
                      <w:u w:val="none"/>
                      <w:vertAlign w:val="subscript"/>
                      <w:lang w:val="en-US" w:eastAsia="zh-CN"/>
                      <w14:textFill>
                        <w14:solidFill>
                          <w14:schemeClr w14:val="tx1"/>
                        </w14:solidFill>
                      </w14:textFill>
                    </w:rPr>
                    <w:t>5</w:t>
                  </w:r>
                </w:p>
              </w:tc>
              <w:tc>
                <w:tcPr>
                  <w:tcW w:w="1093" w:type="dxa"/>
                  <w:tcBorders>
                    <w:tl2br w:val="nil"/>
                    <w:tr2bl w:val="nil"/>
                  </w:tcBorders>
                  <w:vAlign w:val="center"/>
                </w:tcPr>
                <w:p w14:paraId="36DF7C2E">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b/>
                      <w:bCs w:val="0"/>
                      <w:color w:val="000000" w:themeColor="text1"/>
                      <w:sz w:val="21"/>
                      <w:szCs w:val="21"/>
                      <w:u w:val="none"/>
                      <w14:textFill>
                        <w14:solidFill>
                          <w14:schemeClr w14:val="tx1"/>
                        </w14:solidFill>
                      </w14:textFill>
                    </w:rPr>
                  </w:pPr>
                  <w:r>
                    <w:rPr>
                      <w:rFonts w:hint="default" w:ascii="Times New Roman" w:hAnsi="Times New Roman" w:cs="Times New Roman"/>
                      <w:b/>
                      <w:bCs w:val="0"/>
                      <w:color w:val="000000" w:themeColor="text1"/>
                      <w:sz w:val="21"/>
                      <w:szCs w:val="21"/>
                      <w:u w:val="none"/>
                      <w14:textFill>
                        <w14:solidFill>
                          <w14:schemeClr w14:val="tx1"/>
                        </w14:solidFill>
                      </w14:textFill>
                    </w:rPr>
                    <w:t>SS</w:t>
                  </w:r>
                </w:p>
              </w:tc>
              <w:tc>
                <w:tcPr>
                  <w:tcW w:w="1154" w:type="dxa"/>
                  <w:tcBorders>
                    <w:tl2br w:val="nil"/>
                    <w:tr2bl w:val="nil"/>
                  </w:tcBorders>
                  <w:vAlign w:val="center"/>
                </w:tcPr>
                <w:p w14:paraId="46DF4EF9">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eastAsia="宋体" w:cs="Times New Roman"/>
                      <w:b/>
                      <w:bCs w:val="0"/>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val="0"/>
                      <w:color w:val="000000" w:themeColor="text1"/>
                      <w:sz w:val="21"/>
                      <w:szCs w:val="21"/>
                      <w:u w:val="none"/>
                      <w14:textFill>
                        <w14:solidFill>
                          <w14:schemeClr w14:val="tx1"/>
                        </w14:solidFill>
                      </w14:textFill>
                    </w:rPr>
                    <w:t>NH</w:t>
                  </w:r>
                  <w:r>
                    <w:rPr>
                      <w:rFonts w:hint="default" w:ascii="Times New Roman" w:hAnsi="Times New Roman" w:cs="Times New Roman"/>
                      <w:b/>
                      <w:bCs w:val="0"/>
                      <w:color w:val="000000" w:themeColor="text1"/>
                      <w:sz w:val="21"/>
                      <w:szCs w:val="21"/>
                      <w:u w:val="none"/>
                      <w:vertAlign w:val="subscript"/>
                      <w14:textFill>
                        <w14:solidFill>
                          <w14:schemeClr w14:val="tx1"/>
                        </w14:solidFill>
                      </w14:textFill>
                    </w:rPr>
                    <w:t>3</w:t>
                  </w:r>
                  <w:r>
                    <w:rPr>
                      <w:rFonts w:hint="default" w:ascii="Times New Roman" w:hAnsi="Times New Roman" w:cs="Times New Roman"/>
                      <w:b/>
                      <w:bCs w:val="0"/>
                      <w:color w:val="000000" w:themeColor="text1"/>
                      <w:sz w:val="21"/>
                      <w:szCs w:val="21"/>
                      <w:u w:val="none"/>
                      <w14:textFill>
                        <w14:solidFill>
                          <w14:schemeClr w14:val="tx1"/>
                        </w14:solidFill>
                      </w14:textFill>
                    </w:rPr>
                    <w:t>-N</w:t>
                  </w:r>
                </w:p>
              </w:tc>
            </w:tr>
            <w:tr w14:paraId="460166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2" w:hRule="atLeast"/>
                <w:jc w:val="center"/>
              </w:trPr>
              <w:tc>
                <w:tcPr>
                  <w:tcW w:w="520" w:type="dxa"/>
                  <w:vMerge w:val="restart"/>
                  <w:tcBorders>
                    <w:tl2br w:val="nil"/>
                    <w:tr2bl w:val="nil"/>
                  </w:tcBorders>
                  <w:vAlign w:val="center"/>
                </w:tcPr>
                <w:p w14:paraId="7017CF87">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1</w:t>
                  </w:r>
                </w:p>
              </w:tc>
              <w:tc>
                <w:tcPr>
                  <w:tcW w:w="2732" w:type="dxa"/>
                  <w:tcBorders>
                    <w:tl2br w:val="nil"/>
                    <w:tr2bl w:val="nil"/>
                  </w:tcBorders>
                  <w:vAlign w:val="center"/>
                </w:tcPr>
                <w:p w14:paraId="271EF9C9">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生活污水</w:t>
                  </w:r>
                  <w:r>
                    <w:rPr>
                      <w:rFonts w:hint="default" w:ascii="Times New Roman" w:hAnsi="Times New Roman" w:cs="Times New Roman"/>
                      <w:bCs/>
                      <w:color w:val="000000" w:themeColor="text1"/>
                      <w:sz w:val="21"/>
                      <w:szCs w:val="21"/>
                      <w:u w:val="none"/>
                      <w:lang w:eastAsia="zh-CN"/>
                      <w14:textFill>
                        <w14:solidFill>
                          <w14:schemeClr w14:val="tx1"/>
                        </w14:solidFill>
                      </w14:textFill>
                    </w:rPr>
                    <w:t>总量（</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14:textFill>
                        <w14:solidFill>
                          <w14:schemeClr w14:val="tx1"/>
                        </w14:solidFill>
                      </w14:textFill>
                    </w:rPr>
                    <w: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4894" w:type="dxa"/>
                  <w:gridSpan w:val="4"/>
                  <w:tcBorders>
                    <w:tl2br w:val="nil"/>
                    <w:tr2bl w:val="nil"/>
                  </w:tcBorders>
                  <w:vAlign w:val="center"/>
                </w:tcPr>
                <w:p w14:paraId="0E925D6D">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180</w:t>
                  </w:r>
                </w:p>
              </w:tc>
            </w:tr>
            <w:tr w14:paraId="488FC2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4C02001F">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2732" w:type="dxa"/>
                  <w:tcBorders>
                    <w:tl2br w:val="nil"/>
                    <w:tr2bl w:val="nil"/>
                  </w:tcBorders>
                  <w:vAlign w:val="center"/>
                </w:tcPr>
                <w:p w14:paraId="3CC59523">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污染物产生浓度（mg/L）</w:t>
                  </w:r>
                </w:p>
              </w:tc>
              <w:tc>
                <w:tcPr>
                  <w:tcW w:w="1531" w:type="dxa"/>
                  <w:tcBorders>
                    <w:tl2br w:val="nil"/>
                    <w:tr2bl w:val="nil"/>
                  </w:tcBorders>
                  <w:vAlign w:val="center"/>
                </w:tcPr>
                <w:p w14:paraId="529D5AF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300</w:t>
                  </w:r>
                </w:p>
              </w:tc>
              <w:tc>
                <w:tcPr>
                  <w:tcW w:w="1116" w:type="dxa"/>
                  <w:tcBorders>
                    <w:tl2br w:val="nil"/>
                    <w:tr2bl w:val="nil"/>
                  </w:tcBorders>
                  <w:vAlign w:val="center"/>
                </w:tcPr>
                <w:p w14:paraId="6CD5BBFE">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140</w:t>
                  </w:r>
                </w:p>
              </w:tc>
              <w:tc>
                <w:tcPr>
                  <w:tcW w:w="1093" w:type="dxa"/>
                  <w:tcBorders>
                    <w:tl2br w:val="nil"/>
                    <w:tr2bl w:val="nil"/>
                  </w:tcBorders>
                  <w:vAlign w:val="center"/>
                </w:tcPr>
                <w:p w14:paraId="670A0168">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200</w:t>
                  </w:r>
                </w:p>
              </w:tc>
              <w:tc>
                <w:tcPr>
                  <w:tcW w:w="1154" w:type="dxa"/>
                  <w:tcBorders>
                    <w:tl2br w:val="nil"/>
                    <w:tr2bl w:val="nil"/>
                  </w:tcBorders>
                  <w:vAlign w:val="center"/>
                </w:tcPr>
                <w:p w14:paraId="07F1E5CA">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28</w:t>
                  </w:r>
                </w:p>
              </w:tc>
            </w:tr>
            <w:tr w14:paraId="3BB0F3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274F2F54">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p>
              </w:tc>
              <w:tc>
                <w:tcPr>
                  <w:tcW w:w="2732" w:type="dxa"/>
                  <w:tcBorders>
                    <w:tl2br w:val="nil"/>
                    <w:tr2bl w:val="nil"/>
                  </w:tcBorders>
                  <w:vAlign w:val="center"/>
                </w:tcPr>
                <w:p w14:paraId="0F95A5A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产生量</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r>
                    <w:rPr>
                      <w:rFonts w:hint="default" w:ascii="Times New Roman" w:hAnsi="Times New Roman" w:cs="Times New Roman"/>
                      <w:bCs/>
                      <w:color w:val="000000" w:themeColor="text1"/>
                      <w:sz w:val="21"/>
                      <w:szCs w:val="21"/>
                      <w:u w:val="none"/>
                      <w14:textFill>
                        <w14:solidFill>
                          <w14:schemeClr w14:val="tx1"/>
                        </w14:solidFill>
                      </w14:textFill>
                    </w:rPr>
                    <w:t>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1531" w:type="dxa"/>
                  <w:tcBorders>
                    <w:tl2br w:val="nil"/>
                    <w:tr2bl w:val="nil"/>
                  </w:tcBorders>
                  <w:vAlign w:val="center"/>
                </w:tcPr>
                <w:p w14:paraId="214CDF3E">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0.054</w:t>
                  </w:r>
                </w:p>
              </w:tc>
              <w:tc>
                <w:tcPr>
                  <w:tcW w:w="1116" w:type="dxa"/>
                  <w:tcBorders>
                    <w:tl2br w:val="nil"/>
                    <w:tr2bl w:val="nil"/>
                  </w:tcBorders>
                  <w:vAlign w:val="center"/>
                </w:tcPr>
                <w:p w14:paraId="2F2C914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0.0252</w:t>
                  </w:r>
                </w:p>
              </w:tc>
              <w:tc>
                <w:tcPr>
                  <w:tcW w:w="1093" w:type="dxa"/>
                  <w:tcBorders>
                    <w:tl2br w:val="nil"/>
                    <w:tr2bl w:val="nil"/>
                  </w:tcBorders>
                  <w:vAlign w:val="center"/>
                </w:tcPr>
                <w:p w14:paraId="3F6AED6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0.036</w:t>
                  </w:r>
                </w:p>
              </w:tc>
              <w:tc>
                <w:tcPr>
                  <w:tcW w:w="1154" w:type="dxa"/>
                  <w:tcBorders>
                    <w:tl2br w:val="nil"/>
                    <w:tr2bl w:val="nil"/>
                  </w:tcBorders>
                  <w:vAlign w:val="center"/>
                </w:tcPr>
                <w:p w14:paraId="17813EB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exact"/>
                    <w:ind w:left="0" w:leftChars="0" w:right="0" w:rightChars="0"/>
                    <w:jc w:val="center"/>
                    <w:textAlignment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0.0050</w:t>
                  </w:r>
                </w:p>
              </w:tc>
            </w:tr>
            <w:tr w14:paraId="7F790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670E398E">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p>
              </w:tc>
              <w:tc>
                <w:tcPr>
                  <w:tcW w:w="2732" w:type="dxa"/>
                  <w:tcBorders>
                    <w:tl2br w:val="nil"/>
                    <w:tr2bl w:val="nil"/>
                  </w:tcBorders>
                  <w:vAlign w:val="center"/>
                </w:tcPr>
                <w:p w14:paraId="7DC72770">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化粪池</w:t>
                  </w:r>
                  <w:r>
                    <w:rPr>
                      <w:rFonts w:hint="default" w:ascii="Times New Roman" w:hAnsi="Times New Roman" w:cs="Times New Roman"/>
                      <w:bCs/>
                      <w:color w:val="000000" w:themeColor="text1"/>
                      <w:sz w:val="21"/>
                      <w:szCs w:val="21"/>
                      <w:u w:val="none"/>
                      <w:lang w:eastAsia="zh-CN"/>
                      <w14:textFill>
                        <w14:solidFill>
                          <w14:schemeClr w14:val="tx1"/>
                        </w14:solidFill>
                      </w14:textFill>
                    </w:rPr>
                    <w:t>处理效率（</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1531" w:type="dxa"/>
                  <w:tcBorders>
                    <w:tl2br w:val="nil"/>
                    <w:tr2bl w:val="nil"/>
                  </w:tcBorders>
                  <w:vAlign w:val="center"/>
                </w:tcPr>
                <w:p w14:paraId="3A5AB54F">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15</w:t>
                  </w:r>
                </w:p>
              </w:tc>
              <w:tc>
                <w:tcPr>
                  <w:tcW w:w="1116" w:type="dxa"/>
                  <w:tcBorders>
                    <w:tl2br w:val="nil"/>
                    <w:tr2bl w:val="nil"/>
                  </w:tcBorders>
                  <w:vAlign w:val="center"/>
                </w:tcPr>
                <w:p w14:paraId="00CA5006">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10</w:t>
                  </w:r>
                </w:p>
              </w:tc>
              <w:tc>
                <w:tcPr>
                  <w:tcW w:w="1093" w:type="dxa"/>
                  <w:tcBorders>
                    <w:tl2br w:val="nil"/>
                    <w:tr2bl w:val="nil"/>
                  </w:tcBorders>
                  <w:vAlign w:val="center"/>
                </w:tcPr>
                <w:p w14:paraId="5CB99504">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30</w:t>
                  </w:r>
                </w:p>
              </w:tc>
              <w:tc>
                <w:tcPr>
                  <w:tcW w:w="1154" w:type="dxa"/>
                  <w:tcBorders>
                    <w:tl2br w:val="nil"/>
                    <w:tr2bl w:val="nil"/>
                  </w:tcBorders>
                  <w:vAlign w:val="center"/>
                </w:tcPr>
                <w:p w14:paraId="5AE6869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w:t>
                  </w:r>
                </w:p>
              </w:tc>
            </w:tr>
            <w:tr w14:paraId="09131E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0" w:type="dxa"/>
                  <w:vMerge w:val="continue"/>
                  <w:tcBorders>
                    <w:tl2br w:val="nil"/>
                    <w:tr2bl w:val="nil"/>
                  </w:tcBorders>
                  <w:vAlign w:val="center"/>
                </w:tcPr>
                <w:p w14:paraId="369F9BCD">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p>
              </w:tc>
              <w:tc>
                <w:tcPr>
                  <w:tcW w:w="2732" w:type="dxa"/>
                  <w:tcBorders>
                    <w:tl2br w:val="nil"/>
                    <w:tr2bl w:val="nil"/>
                  </w:tcBorders>
                  <w:vAlign w:val="center"/>
                </w:tcPr>
                <w:p w14:paraId="2C37A50F">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化粪池</w:t>
                  </w:r>
                  <w:r>
                    <w:rPr>
                      <w:rFonts w:hint="default" w:ascii="Times New Roman" w:hAnsi="Times New Roman" w:cs="Times New Roman"/>
                      <w:bCs/>
                      <w:color w:val="000000" w:themeColor="text1"/>
                      <w:sz w:val="21"/>
                      <w:szCs w:val="21"/>
                      <w:u w:val="none"/>
                      <w:lang w:eastAsia="zh-CN"/>
                      <w14:textFill>
                        <w14:solidFill>
                          <w14:schemeClr w14:val="tx1"/>
                        </w14:solidFill>
                      </w14:textFill>
                    </w:rPr>
                    <w:t>处理后</w:t>
                  </w:r>
                  <w:r>
                    <w:rPr>
                      <w:rFonts w:hint="default" w:ascii="Times New Roman" w:hAnsi="Times New Roman" w:cs="Times New Roman"/>
                      <w:bCs/>
                      <w:color w:val="000000" w:themeColor="text1"/>
                      <w:sz w:val="21"/>
                      <w:szCs w:val="21"/>
                      <w:u w:val="none"/>
                      <w14:textFill>
                        <w14:solidFill>
                          <w14:schemeClr w14:val="tx1"/>
                        </w14:solidFill>
                      </w14:textFill>
                    </w:rPr>
                    <w:t>污染物浓度（mg/L）</w:t>
                  </w:r>
                </w:p>
              </w:tc>
              <w:tc>
                <w:tcPr>
                  <w:tcW w:w="1531" w:type="dxa"/>
                  <w:tcBorders>
                    <w:tl2br w:val="nil"/>
                    <w:tr2bl w:val="nil"/>
                  </w:tcBorders>
                  <w:vAlign w:val="center"/>
                </w:tcPr>
                <w:p w14:paraId="3791BEE6">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255</w:t>
                  </w:r>
                </w:p>
              </w:tc>
              <w:tc>
                <w:tcPr>
                  <w:tcW w:w="1116" w:type="dxa"/>
                  <w:tcBorders>
                    <w:tl2br w:val="nil"/>
                    <w:tr2bl w:val="nil"/>
                  </w:tcBorders>
                  <w:vAlign w:val="center"/>
                </w:tcPr>
                <w:p w14:paraId="062CF9EF">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126</w:t>
                  </w:r>
                </w:p>
              </w:tc>
              <w:tc>
                <w:tcPr>
                  <w:tcW w:w="1093" w:type="dxa"/>
                  <w:tcBorders>
                    <w:tl2br w:val="nil"/>
                    <w:tr2bl w:val="nil"/>
                  </w:tcBorders>
                  <w:vAlign w:val="center"/>
                </w:tcPr>
                <w:p w14:paraId="76B5B648">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140</w:t>
                  </w:r>
                </w:p>
              </w:tc>
              <w:tc>
                <w:tcPr>
                  <w:tcW w:w="1154" w:type="dxa"/>
                  <w:tcBorders>
                    <w:tl2br w:val="nil"/>
                    <w:tr2bl w:val="nil"/>
                  </w:tcBorders>
                  <w:vAlign w:val="center"/>
                </w:tcPr>
                <w:p w14:paraId="72B24A2C">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28</w:t>
                  </w:r>
                </w:p>
              </w:tc>
            </w:tr>
            <w:tr w14:paraId="4492E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restart"/>
                  <w:tcBorders>
                    <w:tl2br w:val="nil"/>
                    <w:tr2bl w:val="nil"/>
                  </w:tcBorders>
                  <w:vAlign w:val="center"/>
                </w:tcPr>
                <w:p w14:paraId="5B536820">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t>2</w:t>
                  </w:r>
                </w:p>
              </w:tc>
              <w:tc>
                <w:tcPr>
                  <w:tcW w:w="2732" w:type="dxa"/>
                  <w:tcBorders>
                    <w:tl2br w:val="nil"/>
                    <w:tr2bl w:val="nil"/>
                  </w:tcBorders>
                  <w:vAlign w:val="center"/>
                </w:tcPr>
                <w:p w14:paraId="65E8D51E">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冷却水废水</w:t>
                  </w:r>
                  <w:r>
                    <w:rPr>
                      <w:rFonts w:hint="default" w:ascii="Times New Roman" w:hAnsi="Times New Roman" w:cs="Times New Roman"/>
                      <w:bCs/>
                      <w:color w:val="000000" w:themeColor="text1"/>
                      <w:sz w:val="21"/>
                      <w:szCs w:val="21"/>
                      <w:u w:val="none"/>
                      <w:lang w:eastAsia="zh-CN"/>
                      <w14:textFill>
                        <w14:solidFill>
                          <w14:schemeClr w14:val="tx1"/>
                        </w14:solidFill>
                      </w14:textFill>
                    </w:rPr>
                    <w:t>总量（</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14:textFill>
                        <w14:solidFill>
                          <w14:schemeClr w14:val="tx1"/>
                        </w14:solidFill>
                      </w14:textFill>
                    </w:rPr>
                    <w: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4894" w:type="dxa"/>
                  <w:gridSpan w:val="4"/>
                  <w:tcBorders>
                    <w:tl2br w:val="nil"/>
                    <w:tr2bl w:val="nil"/>
                  </w:tcBorders>
                  <w:vAlign w:val="center"/>
                </w:tcPr>
                <w:p w14:paraId="0212D23F">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36</w:t>
                  </w:r>
                </w:p>
              </w:tc>
            </w:tr>
            <w:tr w14:paraId="68D95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6F060330">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334DCA84">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污染物产生浓度（mg/L）</w:t>
                  </w:r>
                </w:p>
              </w:tc>
              <w:tc>
                <w:tcPr>
                  <w:tcW w:w="1531" w:type="dxa"/>
                  <w:tcBorders>
                    <w:tl2br w:val="nil"/>
                    <w:tr2bl w:val="nil"/>
                  </w:tcBorders>
                  <w:vAlign w:val="center"/>
                </w:tcPr>
                <w:p w14:paraId="67A1C690">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50</w:t>
                  </w:r>
                </w:p>
              </w:tc>
              <w:tc>
                <w:tcPr>
                  <w:tcW w:w="1116" w:type="dxa"/>
                  <w:tcBorders>
                    <w:tl2br w:val="nil"/>
                    <w:tr2bl w:val="nil"/>
                  </w:tcBorders>
                  <w:vAlign w:val="center"/>
                </w:tcPr>
                <w:p w14:paraId="465139F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w:t>
                  </w:r>
                </w:p>
              </w:tc>
              <w:tc>
                <w:tcPr>
                  <w:tcW w:w="1093" w:type="dxa"/>
                  <w:tcBorders>
                    <w:tl2br w:val="nil"/>
                    <w:tr2bl w:val="nil"/>
                  </w:tcBorders>
                  <w:vAlign w:val="center"/>
                </w:tcPr>
                <w:p w14:paraId="57131681">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30</w:t>
                  </w:r>
                </w:p>
              </w:tc>
              <w:tc>
                <w:tcPr>
                  <w:tcW w:w="1154" w:type="dxa"/>
                  <w:tcBorders>
                    <w:tl2br w:val="nil"/>
                    <w:tr2bl w:val="nil"/>
                  </w:tcBorders>
                  <w:vAlign w:val="center"/>
                </w:tcPr>
                <w:p w14:paraId="119C9250">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5</w:t>
                  </w:r>
                </w:p>
              </w:tc>
            </w:tr>
            <w:tr w14:paraId="5E9B98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425840F9">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62BD6284">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产生量</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r>
                    <w:rPr>
                      <w:rFonts w:hint="default" w:ascii="Times New Roman" w:hAnsi="Times New Roman" w:cs="Times New Roman"/>
                      <w:bCs/>
                      <w:color w:val="000000" w:themeColor="text1"/>
                      <w:sz w:val="21"/>
                      <w:szCs w:val="21"/>
                      <w:u w:val="none"/>
                      <w14:textFill>
                        <w14:solidFill>
                          <w14:schemeClr w14:val="tx1"/>
                        </w14:solidFill>
                      </w14:textFill>
                    </w:rPr>
                    <w:t>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1531" w:type="dxa"/>
                  <w:tcBorders>
                    <w:tl2br w:val="nil"/>
                    <w:tr2bl w:val="nil"/>
                  </w:tcBorders>
                  <w:vAlign w:val="center"/>
                </w:tcPr>
                <w:p w14:paraId="681536D9">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0.0018</w:t>
                  </w:r>
                </w:p>
              </w:tc>
              <w:tc>
                <w:tcPr>
                  <w:tcW w:w="1116" w:type="dxa"/>
                  <w:tcBorders>
                    <w:tl2br w:val="nil"/>
                    <w:tr2bl w:val="nil"/>
                  </w:tcBorders>
                  <w:vAlign w:val="center"/>
                </w:tcPr>
                <w:p w14:paraId="663EB30E">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w:t>
                  </w:r>
                </w:p>
              </w:tc>
              <w:tc>
                <w:tcPr>
                  <w:tcW w:w="1093" w:type="dxa"/>
                  <w:tcBorders>
                    <w:tl2br w:val="nil"/>
                    <w:tr2bl w:val="nil"/>
                  </w:tcBorders>
                  <w:vAlign w:val="center"/>
                </w:tcPr>
                <w:p w14:paraId="095964C5">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0.0011</w:t>
                  </w:r>
                </w:p>
              </w:tc>
              <w:tc>
                <w:tcPr>
                  <w:tcW w:w="1154" w:type="dxa"/>
                  <w:tcBorders>
                    <w:tl2br w:val="nil"/>
                    <w:tr2bl w:val="nil"/>
                  </w:tcBorders>
                  <w:vAlign w:val="center"/>
                </w:tcPr>
                <w:p w14:paraId="00528B6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0.0002</w:t>
                  </w:r>
                </w:p>
              </w:tc>
            </w:tr>
            <w:tr w14:paraId="60CF63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restart"/>
                  <w:tcBorders>
                    <w:tl2br w:val="nil"/>
                    <w:tr2bl w:val="nil"/>
                  </w:tcBorders>
                  <w:vAlign w:val="center"/>
                </w:tcPr>
                <w:p w14:paraId="6575E1BD">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t>3</w:t>
                  </w:r>
                </w:p>
              </w:tc>
              <w:tc>
                <w:tcPr>
                  <w:tcW w:w="2732" w:type="dxa"/>
                  <w:tcBorders>
                    <w:tl2br w:val="nil"/>
                    <w:tr2bl w:val="nil"/>
                  </w:tcBorders>
                  <w:vAlign w:val="center"/>
                </w:tcPr>
                <w:p w14:paraId="0E8C711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废水总量</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m</w:t>
                  </w:r>
                  <w:r>
                    <w:rPr>
                      <w:rFonts w:hint="default" w:ascii="Times New Roman" w:hAnsi="Times New Roman" w:cs="Times New Roman"/>
                      <w:bCs/>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u w:val="none"/>
                      <w14:textFill>
                        <w14:solidFill>
                          <w14:schemeClr w14:val="tx1"/>
                        </w14:solidFill>
                      </w14:textFill>
                    </w:rPr>
                    <w: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4894" w:type="dxa"/>
                  <w:gridSpan w:val="4"/>
                  <w:tcBorders>
                    <w:tl2br w:val="nil"/>
                    <w:tr2bl w:val="nil"/>
                  </w:tcBorders>
                  <w:vAlign w:val="center"/>
                </w:tcPr>
                <w:p w14:paraId="1888DA0A">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216</w:t>
                  </w:r>
                </w:p>
              </w:tc>
            </w:tr>
            <w:tr w14:paraId="0E6474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6426EE3F">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4E6C6F3C">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cente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w:t>
                  </w: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排放</w:t>
                  </w:r>
                  <w:r>
                    <w:rPr>
                      <w:rFonts w:hint="default" w:ascii="Times New Roman" w:hAnsi="Times New Roman" w:cs="Times New Roman"/>
                      <w:bCs/>
                      <w:color w:val="000000" w:themeColor="text1"/>
                      <w:sz w:val="21"/>
                      <w:szCs w:val="21"/>
                      <w:u w:val="none"/>
                      <w14:textFill>
                        <w14:solidFill>
                          <w14:schemeClr w14:val="tx1"/>
                        </w14:solidFill>
                      </w14:textFill>
                    </w:rPr>
                    <w:t>浓度（mg/L）</w:t>
                  </w:r>
                </w:p>
              </w:tc>
              <w:tc>
                <w:tcPr>
                  <w:tcW w:w="1531" w:type="dxa"/>
                  <w:tcBorders>
                    <w:tl2br w:val="nil"/>
                    <w:tr2bl w:val="nil"/>
                  </w:tcBorders>
                  <w:vAlign w:val="center"/>
                </w:tcPr>
                <w:p w14:paraId="468083A8">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221</w:t>
                  </w:r>
                </w:p>
              </w:tc>
              <w:tc>
                <w:tcPr>
                  <w:tcW w:w="1116" w:type="dxa"/>
                  <w:tcBorders>
                    <w:tl2br w:val="nil"/>
                    <w:tr2bl w:val="nil"/>
                  </w:tcBorders>
                  <w:vAlign w:val="center"/>
                </w:tcPr>
                <w:p w14:paraId="6219DE3C">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105</w:t>
                  </w:r>
                </w:p>
              </w:tc>
              <w:tc>
                <w:tcPr>
                  <w:tcW w:w="1093" w:type="dxa"/>
                  <w:tcBorders>
                    <w:tl2br w:val="nil"/>
                    <w:tr2bl w:val="nil"/>
                  </w:tcBorders>
                  <w:vAlign w:val="center"/>
                </w:tcPr>
                <w:p w14:paraId="57651269">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122</w:t>
                  </w:r>
                </w:p>
              </w:tc>
              <w:tc>
                <w:tcPr>
                  <w:tcW w:w="1154" w:type="dxa"/>
                  <w:tcBorders>
                    <w:tl2br w:val="nil"/>
                    <w:tr2bl w:val="nil"/>
                  </w:tcBorders>
                  <w:vAlign w:val="center"/>
                </w:tcPr>
                <w:p w14:paraId="35A024A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24</w:t>
                  </w:r>
                </w:p>
              </w:tc>
            </w:tr>
            <w:tr w14:paraId="0A57AF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36DE5B00">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34BA5393">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eastAsia="zh-CN"/>
                      <w14:textFill>
                        <w14:solidFill>
                          <w14:schemeClr w14:val="tx1"/>
                        </w14:solidFill>
                      </w14:textFill>
                    </w:rPr>
                    <w:t>污染物</w:t>
                  </w:r>
                  <w:r>
                    <w:rPr>
                      <w:rFonts w:hint="default" w:ascii="Times New Roman" w:hAnsi="Times New Roman" w:cs="Times New Roman"/>
                      <w:bCs/>
                      <w:color w:val="000000" w:themeColor="text1"/>
                      <w:sz w:val="21"/>
                      <w:szCs w:val="21"/>
                      <w:u w:val="none"/>
                      <w14:textFill>
                        <w14:solidFill>
                          <w14:schemeClr w14:val="tx1"/>
                        </w14:solidFill>
                      </w14:textFill>
                    </w:rPr>
                    <w:t>排放量</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（出厂界量）（t/a）</w:t>
                  </w:r>
                </w:p>
              </w:tc>
              <w:tc>
                <w:tcPr>
                  <w:tcW w:w="1531" w:type="dxa"/>
                  <w:tcBorders>
                    <w:tl2br w:val="nil"/>
                    <w:tr2bl w:val="nil"/>
                  </w:tcBorders>
                  <w:vAlign w:val="center"/>
                </w:tcPr>
                <w:p w14:paraId="2047D504">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0.0477</w:t>
                  </w:r>
                </w:p>
              </w:tc>
              <w:tc>
                <w:tcPr>
                  <w:tcW w:w="1116" w:type="dxa"/>
                  <w:tcBorders>
                    <w:tl2br w:val="nil"/>
                    <w:tr2bl w:val="nil"/>
                  </w:tcBorders>
                  <w:vAlign w:val="center"/>
                </w:tcPr>
                <w:p w14:paraId="55E875D0">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0.0227</w:t>
                  </w:r>
                </w:p>
              </w:tc>
              <w:tc>
                <w:tcPr>
                  <w:tcW w:w="1093" w:type="dxa"/>
                  <w:tcBorders>
                    <w:tl2br w:val="nil"/>
                    <w:tr2bl w:val="nil"/>
                  </w:tcBorders>
                  <w:vAlign w:val="center"/>
                </w:tcPr>
                <w:p w14:paraId="5DA3E52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 xml:space="preserve">0.0264 </w:t>
                  </w:r>
                </w:p>
              </w:tc>
              <w:tc>
                <w:tcPr>
                  <w:tcW w:w="1154" w:type="dxa"/>
                  <w:tcBorders>
                    <w:tl2br w:val="nil"/>
                    <w:tr2bl w:val="nil"/>
                  </w:tcBorders>
                  <w:vAlign w:val="center"/>
                </w:tcPr>
                <w:p w14:paraId="5D6C0B9C">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0.0052</w:t>
                  </w:r>
                </w:p>
              </w:tc>
            </w:tr>
            <w:tr w14:paraId="6CD855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7A4D72AA">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5DAAB131">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eastAsia="zh-CN"/>
                      <w14:textFill>
                        <w14:solidFill>
                          <w14:schemeClr w14:val="tx1"/>
                        </w14:solidFill>
                      </w14:textFill>
                    </w:rPr>
                    <w:t>污染物</w:t>
                  </w:r>
                  <w:r>
                    <w:rPr>
                      <w:rFonts w:hint="default" w:ascii="Times New Roman" w:hAnsi="Times New Roman" w:cs="Times New Roman"/>
                      <w:bCs/>
                      <w:color w:val="000000" w:themeColor="text1"/>
                      <w:sz w:val="21"/>
                      <w:szCs w:val="21"/>
                      <w:u w:val="none"/>
                      <w14:textFill>
                        <w14:solidFill>
                          <w14:schemeClr w14:val="tx1"/>
                        </w14:solidFill>
                      </w14:textFill>
                    </w:rPr>
                    <w:t>排放量</w:t>
                  </w:r>
                  <w:r>
                    <w:rPr>
                      <w:rFonts w:hint="default" w:ascii="Times New Roman" w:hAnsi="Times New Roman" w:cs="Times New Roman"/>
                      <w:color w:val="000000" w:themeColor="text1"/>
                      <w:sz w:val="21"/>
                      <w:szCs w:val="21"/>
                      <w:u w:val="none"/>
                      <w:lang w:eastAsia="zh-CN"/>
                      <w14:textFill>
                        <w14:solidFill>
                          <w14:schemeClr w14:val="tx1"/>
                        </w14:solidFill>
                      </w14:textFill>
                    </w:rPr>
                    <w:t>（入环境量）</w:t>
                  </w:r>
                  <w:r>
                    <w:rPr>
                      <w:rFonts w:hint="default" w:ascii="Times New Roman" w:hAnsi="Times New Roman" w:cs="Times New Roman"/>
                      <w:bCs/>
                      <w:color w:val="000000" w:themeColor="text1"/>
                      <w:sz w:val="21"/>
                      <w:szCs w:val="21"/>
                      <w:u w:val="none"/>
                      <w14:textFill>
                        <w14:solidFill>
                          <w14:schemeClr w14:val="tx1"/>
                        </w14:solidFill>
                      </w14:textFill>
                    </w:rPr>
                    <w:t>（t/a）</w:t>
                  </w:r>
                </w:p>
              </w:tc>
              <w:tc>
                <w:tcPr>
                  <w:tcW w:w="1531" w:type="dxa"/>
                  <w:tcBorders>
                    <w:tl2br w:val="nil"/>
                    <w:tr2bl w:val="nil"/>
                  </w:tcBorders>
                  <w:vAlign w:val="center"/>
                </w:tcPr>
                <w:p w14:paraId="107359F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0.0065</w:t>
                  </w:r>
                </w:p>
              </w:tc>
              <w:tc>
                <w:tcPr>
                  <w:tcW w:w="1116" w:type="dxa"/>
                  <w:tcBorders>
                    <w:tl2br w:val="nil"/>
                    <w:tr2bl w:val="nil"/>
                  </w:tcBorders>
                  <w:vAlign w:val="center"/>
                </w:tcPr>
                <w:p w14:paraId="4A9C099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t>-</w:t>
                  </w:r>
                </w:p>
              </w:tc>
              <w:tc>
                <w:tcPr>
                  <w:tcW w:w="1093" w:type="dxa"/>
                  <w:tcBorders>
                    <w:tl2br w:val="nil"/>
                    <w:tr2bl w:val="nil"/>
                  </w:tcBorders>
                  <w:vAlign w:val="center"/>
                </w:tcPr>
                <w:p w14:paraId="03E33535">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t>-</w:t>
                  </w:r>
                </w:p>
              </w:tc>
              <w:tc>
                <w:tcPr>
                  <w:tcW w:w="1154" w:type="dxa"/>
                  <w:tcBorders>
                    <w:tl2br w:val="nil"/>
                    <w:tr2bl w:val="nil"/>
                  </w:tcBorders>
                  <w:vAlign w:val="center"/>
                </w:tcPr>
                <w:p w14:paraId="4DDE168B">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u w:val="none"/>
                      <w:lang w:val="en-US" w:eastAsia="zh-CN" w:bidi="ar-SA"/>
                      <w14:textFill>
                        <w14:solidFill>
                          <w14:schemeClr w14:val="tx1"/>
                        </w14:solidFill>
                      </w14:textFill>
                    </w:rPr>
                    <w:t>0.0003</w:t>
                  </w:r>
                </w:p>
              </w:tc>
            </w:tr>
            <w:tr w14:paraId="046A8D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restart"/>
                  <w:tcBorders>
                    <w:tl2br w:val="nil"/>
                    <w:tr2bl w:val="nil"/>
                  </w:tcBorders>
                  <w:vAlign w:val="center"/>
                </w:tcPr>
                <w:p w14:paraId="62F8C03E">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default" w:ascii="Times New Roman" w:hAnsi="Times New Roman"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t>4</w:t>
                  </w:r>
                </w:p>
              </w:tc>
              <w:tc>
                <w:tcPr>
                  <w:tcW w:w="2732" w:type="dxa"/>
                  <w:tcBorders>
                    <w:tl2br w:val="nil"/>
                    <w:tr2bl w:val="nil"/>
                  </w:tcBorders>
                  <w:vAlign w:val="center"/>
                </w:tcPr>
                <w:p w14:paraId="13259894">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both"/>
                    <w:rPr>
                      <w:rFonts w:hint="default"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《污水综合排放标准》（GB8978-1996）表4三级标准（mg/L）</w:t>
                  </w:r>
                </w:p>
              </w:tc>
              <w:tc>
                <w:tcPr>
                  <w:tcW w:w="1531" w:type="dxa"/>
                  <w:tcBorders>
                    <w:tl2br w:val="nil"/>
                    <w:tr2bl w:val="nil"/>
                  </w:tcBorders>
                  <w:vAlign w:val="center"/>
                </w:tcPr>
                <w:p w14:paraId="32FA4898">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500</w:t>
                  </w:r>
                </w:p>
              </w:tc>
              <w:tc>
                <w:tcPr>
                  <w:tcW w:w="1116" w:type="dxa"/>
                  <w:tcBorders>
                    <w:tl2br w:val="nil"/>
                    <w:tr2bl w:val="nil"/>
                  </w:tcBorders>
                  <w:vAlign w:val="center"/>
                </w:tcPr>
                <w:p w14:paraId="3CBF2306">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t>300</w:t>
                  </w:r>
                </w:p>
              </w:tc>
              <w:tc>
                <w:tcPr>
                  <w:tcW w:w="1093" w:type="dxa"/>
                  <w:tcBorders>
                    <w:tl2br w:val="nil"/>
                    <w:tr2bl w:val="nil"/>
                  </w:tcBorders>
                  <w:vAlign w:val="center"/>
                </w:tcPr>
                <w:p w14:paraId="2C68DC81">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400</w:t>
                  </w:r>
                </w:p>
              </w:tc>
              <w:tc>
                <w:tcPr>
                  <w:tcW w:w="1154" w:type="dxa"/>
                  <w:tcBorders>
                    <w:tl2br w:val="nil"/>
                    <w:tr2bl w:val="nil"/>
                  </w:tcBorders>
                  <w:vAlign w:val="center"/>
                </w:tcPr>
                <w:p w14:paraId="232C2F2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t>-</w:t>
                  </w:r>
                </w:p>
              </w:tc>
            </w:tr>
            <w:tr w14:paraId="52F20A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74F1333B">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24147BC6">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both"/>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许昌市鸿瀚环境技术管理有限公司</w:t>
                  </w: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进水水质要求</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（mg/L）</w:t>
                  </w:r>
                </w:p>
              </w:tc>
              <w:tc>
                <w:tcPr>
                  <w:tcW w:w="1531" w:type="dxa"/>
                  <w:tcBorders>
                    <w:tl2br w:val="nil"/>
                    <w:tr2bl w:val="nil"/>
                  </w:tcBorders>
                  <w:vAlign w:val="center"/>
                </w:tcPr>
                <w:p w14:paraId="16D81520">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450</w:t>
                  </w:r>
                </w:p>
              </w:tc>
              <w:tc>
                <w:tcPr>
                  <w:tcW w:w="1116" w:type="dxa"/>
                  <w:tcBorders>
                    <w:tl2br w:val="nil"/>
                    <w:tr2bl w:val="nil"/>
                  </w:tcBorders>
                  <w:vAlign w:val="center"/>
                </w:tcPr>
                <w:p w14:paraId="74BB8E22">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kern w:val="2"/>
                      <w:sz w:val="21"/>
                      <w:szCs w:val="21"/>
                      <w:u w:val="none"/>
                      <w:lang w:val="en-US" w:eastAsia="zh-CN" w:bidi="ar-SA"/>
                      <w14:textFill>
                        <w14:solidFill>
                          <w14:schemeClr w14:val="tx1"/>
                        </w14:solidFill>
                      </w14:textFill>
                    </w:rPr>
                    <w:t>-</w:t>
                  </w:r>
                </w:p>
              </w:tc>
              <w:tc>
                <w:tcPr>
                  <w:tcW w:w="1093" w:type="dxa"/>
                  <w:tcBorders>
                    <w:tl2br w:val="nil"/>
                    <w:tr2bl w:val="nil"/>
                  </w:tcBorders>
                  <w:vAlign w:val="center"/>
                </w:tcPr>
                <w:p w14:paraId="47D0BDC1">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800</w:t>
                  </w:r>
                </w:p>
              </w:tc>
              <w:tc>
                <w:tcPr>
                  <w:tcW w:w="1154" w:type="dxa"/>
                  <w:tcBorders>
                    <w:tl2br w:val="nil"/>
                    <w:tr2bl w:val="nil"/>
                  </w:tcBorders>
                  <w:vAlign w:val="center"/>
                </w:tcPr>
                <w:p w14:paraId="12533668">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45</w:t>
                  </w:r>
                </w:p>
              </w:tc>
            </w:tr>
            <w:tr w14:paraId="68378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20" w:type="dxa"/>
                  <w:vMerge w:val="continue"/>
                  <w:tcBorders>
                    <w:tl2br w:val="nil"/>
                    <w:tr2bl w:val="nil"/>
                  </w:tcBorders>
                  <w:vAlign w:val="center"/>
                </w:tcPr>
                <w:p w14:paraId="1E404080">
                  <w:pPr>
                    <w:keepNext w:val="0"/>
                    <w:keepLines w:val="0"/>
                    <w:pageBreakBefore w:val="0"/>
                    <w:kinsoku/>
                    <w:wordWrap/>
                    <w:overflowPunct/>
                    <w:topLinePunct w:val="0"/>
                    <w:autoSpaceDE w:val="0"/>
                    <w:autoSpaceDN w:val="0"/>
                    <w:bidi w:val="0"/>
                    <w:adjustRightInd/>
                    <w:snapToGrid/>
                    <w:spacing w:beforeAutospacing="0" w:afterAutospacing="0" w:line="360" w:lineRule="exact"/>
                    <w:jc w:val="center"/>
                    <w:rPr>
                      <w:rFonts w:hint="eastAsia" w:ascii="Times New Roman" w:hAnsi="Times New Roman" w:cs="Times New Roman"/>
                      <w:color w:val="000000" w:themeColor="text1"/>
                      <w:kern w:val="2"/>
                      <w:sz w:val="21"/>
                      <w:szCs w:val="21"/>
                      <w:u w:val="none"/>
                      <w:lang w:val="en-US" w:eastAsia="zh-CN" w:bidi="ar-SA"/>
                      <w14:textFill>
                        <w14:solidFill>
                          <w14:schemeClr w14:val="tx1"/>
                        </w14:solidFill>
                      </w14:textFill>
                    </w:rPr>
                  </w:pPr>
                </w:p>
              </w:tc>
              <w:tc>
                <w:tcPr>
                  <w:tcW w:w="2732" w:type="dxa"/>
                  <w:tcBorders>
                    <w:tl2br w:val="nil"/>
                    <w:tr2bl w:val="nil"/>
                  </w:tcBorders>
                  <w:vAlign w:val="center"/>
                </w:tcPr>
                <w:p w14:paraId="43DAC86E">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jc w:val="both"/>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许昌市鸿瀚环境技术管理有限公司</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出水浓度（mg/L）</w:t>
                  </w:r>
                </w:p>
              </w:tc>
              <w:tc>
                <w:tcPr>
                  <w:tcW w:w="1531" w:type="dxa"/>
                  <w:tcBorders>
                    <w:tl2br w:val="nil"/>
                    <w:tr2bl w:val="nil"/>
                  </w:tcBorders>
                  <w:vAlign w:val="center"/>
                </w:tcPr>
                <w:p w14:paraId="200D8DB3">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30</w:t>
                  </w:r>
                </w:p>
              </w:tc>
              <w:tc>
                <w:tcPr>
                  <w:tcW w:w="1116" w:type="dxa"/>
                  <w:tcBorders>
                    <w:tl2br w:val="nil"/>
                    <w:tr2bl w:val="nil"/>
                  </w:tcBorders>
                  <w:vAlign w:val="center"/>
                </w:tcPr>
                <w:p w14:paraId="303C71BF">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w:t>
                  </w:r>
                </w:p>
              </w:tc>
              <w:tc>
                <w:tcPr>
                  <w:tcW w:w="1093" w:type="dxa"/>
                  <w:tcBorders>
                    <w:tl2br w:val="nil"/>
                    <w:tr2bl w:val="nil"/>
                  </w:tcBorders>
                  <w:vAlign w:val="center"/>
                </w:tcPr>
                <w:p w14:paraId="4EDC2A9D">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w:t>
                  </w:r>
                </w:p>
              </w:tc>
              <w:tc>
                <w:tcPr>
                  <w:tcW w:w="1154" w:type="dxa"/>
                  <w:tcBorders>
                    <w:tl2br w:val="nil"/>
                    <w:tr2bl w:val="nil"/>
                  </w:tcBorders>
                  <w:vAlign w:val="center"/>
                </w:tcPr>
                <w:p w14:paraId="42C89B71">
                  <w:pPr>
                    <w:keepNext w:val="0"/>
                    <w:keepLines w:val="0"/>
                    <w:pageBreakBefore w:val="0"/>
                    <w:kinsoku/>
                    <w:wordWrap/>
                    <w:overflowPunct/>
                    <w:topLinePunct w:val="0"/>
                    <w:autoSpaceDE w:val="0"/>
                    <w:autoSpaceDN w:val="0"/>
                    <w:bidi w:val="0"/>
                    <w:adjustRightInd/>
                    <w:snapToGrid/>
                    <w:spacing w:beforeAutospacing="0" w:afterAutospacing="0" w:line="360" w:lineRule="exact"/>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1.5</w:t>
                  </w:r>
                </w:p>
              </w:tc>
            </w:tr>
          </w:tbl>
          <w:p w14:paraId="6E0DC048">
            <w:pPr>
              <w:pStyle w:val="61"/>
              <w:keepNext w:val="0"/>
              <w:keepLines w:val="0"/>
              <w:pageBreakBefore w:val="0"/>
              <w:widowControl w:val="0"/>
              <w:kinsoku/>
              <w:wordWrap/>
              <w:overflowPunct/>
              <w:topLinePunct w:val="0"/>
              <w:autoSpaceDE w:val="0"/>
              <w:autoSpaceDN w:val="0"/>
              <w:bidi w:val="0"/>
              <w:adjustRightInd w:val="0"/>
              <w:snapToGrid/>
              <w:spacing w:beforeAutospacing="0" w:afterAutospacing="0" w:line="520" w:lineRule="exact"/>
              <w:ind w:left="0" w:leftChars="0" w:right="0" w:firstLine="480" w:firstLineChars="200"/>
              <w:jc w:val="both"/>
              <w:textAlignment w:val="baseline"/>
              <w:rPr>
                <w:rFonts w:hint="eastAsia" w:ascii="Times New Roman" w:hAnsi="Times New Roman" w:eastAsia="宋体" w:cs="Times New Roman"/>
                <w:sz w:val="24"/>
                <w:szCs w:val="24"/>
                <w:lang w:val="en-US" w:eastAsia="zh-CN" w:bidi="zh-CN"/>
              </w:rPr>
            </w:pPr>
            <w:r>
              <w:rPr>
                <w:rFonts w:hint="eastAsia" w:ascii="Times New Roman" w:hAnsi="Times New Roman" w:eastAsia="宋体" w:cs="Times New Roman"/>
                <w:sz w:val="24"/>
                <w:szCs w:val="24"/>
                <w:lang w:val="en-US" w:eastAsia="zh-CN" w:bidi="zh-CN"/>
              </w:rPr>
              <w:t>由上表可知，本项目</w:t>
            </w:r>
            <w:r>
              <w:rPr>
                <w:rFonts w:hint="eastAsia" w:ascii="Times New Roman" w:hAnsi="Times New Roman" w:cs="Times New Roman"/>
                <w:sz w:val="24"/>
                <w:szCs w:val="24"/>
                <w:lang w:val="en-US" w:eastAsia="zh-CN" w:bidi="zh-CN"/>
              </w:rPr>
              <w:t>废水</w:t>
            </w:r>
            <w:r>
              <w:rPr>
                <w:rFonts w:hint="eastAsia" w:ascii="Times New Roman" w:hAnsi="Times New Roman" w:eastAsia="宋体" w:cs="Times New Roman"/>
                <w:sz w:val="24"/>
                <w:szCs w:val="24"/>
                <w:lang w:val="en-US" w:eastAsia="zh-CN" w:bidi="zh-CN"/>
              </w:rPr>
              <w:t>出水浓度可以满足《污水综合排放标准》（GB8978-1996）表4三级标准要求及许昌市鸿瀚环境技术管理有限公司</w:t>
            </w:r>
            <w:r>
              <w:rPr>
                <w:rFonts w:hint="eastAsia" w:ascii="Times New Roman" w:hAnsi="Times New Roman" w:cs="Times New Roman"/>
                <w:sz w:val="24"/>
                <w:szCs w:val="24"/>
                <w:lang w:val="en-US" w:eastAsia="zh-CN" w:bidi="zh-CN"/>
              </w:rPr>
              <w:t>进水水质要求</w:t>
            </w:r>
            <w:r>
              <w:rPr>
                <w:rFonts w:hint="eastAsia" w:ascii="Times New Roman" w:hAnsi="Times New Roman" w:eastAsia="宋体" w:cs="Times New Roman"/>
                <w:sz w:val="24"/>
                <w:szCs w:val="24"/>
                <w:lang w:val="en-US" w:eastAsia="zh-CN" w:bidi="zh-CN"/>
              </w:rPr>
              <w:t>。</w:t>
            </w:r>
          </w:p>
          <w:p w14:paraId="4D864FFF">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b/>
                <w:color w:val="auto"/>
                <w:sz w:val="24"/>
                <w:szCs w:val="24"/>
                <w:u w:val="none" w:color="auto"/>
                <w:lang w:val="en-US" w:eastAsia="zh-CN"/>
              </w:rPr>
              <w:t>3、</w:t>
            </w:r>
            <w:r>
              <w:rPr>
                <w:rFonts w:hint="default" w:ascii="Times New Roman" w:hAnsi="Times New Roman" w:cs="Times New Roman"/>
                <w:b/>
                <w:color w:val="auto"/>
                <w:sz w:val="24"/>
                <w:szCs w:val="24"/>
                <w:u w:val="none" w:color="auto"/>
                <w:lang w:val="en-US" w:eastAsia="zh-CN"/>
              </w:rPr>
              <w:t>地表水环境影响分析</w:t>
            </w:r>
          </w:p>
          <w:p w14:paraId="33D3C7F3">
            <w:pPr>
              <w:widowControl w:val="0"/>
              <w:wordWrap/>
              <w:adjustRightInd/>
              <w:snapToGrid w:val="0"/>
              <w:spacing w:beforeAutospacing="0" w:afterAutospacing="0" w:line="520" w:lineRule="exact"/>
              <w:ind w:right="0" w:firstLine="480"/>
              <w:jc w:val="both"/>
              <w:textAlignment w:val="auto"/>
              <w:outlineLvl w:val="9"/>
              <w:rPr>
                <w:rFonts w:hint="eastAsia" w:ascii="Times New Roman" w:hAnsi="Times New Roman"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（1）化粪池依托合理性分析</w:t>
            </w:r>
          </w:p>
          <w:p w14:paraId="65BED96F">
            <w:pPr>
              <w:pStyle w:val="35"/>
              <w:keepNext w:val="0"/>
              <w:keepLines w:val="0"/>
              <w:pageBreakBefore w:val="0"/>
              <w:widowControl w:val="0"/>
              <w:kinsoku/>
              <w:wordWrap/>
              <w:overflowPunct/>
              <w:topLinePunct w:val="0"/>
              <w:autoSpaceDE w:val="0"/>
              <w:autoSpaceDN w:val="0"/>
              <w:bidi w:val="0"/>
              <w:adjustRightInd w:val="0"/>
              <w:snapToGrid/>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bidi="zh-CN"/>
              </w:rPr>
            </w:pPr>
            <w:r>
              <w:rPr>
                <w:rFonts w:hint="eastAsia" w:ascii="Times New Roman" w:hAnsi="Times New Roman" w:eastAsia="宋体" w:cs="Times New Roman"/>
                <w:b w:val="0"/>
                <w:bCs/>
                <w:color w:val="auto"/>
                <w:sz w:val="24"/>
                <w:szCs w:val="24"/>
                <w:lang w:val="en-US" w:eastAsia="zh-CN" w:bidi="zh-CN"/>
              </w:rPr>
              <w:t>项目所在厂院存在其他生产厂家，根据现场调查，除本项目外，其他企业员工总人数约为100人，生活污水产生量约为4m</w:t>
            </w:r>
            <w:r>
              <w:rPr>
                <w:rFonts w:hint="eastAsia" w:ascii="Times New Roman" w:hAnsi="Times New Roman" w:eastAsia="宋体" w:cs="Times New Roman"/>
                <w:b w:val="0"/>
                <w:bCs/>
                <w:color w:val="auto"/>
                <w:sz w:val="24"/>
                <w:szCs w:val="24"/>
                <w:vertAlign w:val="superscript"/>
                <w:lang w:val="en-US" w:eastAsia="zh-CN" w:bidi="zh-CN"/>
              </w:rPr>
              <w:t>3</w:t>
            </w:r>
            <w:r>
              <w:rPr>
                <w:rFonts w:hint="eastAsia" w:ascii="Times New Roman" w:hAnsi="Times New Roman" w:eastAsia="宋体" w:cs="Times New Roman"/>
                <w:b w:val="0"/>
                <w:bCs/>
                <w:color w:val="auto"/>
                <w:sz w:val="24"/>
                <w:szCs w:val="24"/>
                <w:lang w:val="en-US" w:eastAsia="zh-CN" w:bidi="zh-CN"/>
              </w:rPr>
              <w:t>/d，本项目生活污水产生量为0.6m</w:t>
            </w:r>
            <w:r>
              <w:rPr>
                <w:rFonts w:hint="eastAsia" w:ascii="Times New Roman" w:hAnsi="Times New Roman" w:eastAsia="宋体" w:cs="Times New Roman"/>
                <w:b w:val="0"/>
                <w:bCs/>
                <w:color w:val="auto"/>
                <w:sz w:val="24"/>
                <w:szCs w:val="24"/>
                <w:vertAlign w:val="superscript"/>
                <w:lang w:val="en-US" w:eastAsia="zh-CN" w:bidi="zh-CN"/>
              </w:rPr>
              <w:t>3</w:t>
            </w:r>
            <w:r>
              <w:rPr>
                <w:rFonts w:hint="eastAsia" w:ascii="Times New Roman" w:hAnsi="Times New Roman" w:eastAsia="宋体" w:cs="Times New Roman"/>
                <w:b w:val="0"/>
                <w:bCs/>
                <w:color w:val="auto"/>
                <w:sz w:val="24"/>
                <w:szCs w:val="24"/>
                <w:lang w:val="en-US" w:eastAsia="zh-CN" w:bidi="zh-CN"/>
              </w:rPr>
              <w:t>/d。厂院化粪池容积约为20m</w:t>
            </w:r>
            <w:r>
              <w:rPr>
                <w:rFonts w:hint="eastAsia" w:ascii="Times New Roman" w:hAnsi="Times New Roman" w:eastAsia="宋体" w:cs="Times New Roman"/>
                <w:b w:val="0"/>
                <w:bCs/>
                <w:color w:val="auto"/>
                <w:sz w:val="24"/>
                <w:szCs w:val="24"/>
                <w:vertAlign w:val="superscript"/>
                <w:lang w:val="en-US" w:eastAsia="zh-CN" w:bidi="zh-CN"/>
              </w:rPr>
              <w:t>3</w:t>
            </w:r>
            <w:r>
              <w:rPr>
                <w:rFonts w:hint="eastAsia" w:ascii="Times New Roman" w:hAnsi="Times New Roman" w:eastAsia="宋体" w:cs="Times New Roman"/>
                <w:b w:val="0"/>
                <w:bCs/>
                <w:color w:val="auto"/>
                <w:sz w:val="24"/>
                <w:szCs w:val="24"/>
                <w:lang w:val="en-US" w:eastAsia="zh-CN" w:bidi="zh-CN"/>
              </w:rPr>
              <w:t>，满足厂区生活污水排放要求。</w:t>
            </w:r>
          </w:p>
          <w:p w14:paraId="6FAE999F">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w:t>
            </w:r>
            <w:r>
              <w:rPr>
                <w:rFonts w:hint="eastAsia" w:ascii="Times New Roman" w:hAnsi="Times New Roman" w:cs="Times New Roman"/>
                <w:color w:val="auto"/>
                <w:sz w:val="24"/>
                <w:szCs w:val="24"/>
                <w:highlight w:val="none"/>
                <w:u w:val="none" w:color="auto"/>
                <w:lang w:val="en-US" w:eastAsia="zh-CN"/>
              </w:rPr>
              <w:t>2</w:t>
            </w:r>
            <w:r>
              <w:rPr>
                <w:rFonts w:hint="default" w:ascii="Times New Roman" w:hAnsi="Times New Roman" w:cs="Times New Roman"/>
                <w:color w:val="auto"/>
                <w:sz w:val="24"/>
                <w:szCs w:val="24"/>
                <w:highlight w:val="none"/>
                <w:u w:val="none" w:color="auto"/>
                <w:lang w:val="en-US" w:eastAsia="zh-CN"/>
              </w:rPr>
              <w:t>）项目废水处理可行性分析</w:t>
            </w:r>
          </w:p>
          <w:p w14:paraId="4361CC8F">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sz w:val="24"/>
                <w:szCs w:val="24"/>
                <w:u w:val="none" w:color="auto"/>
                <w:lang w:eastAsia="zh-CN"/>
              </w:rPr>
              <w:t>许昌市鸿瀚环境技术管理有限公司</w:t>
            </w:r>
            <w:r>
              <w:rPr>
                <w:rFonts w:hint="default" w:ascii="Times New Roman" w:hAnsi="Times New Roman" w:eastAsia="宋体" w:cs="Times New Roman"/>
                <w:sz w:val="24"/>
                <w:szCs w:val="24"/>
                <w:u w:val="none" w:color="auto"/>
              </w:rPr>
              <w:t>位于许昌市北外环清潩河东岸路南，始建于2003年，规划收水范围为文峰路以西、南海街以北、西外环以东、连和路以南的区域，主要收集许昌魏都产业集聚区内工业废水和区域生活污水。</w:t>
            </w:r>
            <w:r>
              <w:rPr>
                <w:rFonts w:hint="default" w:ascii="Times New Roman" w:hAnsi="Times New Roman" w:eastAsia="宋体" w:cs="Times New Roman"/>
                <w:sz w:val="24"/>
                <w:szCs w:val="24"/>
                <w:u w:val="none" w:color="auto"/>
                <w:lang w:eastAsia="zh-CN"/>
              </w:rPr>
              <w:t>处理工艺包括</w:t>
            </w:r>
            <w:r>
              <w:rPr>
                <w:rFonts w:hint="default" w:ascii="Times New Roman" w:hAnsi="Times New Roman" w:eastAsia="宋体" w:cs="Times New Roman"/>
                <w:sz w:val="24"/>
                <w:szCs w:val="24"/>
                <w:u w:val="none" w:color="auto"/>
              </w:rPr>
              <w:t>预处理系统、好氧池、深度处理系统、高效浅层气浮处理系统（备用）以及污泥处理系统，设计规模为40000m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/d，厂区废水总排口设计出水水质为《城镇污水处理厂污染物排放标准》（GB18918-2002）及其修改单一级A标准</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2020年</w:t>
            </w:r>
            <w:r>
              <w:rPr>
                <w:rFonts w:hint="eastAsia" w:ascii="Times New Roman" w:hAnsi="Times New Roman" w:eastAsia="宋体" w:cs="Times New Roman"/>
                <w:sz w:val="24"/>
                <w:szCs w:val="24"/>
                <w:u w:val="none" w:color="auto"/>
                <w:lang w:eastAsia="zh-CN"/>
              </w:rPr>
              <w:t>许昌市鸿瀚环境技术管理有限公司</w:t>
            </w:r>
            <w:r>
              <w:rPr>
                <w:rFonts w:hint="default" w:ascii="Times New Roman" w:hAnsi="Times New Roman" w:eastAsia="宋体" w:cs="Times New Roman"/>
                <w:sz w:val="24"/>
                <w:szCs w:val="24"/>
                <w:u w:val="none" w:color="auto"/>
              </w:rPr>
              <w:t>进行了Ⅳ类水提标改造工程，设计处理能力</w:t>
            </w:r>
            <w:r>
              <w:rPr>
                <w:rFonts w:hint="default" w:ascii="Times New Roman" w:hAnsi="Times New Roman" w:eastAsia="宋体" w:cs="Times New Roman"/>
                <w:sz w:val="24"/>
                <w:szCs w:val="24"/>
                <w:u w:val="none" w:color="auto"/>
                <w:lang w:eastAsia="zh-CN"/>
              </w:rPr>
              <w:t>不变</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color w:val="auto"/>
                <w:sz w:val="24"/>
                <w:szCs w:val="24"/>
                <w:u w:val="none" w:color="auto"/>
              </w:rPr>
              <w:t>设计进水水质为COD</w:t>
            </w:r>
            <w:r>
              <w:rPr>
                <w:rFonts w:hint="eastAsia" w:ascii="Times New Roman" w:hAnsi="Times New Roman" w:cs="Times New Roman"/>
                <w:color w:val="auto"/>
                <w:sz w:val="24"/>
                <w:szCs w:val="24"/>
                <w:u w:val="none" w:color="auto"/>
                <w:lang w:val="en-US" w:eastAsia="zh-CN"/>
              </w:rPr>
              <w:t>450</w:t>
            </w:r>
            <w:r>
              <w:rPr>
                <w:rFonts w:hint="default" w:ascii="Times New Roman" w:hAnsi="Times New Roman" w:eastAsia="宋体" w:cs="Times New Roman"/>
                <w:color w:val="auto"/>
                <w:sz w:val="24"/>
                <w:szCs w:val="24"/>
                <w:u w:val="none" w:color="auto"/>
              </w:rPr>
              <w:t>mg/L、SS</w:t>
            </w:r>
            <w:r>
              <w:rPr>
                <w:rFonts w:hint="eastAsia" w:ascii="Times New Roman" w:hAnsi="Times New Roman" w:cs="Times New Roman"/>
                <w:color w:val="auto"/>
                <w:sz w:val="24"/>
                <w:szCs w:val="24"/>
                <w:u w:val="none" w:color="auto"/>
                <w:lang w:val="en-US" w:eastAsia="zh-CN"/>
              </w:rPr>
              <w:t>800</w:t>
            </w:r>
            <w:r>
              <w:rPr>
                <w:rFonts w:hint="default" w:ascii="Times New Roman" w:hAnsi="Times New Roman" w:eastAsia="宋体" w:cs="Times New Roman"/>
                <w:color w:val="auto"/>
                <w:sz w:val="24"/>
                <w:szCs w:val="24"/>
                <w:u w:val="none" w:color="auto"/>
              </w:rPr>
              <w:t>mg/L、氨氮</w:t>
            </w:r>
            <w:r>
              <w:rPr>
                <w:rFonts w:hint="eastAsia" w:ascii="Times New Roman" w:hAnsi="Times New Roman" w:cs="Times New Roman"/>
                <w:color w:val="auto"/>
                <w:sz w:val="24"/>
                <w:szCs w:val="24"/>
                <w:u w:val="none" w:color="auto"/>
                <w:lang w:val="en-US" w:eastAsia="zh-CN"/>
              </w:rPr>
              <w:t>45</w:t>
            </w:r>
            <w:r>
              <w:rPr>
                <w:rFonts w:hint="default" w:ascii="Times New Roman" w:hAnsi="Times New Roman" w:eastAsia="宋体" w:cs="Times New Roman"/>
                <w:color w:val="auto"/>
                <w:sz w:val="24"/>
                <w:szCs w:val="24"/>
                <w:u w:val="none" w:color="auto"/>
              </w:rPr>
              <w:t>mg/L</w:t>
            </w:r>
            <w:r>
              <w:rPr>
                <w:rFonts w:hint="eastAsia"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总氮45</w:t>
            </w:r>
            <w:r>
              <w:rPr>
                <w:rFonts w:hint="default" w:ascii="Times New Roman" w:hAnsi="Times New Roman" w:eastAsia="宋体" w:cs="Times New Roman"/>
                <w:color w:val="auto"/>
                <w:sz w:val="24"/>
                <w:szCs w:val="24"/>
                <w:u w:val="none" w:color="auto"/>
              </w:rPr>
              <w:t>mg/L</w:t>
            </w:r>
            <w:r>
              <w:rPr>
                <w:rFonts w:hint="eastAsia"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总磷5</w:t>
            </w:r>
            <w:r>
              <w:rPr>
                <w:rFonts w:hint="default" w:ascii="Times New Roman" w:hAnsi="Times New Roman" w:eastAsia="宋体" w:cs="Times New Roman"/>
                <w:color w:val="auto"/>
                <w:sz w:val="24"/>
                <w:szCs w:val="24"/>
                <w:u w:val="none" w:color="auto"/>
              </w:rPr>
              <w:t>mg/L，设计出水水质为COD30mg/L、BOD</w:t>
            </w:r>
            <w:r>
              <w:rPr>
                <w:rFonts w:hint="default" w:ascii="Times New Roman" w:hAnsi="Times New Roman" w:eastAsia="宋体" w:cs="Times New Roman"/>
                <w:color w:val="auto"/>
                <w:sz w:val="24"/>
                <w:szCs w:val="24"/>
                <w:u w:val="none" w:color="auto"/>
                <w:vertAlign w:val="subscript"/>
              </w:rPr>
              <w:t>5</w:t>
            </w:r>
            <w:r>
              <w:rPr>
                <w:rFonts w:hint="default" w:ascii="Times New Roman" w:hAnsi="Times New Roman" w:eastAsia="宋体" w:cs="Times New Roman"/>
                <w:color w:val="auto"/>
                <w:sz w:val="24"/>
                <w:szCs w:val="24"/>
                <w:u w:val="none" w:color="auto"/>
              </w:rPr>
              <w:t>10mg/L、SS10mg/L、氨氮1.5mg/L。</w:t>
            </w:r>
          </w:p>
          <w:p w14:paraId="5BC06C6F">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eastAsia="宋体" w:cs="Times New Roman"/>
                <w:color w:val="auto"/>
                <w:sz w:val="24"/>
                <w:szCs w:val="24"/>
                <w:u w:val="none" w:color="auto"/>
                <w:lang w:eastAsia="zh-CN"/>
              </w:rPr>
              <w:t>污水处理厂目前收水量在15000吨/天左右，占4万吨/天处理规模的37.5%左</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右，剩余处理负荷63.5%，从运行负荷上看，本项目建成后，废水排放量约为</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0.72</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m</w:t>
            </w:r>
            <w:r>
              <w:rPr>
                <w:rFonts w:hint="default" w:ascii="Times New Roman" w:hAnsi="Times New Roman" w:eastAsia="宋体" w:cs="Times New Roman"/>
                <w:color w:val="000000" w:themeColor="text1"/>
                <w:sz w:val="24"/>
                <w:szCs w:val="24"/>
                <w:u w:val="none" w:color="auto"/>
                <w:vertAlign w:val="superscript"/>
                <w:lang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/d，占</w:t>
            </w:r>
            <w:r>
              <w:rPr>
                <w:rFonts w:hint="eastAsia" w:ascii="Times New Roman" w:hAnsi="Times New Roman" w:cs="Times New Roman"/>
                <w:color w:val="000000" w:themeColor="text1"/>
                <w:sz w:val="24"/>
                <w:szCs w:val="24"/>
                <w:u w:val="none" w:color="auto"/>
                <w:lang w:eastAsia="zh-CN"/>
                <w14:textFill>
                  <w14:solidFill>
                    <w14:schemeClr w14:val="tx1"/>
                  </w14:solidFill>
                </w14:textFill>
              </w:rPr>
              <w:t>污水处理厂</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规划处理能力的比例很小，对污水处理厂运行影响不大，不会对处理厂的运行负荷造成冲击，污水处理厂可以负担本项目废水的处理负荷。</w:t>
            </w:r>
          </w:p>
          <w:p w14:paraId="26267101">
            <w:pPr>
              <w:widowControl w:val="0"/>
              <w:wordWrap/>
              <w:adjustRightInd/>
              <w:snapToGrid w:val="0"/>
              <w:spacing w:beforeAutospacing="0" w:afterAutospacing="0" w:line="520" w:lineRule="exact"/>
              <w:ind w:left="0" w:leftChars="0" w:right="0" w:firstLine="480" w:firstLineChars="20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eastAsia="宋体" w:cs="Times New Roman"/>
                <w:sz w:val="24"/>
                <w:szCs w:val="24"/>
                <w:u w:val="none" w:color="auto"/>
                <w:lang w:eastAsia="zh-CN"/>
              </w:rPr>
              <w:t>经工程分析，</w:t>
            </w:r>
            <w:r>
              <w:rPr>
                <w:rFonts w:hint="default" w:ascii="Times New Roman" w:hAnsi="Times New Roman" w:eastAsia="宋体" w:cs="Times New Roman"/>
                <w:sz w:val="24"/>
                <w:szCs w:val="24"/>
                <w:u w:val="none" w:color="auto"/>
              </w:rPr>
              <w:t>项目</w:t>
            </w:r>
            <w:r>
              <w:rPr>
                <w:rFonts w:hint="default" w:ascii="Times New Roman" w:hAnsi="Times New Roman" w:eastAsia="宋体" w:cs="Times New Roman"/>
                <w:sz w:val="24"/>
                <w:szCs w:val="24"/>
                <w:u w:val="none" w:color="auto"/>
                <w:lang w:eastAsia="zh-CN"/>
              </w:rPr>
              <w:t>废水</w:t>
            </w:r>
            <w:r>
              <w:rPr>
                <w:rFonts w:hint="default" w:ascii="Times New Roman" w:hAnsi="Times New Roman" w:eastAsia="宋体" w:cs="Times New Roman"/>
                <w:sz w:val="24"/>
                <w:szCs w:val="24"/>
                <w:u w:val="none" w:color="auto"/>
              </w:rPr>
              <w:t>水质</w:t>
            </w:r>
            <w:r>
              <w:rPr>
                <w:rFonts w:hint="default" w:ascii="Times New Roman" w:hAnsi="Times New Roman" w:eastAsia="宋体" w:cs="Times New Roman"/>
                <w:sz w:val="24"/>
                <w:szCs w:val="24"/>
                <w:u w:val="none" w:color="auto"/>
                <w:lang w:eastAsia="zh-CN"/>
              </w:rPr>
              <w:t>能</w:t>
            </w:r>
            <w:r>
              <w:rPr>
                <w:rFonts w:hint="default" w:ascii="Times New Roman" w:hAnsi="Times New Roman" w:eastAsia="宋体" w:cs="Times New Roman"/>
                <w:sz w:val="24"/>
                <w:szCs w:val="24"/>
                <w:u w:val="none" w:color="auto"/>
              </w:rPr>
              <w:t>满足</w:t>
            </w:r>
            <w:r>
              <w:rPr>
                <w:rFonts w:hint="eastAsia" w:ascii="Times New Roman" w:hAnsi="Times New Roman" w:eastAsia="宋体" w:cs="Times New Roman"/>
                <w:sz w:val="24"/>
                <w:szCs w:val="24"/>
                <w:u w:val="none" w:color="auto"/>
                <w:lang w:eastAsia="zh-CN"/>
              </w:rPr>
              <w:t>许昌市鸿瀚环境技术管理有限公司</w:t>
            </w:r>
            <w:r>
              <w:rPr>
                <w:rFonts w:hint="default" w:ascii="Times New Roman" w:hAnsi="Times New Roman" w:eastAsia="宋体" w:cs="Times New Roman"/>
                <w:sz w:val="24"/>
                <w:szCs w:val="24"/>
                <w:u w:val="none" w:color="auto"/>
              </w:rPr>
              <w:t>进水水质要求。</w:t>
            </w:r>
          </w:p>
          <w:p w14:paraId="5FD3F682">
            <w:pPr>
              <w:widowControl w:val="0"/>
              <w:wordWrap/>
              <w:adjustRightInd/>
              <w:snapToGrid w:val="0"/>
              <w:spacing w:beforeAutospacing="0" w:afterAutospacing="0" w:line="520" w:lineRule="exact"/>
              <w:ind w:right="0" w:firstLine="480" w:firstLineChars="20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综上所述，项目运营期产生的废水对地表水环境影响较小，措施可行。</w:t>
            </w:r>
          </w:p>
          <w:p w14:paraId="086392FC">
            <w:pPr>
              <w:widowControl w:val="0"/>
              <w:wordWrap/>
              <w:adjustRightInd/>
              <w:snapToGrid w:val="0"/>
              <w:spacing w:beforeAutospacing="0" w:afterAutospacing="0" w:line="520" w:lineRule="exact"/>
              <w:ind w:right="0" w:firstLine="480"/>
              <w:jc w:val="both"/>
              <w:textAlignment w:val="auto"/>
              <w:outlineLvl w:val="9"/>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（2）项目废水污染源排放信息如下表所示</w:t>
            </w:r>
          </w:p>
          <w:p w14:paraId="1ED3028A">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 xml:space="preserve">4-11  </w:t>
            </w:r>
            <w:r>
              <w:rPr>
                <w:rFonts w:hint="default" w:ascii="Times New Roman" w:hAnsi="Times New Roman" w:eastAsia="黑体" w:cs="Times New Roman"/>
                <w:b w:val="0"/>
                <w:bCs w:val="0"/>
                <w:color w:val="auto"/>
                <w:sz w:val="24"/>
                <w:szCs w:val="24"/>
                <w:u w:val="none" w:color="auto"/>
                <w:lang w:val="en-US" w:eastAsia="zh-CN"/>
              </w:rPr>
              <w:t>废水</w:t>
            </w:r>
            <w:r>
              <w:rPr>
                <w:rFonts w:hint="eastAsia" w:ascii="Times New Roman" w:hAnsi="Times New Roman" w:eastAsia="黑体" w:cs="Times New Roman"/>
                <w:b w:val="0"/>
                <w:bCs w:val="0"/>
                <w:color w:val="auto"/>
                <w:sz w:val="24"/>
                <w:szCs w:val="24"/>
                <w:u w:val="none" w:color="auto"/>
                <w:lang w:val="en-US" w:eastAsia="zh-CN"/>
              </w:rPr>
              <w:t>间接排放口基本信息表</w:t>
            </w:r>
          </w:p>
          <w:tbl>
            <w:tblPr>
              <w:tblStyle w:val="24"/>
              <w:tblW w:w="8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7"/>
              <w:gridCol w:w="590"/>
              <w:gridCol w:w="782"/>
              <w:gridCol w:w="765"/>
              <w:gridCol w:w="763"/>
              <w:gridCol w:w="576"/>
              <w:gridCol w:w="911"/>
              <w:gridCol w:w="705"/>
              <w:gridCol w:w="1050"/>
              <w:gridCol w:w="915"/>
              <w:gridCol w:w="750"/>
            </w:tblGrid>
            <w:tr w14:paraId="297AC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387" w:type="dxa"/>
                  <w:vMerge w:val="restart"/>
                  <w:vAlign w:val="center"/>
                </w:tcPr>
                <w:p w14:paraId="7F714C87">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序号</w:t>
                  </w:r>
                </w:p>
              </w:tc>
              <w:tc>
                <w:tcPr>
                  <w:tcW w:w="590" w:type="dxa"/>
                  <w:vMerge w:val="restart"/>
                  <w:vAlign w:val="center"/>
                </w:tcPr>
                <w:p w14:paraId="4AF7AEB7">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排放口编号</w:t>
                  </w:r>
                </w:p>
              </w:tc>
              <w:tc>
                <w:tcPr>
                  <w:tcW w:w="1547" w:type="dxa"/>
                  <w:gridSpan w:val="2"/>
                  <w:vAlign w:val="center"/>
                </w:tcPr>
                <w:p w14:paraId="05BD789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排放口地理坐标</w:t>
                  </w:r>
                </w:p>
              </w:tc>
              <w:tc>
                <w:tcPr>
                  <w:tcW w:w="763" w:type="dxa"/>
                  <w:vMerge w:val="restart"/>
                  <w:vAlign w:val="center"/>
                </w:tcPr>
                <w:p w14:paraId="6A98659C">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废水排放量（万t/a）</w:t>
                  </w:r>
                </w:p>
              </w:tc>
              <w:tc>
                <w:tcPr>
                  <w:tcW w:w="576" w:type="dxa"/>
                  <w:vMerge w:val="restart"/>
                  <w:vAlign w:val="center"/>
                </w:tcPr>
                <w:p w14:paraId="44A8443F">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排放去向</w:t>
                  </w:r>
                </w:p>
              </w:tc>
              <w:tc>
                <w:tcPr>
                  <w:tcW w:w="911" w:type="dxa"/>
                  <w:vMerge w:val="restart"/>
                  <w:vAlign w:val="center"/>
                </w:tcPr>
                <w:p w14:paraId="7C883BA2">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排放规律</w:t>
                  </w:r>
                </w:p>
              </w:tc>
              <w:tc>
                <w:tcPr>
                  <w:tcW w:w="705" w:type="dxa"/>
                  <w:vMerge w:val="restart"/>
                  <w:vAlign w:val="center"/>
                </w:tcPr>
                <w:p w14:paraId="7F7E4DC1">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间歇排放时段</w:t>
                  </w:r>
                </w:p>
              </w:tc>
              <w:tc>
                <w:tcPr>
                  <w:tcW w:w="2715" w:type="dxa"/>
                  <w:gridSpan w:val="3"/>
                  <w:vAlign w:val="center"/>
                </w:tcPr>
                <w:p w14:paraId="27549CDD">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受纳污水处理厂信息</w:t>
                  </w:r>
                </w:p>
              </w:tc>
            </w:tr>
            <w:tr w14:paraId="7AE0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387" w:type="dxa"/>
                  <w:vMerge w:val="continue"/>
                  <w:vAlign w:val="center"/>
                </w:tcPr>
                <w:p w14:paraId="18AD3D43">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rPr>
                  </w:pPr>
                </w:p>
              </w:tc>
              <w:tc>
                <w:tcPr>
                  <w:tcW w:w="590" w:type="dxa"/>
                  <w:vMerge w:val="continue"/>
                  <w:vAlign w:val="center"/>
                </w:tcPr>
                <w:p w14:paraId="6E69395F">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rPr>
                  </w:pPr>
                </w:p>
              </w:tc>
              <w:tc>
                <w:tcPr>
                  <w:tcW w:w="782" w:type="dxa"/>
                  <w:vAlign w:val="center"/>
                </w:tcPr>
                <w:p w14:paraId="17C98157">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经度</w:t>
                  </w:r>
                </w:p>
              </w:tc>
              <w:tc>
                <w:tcPr>
                  <w:tcW w:w="765" w:type="dxa"/>
                  <w:vAlign w:val="center"/>
                </w:tcPr>
                <w:p w14:paraId="49965AE5">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纬度</w:t>
                  </w:r>
                </w:p>
              </w:tc>
              <w:tc>
                <w:tcPr>
                  <w:tcW w:w="763" w:type="dxa"/>
                  <w:vMerge w:val="continue"/>
                  <w:vAlign w:val="center"/>
                </w:tcPr>
                <w:p w14:paraId="3AD8C95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kern w:val="0"/>
                      <w:sz w:val="21"/>
                      <w:szCs w:val="21"/>
                      <w:u w:val="none" w:color="auto"/>
                      <w:lang w:val="en-US" w:eastAsia="zh-CN"/>
                    </w:rPr>
                  </w:pPr>
                </w:p>
              </w:tc>
              <w:tc>
                <w:tcPr>
                  <w:tcW w:w="576" w:type="dxa"/>
                  <w:vMerge w:val="continue"/>
                  <w:vAlign w:val="center"/>
                </w:tcPr>
                <w:p w14:paraId="4FC8FFE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kern w:val="0"/>
                      <w:sz w:val="21"/>
                      <w:szCs w:val="21"/>
                      <w:u w:val="none" w:color="auto"/>
                      <w:lang w:val="en-US" w:eastAsia="zh-CN"/>
                    </w:rPr>
                  </w:pPr>
                </w:p>
              </w:tc>
              <w:tc>
                <w:tcPr>
                  <w:tcW w:w="911" w:type="dxa"/>
                  <w:vMerge w:val="continue"/>
                  <w:vAlign w:val="center"/>
                </w:tcPr>
                <w:p w14:paraId="0A0B32AC">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kern w:val="0"/>
                      <w:sz w:val="21"/>
                      <w:szCs w:val="21"/>
                      <w:u w:val="none" w:color="auto"/>
                      <w:lang w:val="en-US" w:eastAsia="zh-CN"/>
                    </w:rPr>
                  </w:pPr>
                </w:p>
              </w:tc>
              <w:tc>
                <w:tcPr>
                  <w:tcW w:w="705" w:type="dxa"/>
                  <w:vMerge w:val="continue"/>
                  <w:vAlign w:val="center"/>
                </w:tcPr>
                <w:p w14:paraId="11DCF81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b/>
                      <w:bCs/>
                      <w:kern w:val="0"/>
                      <w:sz w:val="21"/>
                      <w:szCs w:val="21"/>
                      <w:u w:val="none" w:color="auto"/>
                      <w:lang w:val="en-US" w:eastAsia="zh-CN"/>
                    </w:rPr>
                  </w:pPr>
                </w:p>
              </w:tc>
              <w:tc>
                <w:tcPr>
                  <w:tcW w:w="1050" w:type="dxa"/>
                  <w:vAlign w:val="center"/>
                </w:tcPr>
                <w:p w14:paraId="67C0D7E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名称</w:t>
                  </w:r>
                </w:p>
              </w:tc>
              <w:tc>
                <w:tcPr>
                  <w:tcW w:w="915" w:type="dxa"/>
                  <w:vAlign w:val="center"/>
                </w:tcPr>
                <w:p w14:paraId="43963FD2">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b/>
                      <w:bCs/>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污染物种类</w:t>
                  </w:r>
                </w:p>
              </w:tc>
              <w:tc>
                <w:tcPr>
                  <w:tcW w:w="750" w:type="dxa"/>
                  <w:vAlign w:val="center"/>
                </w:tcPr>
                <w:p w14:paraId="423E9837">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b/>
                      <w:bCs/>
                      <w:kern w:val="0"/>
                      <w:sz w:val="21"/>
                      <w:szCs w:val="21"/>
                      <w:u w:val="none" w:color="auto"/>
                      <w:lang w:val="en-US" w:eastAsia="zh-CN"/>
                    </w:rPr>
                    <w:t>收水标准</w:t>
                  </w:r>
                </w:p>
              </w:tc>
            </w:tr>
            <w:tr w14:paraId="34F08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restart"/>
                  <w:vAlign w:val="center"/>
                </w:tcPr>
                <w:p w14:paraId="6F6EBC5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1</w:t>
                  </w:r>
                </w:p>
              </w:tc>
              <w:tc>
                <w:tcPr>
                  <w:tcW w:w="590" w:type="dxa"/>
                  <w:vMerge w:val="restart"/>
                  <w:vAlign w:val="center"/>
                </w:tcPr>
                <w:p w14:paraId="4BE94A56">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DW001</w:t>
                  </w:r>
                </w:p>
              </w:tc>
              <w:tc>
                <w:tcPr>
                  <w:tcW w:w="782" w:type="dxa"/>
                  <w:vMerge w:val="restart"/>
                  <w:vAlign w:val="center"/>
                </w:tcPr>
                <w:p w14:paraId="59C4A9F0">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113.818021</w:t>
                  </w:r>
                </w:p>
              </w:tc>
              <w:tc>
                <w:tcPr>
                  <w:tcW w:w="765" w:type="dxa"/>
                  <w:vMerge w:val="restart"/>
                  <w:vAlign w:val="center"/>
                </w:tcPr>
                <w:p w14:paraId="5B6C89F4">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color="auto"/>
                      <w:lang w:val="en-US" w:eastAsia="zh-CN"/>
                      <w14:textFill>
                        <w14:solidFill>
                          <w14:schemeClr w14:val="tx1"/>
                        </w14:solidFill>
                      </w14:textFill>
                    </w:rPr>
                    <w:t>34.069951</w:t>
                  </w:r>
                </w:p>
              </w:tc>
              <w:tc>
                <w:tcPr>
                  <w:tcW w:w="763" w:type="dxa"/>
                  <w:vMerge w:val="restart"/>
                  <w:vAlign w:val="center"/>
                </w:tcPr>
                <w:p w14:paraId="236FC8AD">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pPr>
                  <w:r>
                    <w:rPr>
                      <w:rFonts w:hint="eastAsia" w:ascii="Times New Roman" w:hAnsi="Times New Roman" w:cs="Times New Roman"/>
                      <w:bCs/>
                      <w:color w:val="000000" w:themeColor="text1"/>
                      <w:kern w:val="2"/>
                      <w:sz w:val="21"/>
                      <w:szCs w:val="21"/>
                      <w:u w:val="none" w:color="auto"/>
                      <w:lang w:val="en-US" w:eastAsia="zh-CN" w:bidi="ar-SA"/>
                      <w14:textFill>
                        <w14:solidFill>
                          <w14:schemeClr w14:val="tx1"/>
                        </w14:solidFill>
                      </w14:textFill>
                    </w:rPr>
                    <w:t>0.0216</w:t>
                  </w:r>
                </w:p>
              </w:tc>
              <w:tc>
                <w:tcPr>
                  <w:tcW w:w="576" w:type="dxa"/>
                  <w:vMerge w:val="restart"/>
                  <w:vAlign w:val="center"/>
                </w:tcPr>
                <w:p w14:paraId="2E04A932">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进入污水管网</w:t>
                  </w:r>
                </w:p>
              </w:tc>
              <w:tc>
                <w:tcPr>
                  <w:tcW w:w="911" w:type="dxa"/>
                  <w:vMerge w:val="restart"/>
                  <w:vAlign w:val="center"/>
                </w:tcPr>
                <w:p w14:paraId="21E3E3EE">
                  <w:pPr>
                    <w:widowControl w:val="0"/>
                    <w:wordWrap/>
                    <w:autoSpaceDE w:val="0"/>
                    <w:autoSpaceDN w:val="0"/>
                    <w:adjustRightInd/>
                    <w:snapToGrid w:val="0"/>
                    <w:spacing w:beforeAutospacing="0" w:afterAutospacing="0" w:line="360" w:lineRule="exact"/>
                    <w:jc w:val="both"/>
                    <w:textAlignment w:val="auto"/>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间断排放，排放期间流量稳定</w:t>
                  </w:r>
                </w:p>
              </w:tc>
              <w:tc>
                <w:tcPr>
                  <w:tcW w:w="705" w:type="dxa"/>
                  <w:vMerge w:val="restart"/>
                  <w:vAlign w:val="center"/>
                </w:tcPr>
                <w:p w14:paraId="4DFB7471">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全天</w:t>
                  </w:r>
                </w:p>
              </w:tc>
              <w:tc>
                <w:tcPr>
                  <w:tcW w:w="1050" w:type="dxa"/>
                  <w:vMerge w:val="restart"/>
                  <w:vAlign w:val="center"/>
                </w:tcPr>
                <w:p w14:paraId="5655EC9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r>
                    <w:rPr>
                      <w:rFonts w:hint="eastAsia" w:ascii="Times New Roman" w:hAnsi="Times New Roman" w:eastAsia="宋体" w:cs="Times New Roman"/>
                      <w:sz w:val="21"/>
                      <w:szCs w:val="21"/>
                      <w:u w:val="none" w:color="auto"/>
                      <w:lang w:eastAsia="zh-CN"/>
                    </w:rPr>
                    <w:t>许昌市鸿瀚环境技术管理有限公司</w:t>
                  </w:r>
                </w:p>
              </w:tc>
              <w:tc>
                <w:tcPr>
                  <w:tcW w:w="915" w:type="dxa"/>
                  <w:vAlign w:val="center"/>
                </w:tcPr>
                <w:p w14:paraId="4A7A25A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rPr>
                    <w:t>COD</w:t>
                  </w:r>
                </w:p>
              </w:tc>
              <w:tc>
                <w:tcPr>
                  <w:tcW w:w="750" w:type="dxa"/>
                  <w:vAlign w:val="center"/>
                </w:tcPr>
                <w:p w14:paraId="2063D374">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450</w:t>
                  </w:r>
                </w:p>
              </w:tc>
            </w:tr>
            <w:tr w14:paraId="43DD5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continue"/>
                  <w:vAlign w:val="center"/>
                </w:tcPr>
                <w:p w14:paraId="3D672A3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90" w:type="dxa"/>
                  <w:vMerge w:val="continue"/>
                  <w:vAlign w:val="center"/>
                </w:tcPr>
                <w:p w14:paraId="23624AE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82" w:type="dxa"/>
                  <w:vMerge w:val="continue"/>
                  <w:vAlign w:val="center"/>
                </w:tcPr>
                <w:p w14:paraId="3D0D006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5" w:type="dxa"/>
                  <w:vMerge w:val="continue"/>
                  <w:vAlign w:val="center"/>
                </w:tcPr>
                <w:p w14:paraId="091F4B12">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3" w:type="dxa"/>
                  <w:vMerge w:val="continue"/>
                  <w:vAlign w:val="center"/>
                </w:tcPr>
                <w:p w14:paraId="42E3804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76" w:type="dxa"/>
                  <w:vMerge w:val="continue"/>
                  <w:vAlign w:val="center"/>
                </w:tcPr>
                <w:p w14:paraId="5E496CE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1" w:type="dxa"/>
                  <w:vMerge w:val="continue"/>
                  <w:vAlign w:val="center"/>
                </w:tcPr>
                <w:p w14:paraId="2B06A11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05" w:type="dxa"/>
                  <w:vMerge w:val="continue"/>
                  <w:vAlign w:val="center"/>
                </w:tcPr>
                <w:p w14:paraId="2E035E7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1050" w:type="dxa"/>
                  <w:vMerge w:val="continue"/>
                  <w:vAlign w:val="center"/>
                </w:tcPr>
                <w:p w14:paraId="2A000861">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5" w:type="dxa"/>
                  <w:vAlign w:val="center"/>
                </w:tcPr>
                <w:p w14:paraId="47E63FED">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rPr>
                    <w:t>NH</w:t>
                  </w:r>
                  <w:r>
                    <w:rPr>
                      <w:rFonts w:hint="default" w:ascii="Times New Roman" w:hAnsi="Times New Roman" w:cs="Times New Roman"/>
                      <w:kern w:val="0"/>
                      <w:sz w:val="21"/>
                      <w:szCs w:val="21"/>
                      <w:u w:val="none" w:color="auto"/>
                      <w:vertAlign w:val="subscript"/>
                    </w:rPr>
                    <w:t>3</w:t>
                  </w:r>
                  <w:r>
                    <w:rPr>
                      <w:rFonts w:hint="default" w:ascii="Times New Roman" w:hAnsi="Times New Roman" w:cs="Times New Roman"/>
                      <w:kern w:val="0"/>
                      <w:sz w:val="21"/>
                      <w:szCs w:val="21"/>
                      <w:u w:val="none" w:color="auto"/>
                    </w:rPr>
                    <w:t>-N</w:t>
                  </w:r>
                </w:p>
              </w:tc>
              <w:tc>
                <w:tcPr>
                  <w:tcW w:w="750" w:type="dxa"/>
                  <w:vAlign w:val="center"/>
                </w:tcPr>
                <w:p w14:paraId="28151A8F">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45</w:t>
                  </w:r>
                </w:p>
              </w:tc>
            </w:tr>
            <w:tr w14:paraId="58FDA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dxa"/>
                  <w:vMerge w:val="continue"/>
                  <w:vAlign w:val="center"/>
                </w:tcPr>
                <w:p w14:paraId="585D33F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90" w:type="dxa"/>
                  <w:vMerge w:val="continue"/>
                  <w:vAlign w:val="center"/>
                </w:tcPr>
                <w:p w14:paraId="2B70CFF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82" w:type="dxa"/>
                  <w:vMerge w:val="continue"/>
                  <w:vAlign w:val="center"/>
                </w:tcPr>
                <w:p w14:paraId="5D322FFC">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5" w:type="dxa"/>
                  <w:vMerge w:val="continue"/>
                  <w:vAlign w:val="center"/>
                </w:tcPr>
                <w:p w14:paraId="3769FAE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3" w:type="dxa"/>
                  <w:vMerge w:val="continue"/>
                  <w:vAlign w:val="center"/>
                </w:tcPr>
                <w:p w14:paraId="5F6BBEF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76" w:type="dxa"/>
                  <w:vMerge w:val="continue"/>
                  <w:vAlign w:val="center"/>
                </w:tcPr>
                <w:p w14:paraId="43ABA7A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1" w:type="dxa"/>
                  <w:vMerge w:val="continue"/>
                  <w:vAlign w:val="center"/>
                </w:tcPr>
                <w:p w14:paraId="44413CB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05" w:type="dxa"/>
                  <w:vMerge w:val="continue"/>
                  <w:vAlign w:val="center"/>
                </w:tcPr>
                <w:p w14:paraId="16CD46E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1050" w:type="dxa"/>
                  <w:vMerge w:val="continue"/>
                  <w:vAlign w:val="center"/>
                </w:tcPr>
                <w:p w14:paraId="641B828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5" w:type="dxa"/>
                  <w:vAlign w:val="center"/>
                </w:tcPr>
                <w:p w14:paraId="2E56011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rPr>
                    <w:t>SS</w:t>
                  </w:r>
                </w:p>
              </w:tc>
              <w:tc>
                <w:tcPr>
                  <w:tcW w:w="750" w:type="dxa"/>
                  <w:vAlign w:val="center"/>
                </w:tcPr>
                <w:p w14:paraId="01CF8AB3">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800</w:t>
                  </w:r>
                </w:p>
              </w:tc>
            </w:tr>
            <w:tr w14:paraId="21839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7" w:type="dxa"/>
                  <w:vMerge w:val="continue"/>
                  <w:vAlign w:val="center"/>
                </w:tcPr>
                <w:p w14:paraId="360B8B3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90" w:type="dxa"/>
                  <w:vMerge w:val="continue"/>
                  <w:vAlign w:val="center"/>
                </w:tcPr>
                <w:p w14:paraId="5FBF4E24">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82" w:type="dxa"/>
                  <w:vMerge w:val="continue"/>
                  <w:vAlign w:val="center"/>
                </w:tcPr>
                <w:p w14:paraId="6ABE020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5" w:type="dxa"/>
                  <w:vMerge w:val="continue"/>
                  <w:vAlign w:val="center"/>
                </w:tcPr>
                <w:p w14:paraId="6F65415E">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3" w:type="dxa"/>
                  <w:vMerge w:val="continue"/>
                  <w:vAlign w:val="center"/>
                </w:tcPr>
                <w:p w14:paraId="715B51E9">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76" w:type="dxa"/>
                  <w:vMerge w:val="continue"/>
                  <w:vAlign w:val="center"/>
                </w:tcPr>
                <w:p w14:paraId="18F0E535">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1" w:type="dxa"/>
                  <w:vMerge w:val="continue"/>
                  <w:vAlign w:val="center"/>
                </w:tcPr>
                <w:p w14:paraId="5564A43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05" w:type="dxa"/>
                  <w:vMerge w:val="continue"/>
                  <w:vAlign w:val="center"/>
                </w:tcPr>
                <w:p w14:paraId="03DFC76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1050" w:type="dxa"/>
                  <w:vMerge w:val="continue"/>
                  <w:vAlign w:val="center"/>
                </w:tcPr>
                <w:p w14:paraId="0393DA8B">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5" w:type="dxa"/>
                  <w:vAlign w:val="center"/>
                </w:tcPr>
                <w:p w14:paraId="0C9EDE71">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pH</w:t>
                  </w:r>
                </w:p>
              </w:tc>
              <w:tc>
                <w:tcPr>
                  <w:tcW w:w="750" w:type="dxa"/>
                  <w:vAlign w:val="center"/>
                </w:tcPr>
                <w:p w14:paraId="5B5936E7">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color w:val="auto"/>
                      <w:kern w:val="0"/>
                      <w:sz w:val="21"/>
                      <w:szCs w:val="21"/>
                      <w:lang w:val="en-US" w:eastAsia="zh-CN"/>
                    </w:rPr>
                    <w:t>6~9</w:t>
                  </w:r>
                </w:p>
              </w:tc>
            </w:tr>
            <w:tr w14:paraId="07280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387" w:type="dxa"/>
                  <w:vMerge w:val="continue"/>
                  <w:vAlign w:val="center"/>
                </w:tcPr>
                <w:p w14:paraId="5FD06DA0">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90" w:type="dxa"/>
                  <w:vMerge w:val="continue"/>
                  <w:vAlign w:val="center"/>
                </w:tcPr>
                <w:p w14:paraId="6B4F276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82" w:type="dxa"/>
                  <w:vMerge w:val="continue"/>
                  <w:vAlign w:val="center"/>
                </w:tcPr>
                <w:p w14:paraId="25434E7F">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5" w:type="dxa"/>
                  <w:vMerge w:val="continue"/>
                  <w:vAlign w:val="center"/>
                </w:tcPr>
                <w:p w14:paraId="4AABFCA5">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63" w:type="dxa"/>
                  <w:vMerge w:val="continue"/>
                  <w:vAlign w:val="center"/>
                </w:tcPr>
                <w:p w14:paraId="33719D8A">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576" w:type="dxa"/>
                  <w:vMerge w:val="continue"/>
                  <w:vAlign w:val="center"/>
                </w:tcPr>
                <w:p w14:paraId="7D94C308">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1" w:type="dxa"/>
                  <w:vMerge w:val="continue"/>
                  <w:vAlign w:val="center"/>
                </w:tcPr>
                <w:p w14:paraId="66C98D8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705" w:type="dxa"/>
                  <w:vMerge w:val="continue"/>
                  <w:vAlign w:val="center"/>
                </w:tcPr>
                <w:p w14:paraId="3463EED7">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1050" w:type="dxa"/>
                  <w:vMerge w:val="continue"/>
                  <w:vAlign w:val="center"/>
                </w:tcPr>
                <w:p w14:paraId="0D5E0896">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p>
              </w:tc>
              <w:tc>
                <w:tcPr>
                  <w:tcW w:w="915" w:type="dxa"/>
                  <w:vAlign w:val="center"/>
                </w:tcPr>
                <w:p w14:paraId="6C776273">
                  <w:pPr>
                    <w:widowControl w:val="0"/>
                    <w:wordWrap/>
                    <w:autoSpaceDE w:val="0"/>
                    <w:autoSpaceDN w:val="0"/>
                    <w:adjustRightInd/>
                    <w:snapToGrid w:val="0"/>
                    <w:spacing w:beforeAutospacing="0" w:afterAutospacing="0" w:line="360" w:lineRule="exact"/>
                    <w:jc w:val="center"/>
                    <w:textAlignment w:val="auto"/>
                    <w:rPr>
                      <w:rFonts w:hint="eastAsia"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BOD</w:t>
                  </w:r>
                  <w:r>
                    <w:rPr>
                      <w:rFonts w:hint="eastAsia" w:ascii="Times New Roman" w:hAnsi="Times New Roman" w:cs="Times New Roman"/>
                      <w:kern w:val="0"/>
                      <w:sz w:val="21"/>
                      <w:szCs w:val="21"/>
                      <w:u w:val="none" w:color="auto"/>
                      <w:vertAlign w:val="subscript"/>
                      <w:lang w:val="en-US" w:eastAsia="zh-CN"/>
                    </w:rPr>
                    <w:t>5</w:t>
                  </w:r>
                </w:p>
              </w:tc>
              <w:tc>
                <w:tcPr>
                  <w:tcW w:w="750" w:type="dxa"/>
                  <w:vAlign w:val="center"/>
                </w:tcPr>
                <w:p w14:paraId="04C6B9FE">
                  <w:pPr>
                    <w:widowControl w:val="0"/>
                    <w:wordWrap/>
                    <w:autoSpaceDE w:val="0"/>
                    <w:autoSpaceDN w:val="0"/>
                    <w:adjustRightInd/>
                    <w:snapToGrid w:val="0"/>
                    <w:spacing w:beforeAutospacing="0" w:afterAutospacing="0" w:line="360" w:lineRule="exact"/>
                    <w:jc w:val="center"/>
                    <w:textAlignment w:val="auto"/>
                    <w:rPr>
                      <w:rFonts w:hint="default" w:ascii="Times New Roman" w:hAnsi="Times New Roman" w:cs="Times New Roman"/>
                      <w:kern w:val="0"/>
                      <w:sz w:val="21"/>
                      <w:szCs w:val="21"/>
                      <w:u w:val="none" w:color="auto"/>
                      <w:lang w:val="en-US" w:eastAsia="zh-CN"/>
                    </w:rPr>
                  </w:pPr>
                  <w:r>
                    <w:rPr>
                      <w:rFonts w:hint="eastAsia" w:ascii="Times New Roman" w:hAnsi="Times New Roman" w:cs="Times New Roman"/>
                      <w:kern w:val="0"/>
                      <w:sz w:val="21"/>
                      <w:szCs w:val="21"/>
                      <w:u w:val="none" w:color="auto"/>
                      <w:lang w:val="en-US" w:eastAsia="zh-CN"/>
                    </w:rPr>
                    <w:t>/</w:t>
                  </w:r>
                </w:p>
              </w:tc>
            </w:tr>
          </w:tbl>
          <w:p w14:paraId="026040C8">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bCs/>
                <w:color w:val="auto"/>
                <w:sz w:val="24"/>
                <w:szCs w:val="24"/>
                <w:u w:val="none" w:color="auto"/>
                <w:lang w:val="en-US" w:eastAsia="zh-CN"/>
              </w:rPr>
            </w:pPr>
            <w:r>
              <w:rPr>
                <w:rFonts w:hint="default" w:ascii="Times New Roman" w:hAnsi="Times New Roman" w:eastAsia="黑体" w:cs="Times New Roman"/>
                <w:b w:val="0"/>
                <w:bCs w:val="0"/>
                <w:color w:val="auto"/>
                <w:sz w:val="24"/>
                <w:szCs w:val="24"/>
                <w:u w:val="none" w:color="auto"/>
                <w:lang w:val="en-US" w:eastAsia="zh-CN"/>
              </w:rPr>
              <w:t>表</w:t>
            </w:r>
            <w:r>
              <w:rPr>
                <w:rFonts w:hint="eastAsia" w:ascii="Times New Roman" w:hAnsi="Times New Roman" w:eastAsia="黑体" w:cs="Times New Roman"/>
                <w:b w:val="0"/>
                <w:bCs w:val="0"/>
                <w:color w:val="auto"/>
                <w:sz w:val="24"/>
                <w:szCs w:val="24"/>
                <w:u w:val="none" w:color="auto"/>
                <w:lang w:val="en-US" w:eastAsia="zh-CN"/>
              </w:rPr>
              <w:t xml:space="preserve">4-12  </w:t>
            </w:r>
            <w:r>
              <w:rPr>
                <w:rFonts w:hint="default" w:ascii="Times New Roman" w:hAnsi="Times New Roman" w:eastAsia="黑体" w:cs="Times New Roman"/>
                <w:b w:val="0"/>
                <w:bCs w:val="0"/>
                <w:color w:val="auto"/>
                <w:sz w:val="24"/>
                <w:szCs w:val="24"/>
                <w:u w:val="none" w:color="auto"/>
                <w:lang w:val="en-US" w:eastAsia="zh-CN"/>
              </w:rPr>
              <w:t>废水污染物排放信息表</w:t>
            </w:r>
          </w:p>
          <w:tbl>
            <w:tblPr>
              <w:tblStyle w:val="23"/>
              <w:tblW w:w="82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504"/>
              <w:gridCol w:w="1150"/>
              <w:gridCol w:w="1225"/>
              <w:gridCol w:w="1346"/>
              <w:gridCol w:w="1155"/>
              <w:gridCol w:w="2828"/>
            </w:tblGrid>
            <w:tr w14:paraId="7678F3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tcBorders>
                    <w:tl2br w:val="nil"/>
                    <w:tr2bl w:val="nil"/>
                  </w:tcBorders>
                  <w:vAlign w:val="center"/>
                </w:tcPr>
                <w:p w14:paraId="72AF996F">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u w:val="none" w:color="auto"/>
                      <w:shd w:val="clear" w:color="auto" w:fill="FFFFFF"/>
                      <w:lang w:val="zh-TW"/>
                    </w:rPr>
                  </w:pPr>
                  <w:r>
                    <w:rPr>
                      <w:rFonts w:hint="default" w:ascii="Times New Roman" w:hAnsi="Times New Roman" w:cs="Times New Roman"/>
                      <w:b/>
                      <w:bCs/>
                      <w:kern w:val="0"/>
                      <w:sz w:val="21"/>
                      <w:szCs w:val="21"/>
                      <w:u w:val="none" w:color="auto"/>
                      <w:shd w:val="clear" w:color="auto" w:fill="FFFFFF"/>
                      <w:lang w:val="zh-TW"/>
                    </w:rPr>
                    <w:t>序号</w:t>
                  </w:r>
                </w:p>
              </w:tc>
              <w:tc>
                <w:tcPr>
                  <w:tcW w:w="1150" w:type="dxa"/>
                  <w:tcBorders>
                    <w:tl2br w:val="nil"/>
                    <w:tr2bl w:val="nil"/>
                  </w:tcBorders>
                  <w:vAlign w:val="center"/>
                </w:tcPr>
                <w:p w14:paraId="1E67CEBB">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u w:val="none" w:color="auto"/>
                      <w:shd w:val="clear" w:color="auto" w:fill="FFFFFF"/>
                      <w:lang w:val="zh-TW"/>
                    </w:rPr>
                  </w:pPr>
                  <w:r>
                    <w:rPr>
                      <w:rFonts w:hint="default" w:ascii="Times New Roman" w:hAnsi="Times New Roman" w:cs="Times New Roman"/>
                      <w:b/>
                      <w:bCs/>
                      <w:kern w:val="0"/>
                      <w:sz w:val="21"/>
                      <w:szCs w:val="21"/>
                      <w:u w:val="none" w:color="auto"/>
                      <w:shd w:val="clear" w:color="auto" w:fill="FFFFFF"/>
                      <w:lang w:val="zh-TW"/>
                    </w:rPr>
                    <w:t>排放口编号</w:t>
                  </w:r>
                </w:p>
              </w:tc>
              <w:tc>
                <w:tcPr>
                  <w:tcW w:w="1225" w:type="dxa"/>
                  <w:tcBorders>
                    <w:tl2br w:val="nil"/>
                    <w:tr2bl w:val="nil"/>
                  </w:tcBorders>
                  <w:vAlign w:val="center"/>
                </w:tcPr>
                <w:p w14:paraId="3665FFA7">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cs="Times New Roman"/>
                      <w:b/>
                      <w:bCs/>
                      <w:kern w:val="0"/>
                      <w:sz w:val="21"/>
                      <w:szCs w:val="21"/>
                      <w:u w:val="none" w:color="auto"/>
                      <w:shd w:val="clear" w:color="auto" w:fill="FFFFFF"/>
                      <w:lang w:val="zh-TW"/>
                    </w:rPr>
                  </w:pPr>
                  <w:r>
                    <w:rPr>
                      <w:rFonts w:hint="default" w:ascii="Times New Roman" w:hAnsi="Times New Roman" w:cs="Times New Roman"/>
                      <w:b/>
                      <w:bCs/>
                      <w:kern w:val="0"/>
                      <w:sz w:val="21"/>
                      <w:szCs w:val="21"/>
                      <w:u w:val="none" w:color="auto"/>
                      <w:shd w:val="clear" w:color="auto" w:fill="FFFFFF"/>
                      <w:lang w:val="zh-TW"/>
                    </w:rPr>
                    <w:t>污染物种类</w:t>
                  </w:r>
                </w:p>
              </w:tc>
              <w:tc>
                <w:tcPr>
                  <w:tcW w:w="1346" w:type="dxa"/>
                  <w:tcBorders>
                    <w:tl2br w:val="nil"/>
                    <w:tr2bl w:val="nil"/>
                  </w:tcBorders>
                  <w:vAlign w:val="center"/>
                </w:tcPr>
                <w:p w14:paraId="5B39EC7A">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kern w:val="0"/>
                      <w:sz w:val="21"/>
                      <w:szCs w:val="21"/>
                      <w:u w:val="none" w:color="auto"/>
                      <w:shd w:val="clear" w:color="auto" w:fill="FFFFFF"/>
                      <w:lang w:val="zh-TW" w:eastAsia="zh-CN"/>
                    </w:rPr>
                  </w:pPr>
                  <w:r>
                    <w:rPr>
                      <w:rFonts w:hint="default" w:ascii="Times New Roman" w:hAnsi="Times New Roman" w:cs="Times New Roman"/>
                      <w:b/>
                      <w:bCs/>
                      <w:kern w:val="0"/>
                      <w:sz w:val="21"/>
                      <w:szCs w:val="21"/>
                      <w:u w:val="none" w:color="auto"/>
                      <w:shd w:val="clear" w:color="auto" w:fill="FFFFFF"/>
                      <w:lang w:val="zh-TW"/>
                    </w:rPr>
                    <w:t>排放浓度</w:t>
                  </w:r>
                  <w:r>
                    <w:rPr>
                      <w:rFonts w:hint="eastAsia" w:ascii="Times New Roman" w:hAnsi="Times New Roman" w:cs="Times New Roman"/>
                      <w:b/>
                      <w:bCs/>
                      <w:kern w:val="0"/>
                      <w:sz w:val="21"/>
                      <w:szCs w:val="21"/>
                      <w:u w:val="none" w:color="auto"/>
                      <w:shd w:val="clear" w:color="auto" w:fill="FFFFFF"/>
                      <w:lang w:eastAsia="zh-CN"/>
                    </w:rPr>
                    <w:t>（</w:t>
                  </w:r>
                  <w:r>
                    <w:rPr>
                      <w:rFonts w:hint="default" w:ascii="Times New Roman" w:hAnsi="Times New Roman" w:cs="Times New Roman"/>
                      <w:b/>
                      <w:bCs/>
                      <w:kern w:val="0"/>
                      <w:sz w:val="21"/>
                      <w:szCs w:val="21"/>
                      <w:u w:val="none" w:color="auto"/>
                      <w:shd w:val="clear" w:color="auto" w:fill="FFFFFF"/>
                    </w:rPr>
                    <w:t>mg/L</w:t>
                  </w:r>
                  <w:r>
                    <w:rPr>
                      <w:rFonts w:hint="eastAsia" w:ascii="Times New Roman" w:hAnsi="Times New Roman" w:cs="Times New Roman"/>
                      <w:b/>
                      <w:bCs/>
                      <w:kern w:val="0"/>
                      <w:sz w:val="21"/>
                      <w:szCs w:val="21"/>
                      <w:u w:val="none" w:color="auto"/>
                      <w:shd w:val="clear" w:color="auto" w:fill="FFFFFF"/>
                      <w:lang w:eastAsia="zh-CN"/>
                    </w:rPr>
                    <w:t>）</w:t>
                  </w:r>
                </w:p>
              </w:tc>
              <w:tc>
                <w:tcPr>
                  <w:tcW w:w="1155" w:type="dxa"/>
                  <w:tcBorders>
                    <w:tl2br w:val="nil"/>
                    <w:tr2bl w:val="nil"/>
                  </w:tcBorders>
                  <w:vAlign w:val="center"/>
                </w:tcPr>
                <w:p w14:paraId="50630E26">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kern w:val="0"/>
                      <w:sz w:val="21"/>
                      <w:szCs w:val="21"/>
                      <w:u w:val="none" w:color="auto"/>
                      <w:shd w:val="clear" w:color="auto" w:fill="FFFFFF"/>
                      <w:lang w:val="zh-TW" w:eastAsia="zh-CN"/>
                    </w:rPr>
                  </w:pPr>
                  <w:r>
                    <w:rPr>
                      <w:rFonts w:hint="default" w:ascii="Times New Roman" w:hAnsi="Times New Roman" w:cs="Times New Roman"/>
                      <w:b/>
                      <w:bCs/>
                      <w:kern w:val="0"/>
                      <w:sz w:val="21"/>
                      <w:szCs w:val="21"/>
                      <w:u w:val="none" w:color="auto"/>
                      <w:shd w:val="clear" w:color="auto" w:fill="FFFFFF"/>
                      <w:lang w:val="zh-TW"/>
                    </w:rPr>
                    <w:t>年排放量</w:t>
                  </w:r>
                  <w:r>
                    <w:rPr>
                      <w:rFonts w:hint="eastAsia" w:ascii="Times New Roman" w:hAnsi="Times New Roman" w:cs="Times New Roman"/>
                      <w:b/>
                      <w:bCs/>
                      <w:kern w:val="0"/>
                      <w:sz w:val="21"/>
                      <w:szCs w:val="21"/>
                      <w:u w:val="none" w:color="auto"/>
                      <w:shd w:val="clear" w:color="auto" w:fill="FFFFFF"/>
                      <w:lang w:eastAsia="zh-CN"/>
                    </w:rPr>
                    <w:t>（</w:t>
                  </w:r>
                  <w:r>
                    <w:rPr>
                      <w:rFonts w:hint="default" w:ascii="Times New Roman" w:hAnsi="Times New Roman" w:cs="Times New Roman"/>
                      <w:b/>
                      <w:bCs/>
                      <w:kern w:val="0"/>
                      <w:sz w:val="21"/>
                      <w:szCs w:val="21"/>
                      <w:u w:val="none" w:color="auto"/>
                      <w:shd w:val="clear" w:color="auto" w:fill="FFFFFF"/>
                    </w:rPr>
                    <w:t>t/a</w:t>
                  </w:r>
                  <w:r>
                    <w:rPr>
                      <w:rFonts w:hint="eastAsia" w:ascii="Times New Roman" w:hAnsi="Times New Roman" w:cs="Times New Roman"/>
                      <w:b/>
                      <w:bCs/>
                      <w:kern w:val="0"/>
                      <w:sz w:val="21"/>
                      <w:szCs w:val="21"/>
                      <w:u w:val="none" w:color="auto"/>
                      <w:shd w:val="clear" w:color="auto" w:fill="FFFFFF"/>
                      <w:lang w:eastAsia="zh-CN"/>
                    </w:rPr>
                    <w:t>）</w:t>
                  </w:r>
                </w:p>
              </w:tc>
              <w:tc>
                <w:tcPr>
                  <w:tcW w:w="2828" w:type="dxa"/>
                  <w:tcBorders>
                    <w:tl2br w:val="nil"/>
                    <w:tr2bl w:val="nil"/>
                  </w:tcBorders>
                  <w:vAlign w:val="center"/>
                </w:tcPr>
                <w:p w14:paraId="610D45AA">
                  <w:pPr>
                    <w:widowControl w:val="0"/>
                    <w:wordWrap/>
                    <w:autoSpaceDE w:val="0"/>
                    <w:autoSpaceDN w:val="0"/>
                    <w:adjustRightInd/>
                    <w:snapToGrid/>
                    <w:spacing w:beforeAutospacing="0" w:afterAutospacing="0" w:line="360" w:lineRule="exact"/>
                    <w:ind w:left="0" w:leftChars="0" w:right="0"/>
                    <w:jc w:val="center"/>
                    <w:textAlignment w:val="auto"/>
                    <w:rPr>
                      <w:rFonts w:hint="eastAsia" w:ascii="Times New Roman" w:hAnsi="Times New Roman" w:eastAsia="宋体" w:cs="Times New Roman"/>
                      <w:b/>
                      <w:bCs/>
                      <w:sz w:val="21"/>
                      <w:szCs w:val="21"/>
                      <w:u w:val="none" w:color="auto"/>
                    </w:rPr>
                  </w:pPr>
                  <w:r>
                    <w:rPr>
                      <w:rFonts w:hint="eastAsia" w:ascii="Times New Roman" w:hAnsi="Times New Roman" w:cs="Times New Roman"/>
                      <w:b/>
                      <w:bCs/>
                      <w:kern w:val="0"/>
                      <w:sz w:val="21"/>
                      <w:szCs w:val="21"/>
                      <w:u w:val="none" w:color="auto"/>
                      <w:shd w:val="clear" w:color="auto" w:fill="FFFFFF"/>
                      <w:lang w:val="zh-TW" w:eastAsia="zh-CN"/>
                    </w:rPr>
                    <w:t>排放标准</w:t>
                  </w:r>
                </w:p>
              </w:tc>
            </w:tr>
            <w:tr w14:paraId="0C7976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restart"/>
                  <w:tcBorders>
                    <w:tl2br w:val="nil"/>
                    <w:tr2bl w:val="nil"/>
                  </w:tcBorders>
                  <w:vAlign w:val="center"/>
                </w:tcPr>
                <w:p w14:paraId="1A666F47">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1</w:t>
                  </w:r>
                </w:p>
              </w:tc>
              <w:tc>
                <w:tcPr>
                  <w:tcW w:w="1150" w:type="dxa"/>
                  <w:vMerge w:val="restart"/>
                  <w:tcBorders>
                    <w:tl2br w:val="nil"/>
                    <w:tr2bl w:val="nil"/>
                  </w:tcBorders>
                  <w:vAlign w:val="center"/>
                </w:tcPr>
                <w:p w14:paraId="6CFD589F">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u w:val="none" w:color="auto"/>
                    </w:rPr>
                  </w:pPr>
                  <w:r>
                    <w:rPr>
                      <w:rFonts w:hint="default" w:ascii="Times New Roman" w:hAnsi="Times New Roman" w:eastAsia="MingLiU" w:cs="Times New Roman"/>
                      <w:kern w:val="0"/>
                      <w:sz w:val="21"/>
                      <w:szCs w:val="21"/>
                      <w:u w:val="none" w:color="auto"/>
                    </w:rPr>
                    <w:t>DW001</w:t>
                  </w:r>
                </w:p>
              </w:tc>
              <w:tc>
                <w:tcPr>
                  <w:tcW w:w="1225" w:type="dxa"/>
                  <w:tcBorders>
                    <w:tl2br w:val="nil"/>
                    <w:tr2bl w:val="nil"/>
                  </w:tcBorders>
                  <w:vAlign w:val="center"/>
                </w:tcPr>
                <w:p w14:paraId="789B420D">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u w:val="none" w:color="auto"/>
                    </w:rPr>
                  </w:pPr>
                  <w:r>
                    <w:rPr>
                      <w:rFonts w:hint="default" w:ascii="Times New Roman" w:hAnsi="Times New Roman" w:cs="Times New Roman"/>
                      <w:kern w:val="0"/>
                      <w:sz w:val="21"/>
                      <w:szCs w:val="21"/>
                      <w:u w:val="none" w:color="auto"/>
                    </w:rPr>
                    <w:t>COD</w:t>
                  </w:r>
                </w:p>
              </w:tc>
              <w:tc>
                <w:tcPr>
                  <w:tcW w:w="1346" w:type="dxa"/>
                  <w:tcBorders>
                    <w:tl2br w:val="nil"/>
                    <w:tr2bl w:val="nil"/>
                  </w:tcBorders>
                  <w:vAlign w:val="center"/>
                </w:tcPr>
                <w:p w14:paraId="01CDEF07">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30</w:t>
                  </w:r>
                </w:p>
              </w:tc>
              <w:tc>
                <w:tcPr>
                  <w:tcW w:w="1155" w:type="dxa"/>
                  <w:tcBorders>
                    <w:tl2br w:val="nil"/>
                    <w:tr2bl w:val="nil"/>
                  </w:tcBorders>
                  <w:vAlign w:val="center"/>
                </w:tcPr>
                <w:p w14:paraId="14FD83EE">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0.0065</w:t>
                  </w:r>
                </w:p>
              </w:tc>
              <w:tc>
                <w:tcPr>
                  <w:tcW w:w="2828" w:type="dxa"/>
                  <w:vMerge w:val="restart"/>
                  <w:tcBorders>
                    <w:tl2br w:val="nil"/>
                    <w:tr2bl w:val="nil"/>
                  </w:tcBorders>
                  <w:vAlign w:val="center"/>
                </w:tcPr>
                <w:p w14:paraId="4DCEDB1E">
                  <w:pPr>
                    <w:widowControl w:val="0"/>
                    <w:wordWrap/>
                    <w:autoSpaceDE w:val="0"/>
                    <w:autoSpaceDN w:val="0"/>
                    <w:adjustRightInd/>
                    <w:snapToGrid/>
                    <w:spacing w:beforeAutospacing="0" w:afterAutospacing="0" w:line="360" w:lineRule="exact"/>
                    <w:jc w:val="both"/>
                    <w:textAlignment w:val="auto"/>
                    <w:rPr>
                      <w:rFonts w:hint="eastAsia" w:ascii="Times New Roman" w:hAnsi="Times New Roman" w:cs="Times New Roman"/>
                      <w:sz w:val="21"/>
                      <w:szCs w:val="21"/>
                      <w:u w:val="none" w:color="auto"/>
                      <w:lang w:val="en-US" w:eastAsia="zh-CN"/>
                    </w:rPr>
                  </w:pPr>
                  <w:r>
                    <w:rPr>
                      <w:rFonts w:hint="default" w:ascii="Times New Roman" w:hAnsi="Times New Roman" w:eastAsia="宋体" w:cs="Times New Roman"/>
                      <w:sz w:val="21"/>
                      <w:szCs w:val="21"/>
                    </w:rPr>
                    <w:t>《污水综合排放标准》（GB8978-1996）表4</w:t>
                  </w:r>
                  <w:r>
                    <w:rPr>
                      <w:rFonts w:hint="eastAsia" w:ascii="Times New Roman" w:hAnsi="Times New Roman" w:eastAsia="宋体" w:cs="Times New Roman"/>
                      <w:sz w:val="21"/>
                      <w:szCs w:val="21"/>
                    </w:rPr>
                    <w:t>三</w:t>
                  </w:r>
                  <w:r>
                    <w:rPr>
                      <w:rFonts w:hint="default" w:ascii="Times New Roman" w:hAnsi="Times New Roman" w:eastAsia="宋体" w:cs="Times New Roman"/>
                      <w:sz w:val="21"/>
                      <w:szCs w:val="21"/>
                    </w:rPr>
                    <w:t>级标准</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u w:val="none" w:color="auto"/>
                      <w:lang w:eastAsia="zh-CN"/>
                    </w:rPr>
                    <w:t>许昌市鸿瀚环境技术管理有限公司</w:t>
                  </w:r>
                  <w:r>
                    <w:rPr>
                      <w:rFonts w:hint="eastAsia" w:ascii="Times New Roman" w:hAnsi="Times New Roman" w:eastAsia="宋体" w:cs="Times New Roman"/>
                      <w:sz w:val="21"/>
                      <w:szCs w:val="21"/>
                      <w:lang w:eastAsia="zh-CN"/>
                    </w:rPr>
                    <w:t>进水水质要求</w:t>
                  </w:r>
                </w:p>
              </w:tc>
            </w:tr>
            <w:tr w14:paraId="00D5D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504" w:type="dxa"/>
                  <w:vMerge w:val="continue"/>
                  <w:tcBorders>
                    <w:tl2br w:val="nil"/>
                    <w:tr2bl w:val="nil"/>
                  </w:tcBorders>
                  <w:vAlign w:val="center"/>
                </w:tcPr>
                <w:p w14:paraId="1983039D">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u w:val="none" w:color="auto"/>
                    </w:rPr>
                  </w:pPr>
                </w:p>
              </w:tc>
              <w:tc>
                <w:tcPr>
                  <w:tcW w:w="1150" w:type="dxa"/>
                  <w:vMerge w:val="continue"/>
                  <w:tcBorders>
                    <w:tl2br w:val="nil"/>
                    <w:tr2bl w:val="nil"/>
                  </w:tcBorders>
                  <w:vAlign w:val="center"/>
                </w:tcPr>
                <w:p w14:paraId="59F1E739">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u w:val="none" w:color="auto"/>
                    </w:rPr>
                  </w:pPr>
                </w:p>
              </w:tc>
              <w:tc>
                <w:tcPr>
                  <w:tcW w:w="1225" w:type="dxa"/>
                  <w:tcBorders>
                    <w:tl2br w:val="nil"/>
                    <w:tr2bl w:val="nil"/>
                  </w:tcBorders>
                  <w:vAlign w:val="center"/>
                </w:tcPr>
                <w:p w14:paraId="26DB5B51">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NH</w:t>
                  </w:r>
                  <w:r>
                    <w:rPr>
                      <w:rFonts w:hint="default" w:ascii="Times New Roman" w:hAnsi="Times New Roman" w:cs="Times New Roman"/>
                      <w:kern w:val="0"/>
                      <w:sz w:val="21"/>
                      <w:szCs w:val="21"/>
                      <w:u w:val="none" w:color="auto"/>
                      <w:vertAlign w:val="subscript"/>
                    </w:rPr>
                    <w:t>3</w:t>
                  </w:r>
                  <w:r>
                    <w:rPr>
                      <w:rFonts w:hint="default" w:ascii="Times New Roman" w:hAnsi="Times New Roman" w:cs="Times New Roman"/>
                      <w:kern w:val="0"/>
                      <w:sz w:val="21"/>
                      <w:szCs w:val="21"/>
                      <w:u w:val="none" w:color="auto"/>
                    </w:rPr>
                    <w:t>-N</w:t>
                  </w:r>
                </w:p>
              </w:tc>
              <w:tc>
                <w:tcPr>
                  <w:tcW w:w="1346" w:type="dxa"/>
                  <w:tcBorders>
                    <w:tl2br w:val="nil"/>
                    <w:tr2bl w:val="nil"/>
                  </w:tcBorders>
                  <w:vAlign w:val="center"/>
                </w:tcPr>
                <w:p w14:paraId="06E2AA41">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w:t>
                  </w:r>
                </w:p>
              </w:tc>
              <w:tc>
                <w:tcPr>
                  <w:tcW w:w="1155" w:type="dxa"/>
                  <w:tcBorders>
                    <w:tl2br w:val="nil"/>
                    <w:tr2bl w:val="nil"/>
                  </w:tcBorders>
                  <w:vAlign w:val="center"/>
                </w:tcPr>
                <w:p w14:paraId="0160D36B">
                  <w:pPr>
                    <w:widowControl w:val="0"/>
                    <w:wordWrap/>
                    <w:autoSpaceDE w:val="0"/>
                    <w:autoSpaceDN w:val="0"/>
                    <w:adjustRightInd/>
                    <w:snapToGrid/>
                    <w:spacing w:beforeAutospacing="0" w:afterAutospacing="0" w:line="360" w:lineRule="exact"/>
                    <w:ind w:left="0" w:leftChars="0" w:right="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0.0003</w:t>
                  </w:r>
                </w:p>
              </w:tc>
              <w:tc>
                <w:tcPr>
                  <w:tcW w:w="2828" w:type="dxa"/>
                  <w:vMerge w:val="continue"/>
                  <w:tcBorders>
                    <w:tl2br w:val="nil"/>
                    <w:tr2bl w:val="nil"/>
                  </w:tcBorders>
                  <w:vAlign w:val="center"/>
                </w:tcPr>
                <w:p w14:paraId="2F253DAE">
                  <w:pPr>
                    <w:pStyle w:val="10"/>
                    <w:widowControl w:val="0"/>
                    <w:wordWrap/>
                    <w:autoSpaceDE w:val="0"/>
                    <w:autoSpaceDN w:val="0"/>
                    <w:adjustRightInd/>
                    <w:snapToGrid/>
                    <w:spacing w:before="0" w:beforeAutospacing="0" w:after="0" w:afterAutospacing="0" w:line="360" w:lineRule="exact"/>
                    <w:ind w:right="0"/>
                    <w:jc w:val="center"/>
                    <w:textAlignment w:val="auto"/>
                    <w:rPr>
                      <w:rFonts w:hint="eastAsia" w:ascii="Times New Roman" w:hAnsi="Times New Roman" w:eastAsia="宋体" w:cs="Times New Roman"/>
                      <w:sz w:val="21"/>
                      <w:szCs w:val="21"/>
                      <w:u w:val="none" w:color="auto"/>
                      <w:lang w:val="en-US" w:eastAsia="zh-CN"/>
                    </w:rPr>
                  </w:pPr>
                </w:p>
              </w:tc>
            </w:tr>
            <w:tr w14:paraId="3C69FC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4" w:type="dxa"/>
                  <w:gridSpan w:val="2"/>
                  <w:vMerge w:val="restart"/>
                  <w:tcBorders>
                    <w:tl2br w:val="nil"/>
                    <w:tr2bl w:val="nil"/>
                  </w:tcBorders>
                  <w:vAlign w:val="center"/>
                </w:tcPr>
                <w:p w14:paraId="02B7C498">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eastAsia="宋体" w:cs="Times New Roman"/>
                      <w:kern w:val="0"/>
                      <w:sz w:val="21"/>
                      <w:szCs w:val="21"/>
                      <w:u w:val="none" w:color="auto"/>
                      <w:lang w:eastAsia="zh-CN"/>
                    </w:rPr>
                  </w:pPr>
                  <w:r>
                    <w:rPr>
                      <w:rFonts w:hint="default" w:ascii="Times New Roman" w:hAnsi="Times New Roman" w:cs="Times New Roman"/>
                      <w:kern w:val="0"/>
                      <w:sz w:val="21"/>
                      <w:szCs w:val="21"/>
                      <w:u w:val="none" w:color="auto"/>
                      <w:shd w:val="clear" w:color="auto" w:fill="FFFFFF"/>
                      <w:lang w:val="zh-TW"/>
                    </w:rPr>
                    <w:t>全厂排放口合计</w:t>
                  </w:r>
                  <w:r>
                    <w:rPr>
                      <w:rFonts w:hint="eastAsia" w:ascii="Times New Roman" w:hAnsi="Times New Roman" w:cs="Times New Roman"/>
                      <w:kern w:val="0"/>
                      <w:sz w:val="21"/>
                      <w:szCs w:val="21"/>
                      <w:u w:val="none" w:color="auto"/>
                      <w:shd w:val="clear" w:color="auto" w:fill="FFFFFF"/>
                      <w:lang w:val="zh-TW" w:eastAsia="zh-CN"/>
                    </w:rPr>
                    <w:t>（入环境量）</w:t>
                  </w:r>
                </w:p>
              </w:tc>
              <w:tc>
                <w:tcPr>
                  <w:tcW w:w="2571" w:type="dxa"/>
                  <w:gridSpan w:val="2"/>
                  <w:tcBorders>
                    <w:tl2br w:val="nil"/>
                    <w:tr2bl w:val="nil"/>
                  </w:tcBorders>
                  <w:vAlign w:val="center"/>
                </w:tcPr>
                <w:p w14:paraId="2F6B6BBB">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shd w:val="clear" w:color="auto" w:fill="FFFFFF"/>
                    </w:rPr>
                    <w:t>COD</w:t>
                  </w:r>
                </w:p>
              </w:tc>
              <w:tc>
                <w:tcPr>
                  <w:tcW w:w="1155" w:type="dxa"/>
                  <w:tcBorders>
                    <w:tl2br w:val="nil"/>
                    <w:tr2bl w:val="nil"/>
                  </w:tcBorders>
                  <w:vAlign w:val="center"/>
                </w:tcPr>
                <w:p w14:paraId="35425B64">
                  <w:pPr>
                    <w:widowControl w:val="0"/>
                    <w:wordWrap/>
                    <w:autoSpaceDE w:val="0"/>
                    <w:autoSpaceDN w:val="0"/>
                    <w:adjustRightInd/>
                    <w:snapToGrid/>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0.0065</w:t>
                  </w:r>
                </w:p>
              </w:tc>
              <w:tc>
                <w:tcPr>
                  <w:tcW w:w="2828" w:type="dxa"/>
                  <w:vMerge w:val="continue"/>
                  <w:tcBorders>
                    <w:tl2br w:val="nil"/>
                    <w:tr2bl w:val="nil"/>
                  </w:tcBorders>
                  <w:vAlign w:val="center"/>
                </w:tcPr>
                <w:p w14:paraId="6D242C0F">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auto"/>
                      <w:sz w:val="21"/>
                      <w:szCs w:val="21"/>
                      <w:u w:val="none" w:color="auto"/>
                      <w:lang w:val="en-US" w:eastAsia="zh-CN"/>
                    </w:rPr>
                  </w:pPr>
                </w:p>
              </w:tc>
            </w:tr>
            <w:tr w14:paraId="1E95D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3" w:hRule="atLeast"/>
                <w:jc w:val="center"/>
              </w:trPr>
              <w:tc>
                <w:tcPr>
                  <w:tcW w:w="1654" w:type="dxa"/>
                  <w:gridSpan w:val="2"/>
                  <w:vMerge w:val="continue"/>
                  <w:tcBorders>
                    <w:tl2br w:val="nil"/>
                    <w:tr2bl w:val="nil"/>
                  </w:tcBorders>
                  <w:vAlign w:val="center"/>
                </w:tcPr>
                <w:p w14:paraId="3D5346BD">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sz w:val="21"/>
                      <w:szCs w:val="21"/>
                      <w:u w:val="none" w:color="auto"/>
                    </w:rPr>
                  </w:pPr>
                </w:p>
              </w:tc>
              <w:tc>
                <w:tcPr>
                  <w:tcW w:w="2571" w:type="dxa"/>
                  <w:gridSpan w:val="2"/>
                  <w:tcBorders>
                    <w:tl2br w:val="nil"/>
                    <w:tr2bl w:val="nil"/>
                  </w:tcBorders>
                  <w:vAlign w:val="center"/>
                </w:tcPr>
                <w:p w14:paraId="7D73EB37">
                  <w:pPr>
                    <w:widowControl w:val="0"/>
                    <w:wordWrap/>
                    <w:autoSpaceDE w:val="0"/>
                    <w:autoSpaceDN w:val="0"/>
                    <w:adjustRightInd/>
                    <w:snapToGrid/>
                    <w:spacing w:beforeAutospacing="0" w:afterAutospacing="0" w:line="360" w:lineRule="exact"/>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kern w:val="0"/>
                      <w:sz w:val="21"/>
                      <w:szCs w:val="21"/>
                      <w:u w:val="none" w:color="auto"/>
                    </w:rPr>
                    <w:t>NH</w:t>
                  </w:r>
                  <w:r>
                    <w:rPr>
                      <w:rFonts w:hint="default" w:ascii="Times New Roman" w:hAnsi="Times New Roman" w:cs="Times New Roman"/>
                      <w:kern w:val="0"/>
                      <w:sz w:val="21"/>
                      <w:szCs w:val="21"/>
                      <w:u w:val="none" w:color="auto"/>
                      <w:vertAlign w:val="subscript"/>
                    </w:rPr>
                    <w:t>3</w:t>
                  </w:r>
                  <w:r>
                    <w:rPr>
                      <w:rFonts w:hint="default" w:ascii="Times New Roman" w:hAnsi="Times New Roman" w:cs="Times New Roman"/>
                      <w:kern w:val="0"/>
                      <w:sz w:val="21"/>
                      <w:szCs w:val="21"/>
                      <w:u w:val="none" w:color="auto"/>
                    </w:rPr>
                    <w:t>-N</w:t>
                  </w:r>
                </w:p>
              </w:tc>
              <w:tc>
                <w:tcPr>
                  <w:tcW w:w="1155" w:type="dxa"/>
                  <w:tcBorders>
                    <w:tl2br w:val="nil"/>
                    <w:tr2bl w:val="nil"/>
                  </w:tcBorders>
                  <w:vAlign w:val="center"/>
                </w:tcPr>
                <w:p w14:paraId="75A8EC6F">
                  <w:pPr>
                    <w:widowControl w:val="0"/>
                    <w:wordWrap/>
                    <w:autoSpaceDE w:val="0"/>
                    <w:autoSpaceDN w:val="0"/>
                    <w:adjustRightInd/>
                    <w:snapToGrid/>
                    <w:spacing w:beforeAutospacing="0" w:afterAutospacing="0" w:line="360" w:lineRule="exact"/>
                    <w:ind w:left="0" w:leftChars="0" w:right="0" w:rightChars="0"/>
                    <w:jc w:val="center"/>
                    <w:textAlignment w:val="auto"/>
                    <w:rPr>
                      <w:rFonts w:hint="default" w:ascii="Times New Roman" w:hAnsi="Times New Roman" w:cs="Times New Roman"/>
                      <w:color w:val="000000" w:themeColor="text1"/>
                      <w:sz w:val="21"/>
                      <w:szCs w:val="21"/>
                      <w:u w:val="none" w:color="auto"/>
                      <w:lang w:val="en-US"/>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0.0003</w:t>
                  </w:r>
                </w:p>
              </w:tc>
              <w:tc>
                <w:tcPr>
                  <w:tcW w:w="2828" w:type="dxa"/>
                  <w:vMerge w:val="continue"/>
                  <w:tcBorders>
                    <w:tl2br w:val="nil"/>
                    <w:tr2bl w:val="nil"/>
                  </w:tcBorders>
                  <w:vAlign w:val="center"/>
                </w:tcPr>
                <w:p w14:paraId="2A4ABB68">
                  <w:pPr>
                    <w:widowControl w:val="0"/>
                    <w:wordWrap/>
                    <w:autoSpaceDE w:val="0"/>
                    <w:autoSpaceDN w:val="0"/>
                    <w:adjustRightInd/>
                    <w:snapToGrid/>
                    <w:spacing w:beforeAutospacing="0" w:afterAutospacing="0" w:line="360" w:lineRule="exact"/>
                    <w:jc w:val="center"/>
                    <w:textAlignment w:val="auto"/>
                    <w:rPr>
                      <w:rFonts w:hint="eastAsia" w:ascii="Times New Roman" w:hAnsi="Times New Roman" w:cs="Times New Roman"/>
                      <w:color w:val="auto"/>
                      <w:sz w:val="21"/>
                      <w:szCs w:val="21"/>
                      <w:u w:val="none" w:color="auto"/>
                      <w:lang w:val="en-US" w:eastAsia="zh-CN"/>
                    </w:rPr>
                  </w:pPr>
                </w:p>
              </w:tc>
            </w:tr>
          </w:tbl>
          <w:p w14:paraId="0E6BDE50">
            <w:pPr>
              <w:keepNext w:val="0"/>
              <w:keepLines w:val="0"/>
              <w:pageBreakBefore w:val="0"/>
              <w:widowControl w:val="0"/>
              <w:kinsoku/>
              <w:wordWrap/>
              <w:overflowPunct/>
              <w:topLinePunct w:val="0"/>
              <w:autoSpaceDE w:val="0"/>
              <w:autoSpaceDN w:val="0"/>
              <w:bidi w:val="0"/>
              <w:adjustRightInd/>
              <w:snapToGrid/>
              <w:spacing w:beforeAutospacing="0" w:afterAutospacing="0" w:line="520" w:lineRule="exact"/>
              <w:ind w:left="0" w:leftChars="0" w:right="0" w:firstLine="480" w:firstLineChars="200"/>
              <w:jc w:val="both"/>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本项目属于非重点排污单位，根据</w:t>
            </w:r>
            <w:r>
              <w:rPr>
                <w:rFonts w:hint="eastAsia" w:ascii="Times New Roman" w:hAnsi="Times New Roman" w:eastAsia="宋体" w:cs="Times New Roman"/>
                <w:color w:val="000000" w:themeColor="text1"/>
                <w:spacing w:val="-3"/>
                <w:sz w:val="24"/>
                <w:szCs w:val="24"/>
                <w:u w:val="none"/>
                <w:lang w:val="en-US" w:eastAsia="zh-CN"/>
                <w14:textFill>
                  <w14:solidFill>
                    <w14:schemeClr w14:val="tx1"/>
                  </w14:solidFill>
                </w14:textFill>
              </w:rPr>
              <w:t>《排污单位自行监测技术指南 总则》（HJ 819-2017）</w:t>
            </w:r>
            <w:r>
              <w:rPr>
                <w:rFonts w:hint="eastAsia" w:ascii="Times New Roman" w:hAnsi="Times New Roman" w:cs="Times New Roman"/>
                <w:color w:val="000000" w:themeColor="text1"/>
                <w:spacing w:val="-3"/>
                <w:sz w:val="24"/>
                <w:szCs w:val="24"/>
                <w:u w:val="none"/>
                <w:lang w:val="en-US" w:eastAsia="zh-CN"/>
                <w14:textFill>
                  <w14:solidFill>
                    <w14:schemeClr w14:val="tx1"/>
                  </w14:solidFill>
                </w14:textFill>
              </w:rPr>
              <w:t>设置监测频次，监测信息见下表</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w:t>
            </w:r>
          </w:p>
          <w:p w14:paraId="3A49F614">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bCs/>
                <w:color w:val="000000" w:themeColor="text1"/>
                <w:sz w:val="24"/>
                <w:szCs w:val="24"/>
                <w:u w:val="none" w:color="auto"/>
                <w:lang w:val="en-US"/>
                <w14:textFill>
                  <w14:solidFill>
                    <w14:schemeClr w14:val="tx1"/>
                  </w14:solidFill>
                </w14:textFill>
              </w:rPr>
            </w:pP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表</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4-13</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 xml:space="preserve">  本项目</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建成</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后营运期</w:t>
            </w:r>
            <w:r>
              <w:rPr>
                <w:rFonts w:hint="eastAsia" w:ascii="Times New Roman" w:hAnsi="Times New Roman" w:eastAsia="黑体" w:cs="Times New Roman"/>
                <w:b w:val="0"/>
                <w:bCs w:val="0"/>
                <w:color w:val="000000" w:themeColor="text1"/>
                <w:sz w:val="24"/>
                <w:szCs w:val="24"/>
                <w:u w:val="none" w:color="auto"/>
                <w:lang w:val="en-US" w:eastAsia="zh-CN"/>
                <w14:textFill>
                  <w14:solidFill>
                    <w14:schemeClr w14:val="tx1"/>
                  </w14:solidFill>
                </w14:textFill>
              </w:rPr>
              <w:t>废水</w:t>
            </w:r>
            <w:r>
              <w:rPr>
                <w:rFonts w:hint="eastAsia" w:ascii="Times New Roman" w:hAnsi="Times New Roman" w:eastAsia="黑体" w:cs="Times New Roman"/>
                <w:b w:val="0"/>
                <w:bCs w:val="0"/>
                <w:color w:val="000000" w:themeColor="text1"/>
                <w:sz w:val="24"/>
                <w:szCs w:val="24"/>
                <w:u w:val="none" w:color="auto"/>
                <w:lang w:val="en-US"/>
                <w14:textFill>
                  <w14:solidFill>
                    <w14:schemeClr w14:val="tx1"/>
                  </w14:solidFill>
                </w14:textFill>
              </w:rPr>
              <w:t>污染源监测计划</w:t>
            </w:r>
          </w:p>
          <w:tbl>
            <w:tblPr>
              <w:tblStyle w:val="24"/>
              <w:tblW w:w="82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2007"/>
              <w:gridCol w:w="4244"/>
              <w:gridCol w:w="1151"/>
            </w:tblGrid>
            <w:tr w14:paraId="15F8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3" w:type="dxa"/>
                  <w:gridSpan w:val="2"/>
                  <w:tcBorders>
                    <w:tl2br w:val="nil"/>
                    <w:tr2bl w:val="nil"/>
                  </w:tcBorders>
                  <w:vAlign w:val="center"/>
                </w:tcPr>
                <w:p w14:paraId="0F7E6D70">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监测点位</w:t>
                  </w:r>
                </w:p>
              </w:tc>
              <w:tc>
                <w:tcPr>
                  <w:tcW w:w="4244" w:type="dxa"/>
                  <w:tcBorders>
                    <w:tl2br w:val="nil"/>
                    <w:tr2bl w:val="nil"/>
                  </w:tcBorders>
                  <w:vAlign w:val="center"/>
                </w:tcPr>
                <w:p w14:paraId="00F3E360">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监测项目</w:t>
                  </w:r>
                </w:p>
              </w:tc>
              <w:tc>
                <w:tcPr>
                  <w:tcW w:w="1151" w:type="dxa"/>
                  <w:tcBorders>
                    <w:tl2br w:val="nil"/>
                    <w:tr2bl w:val="nil"/>
                  </w:tcBorders>
                  <w:vAlign w:val="center"/>
                </w:tcPr>
                <w:p w14:paraId="73C4271B">
                  <w:pPr>
                    <w:widowControl/>
                    <w:wordWrap/>
                    <w:adjustRightInd/>
                    <w:snapToGrid/>
                    <w:spacing w:beforeAutospacing="0" w:afterAutospacing="0" w:line="360" w:lineRule="exact"/>
                    <w:ind w:right="0" w:firstLine="0" w:firstLineChars="0"/>
                    <w:jc w:val="center"/>
                    <w:textAlignment w:val="auto"/>
                    <w:rPr>
                      <w:rFonts w:hint="default" w:ascii="Times New Roman" w:hAnsi="Times New Roman" w:eastAsia="宋体" w:cs="宋体"/>
                      <w:b/>
                      <w:bCs/>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b/>
                      <w:bCs/>
                      <w:color w:val="000000" w:themeColor="text1"/>
                      <w:sz w:val="21"/>
                      <w:szCs w:val="21"/>
                      <w:u w:val="none" w:color="auto"/>
                      <w:lang w:val="en-US"/>
                      <w14:textFill>
                        <w14:solidFill>
                          <w14:schemeClr w14:val="tx1"/>
                        </w14:solidFill>
                      </w14:textFill>
                    </w:rPr>
                    <w:t>监测频次</w:t>
                  </w:r>
                </w:p>
              </w:tc>
            </w:tr>
            <w:tr w14:paraId="59D3A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06" w:type="dxa"/>
                  <w:tcBorders>
                    <w:tl2br w:val="nil"/>
                    <w:tr2bl w:val="nil"/>
                  </w:tcBorders>
                  <w:vAlign w:val="center"/>
                </w:tcPr>
                <w:p w14:paraId="5D771AA3">
                  <w:pPr>
                    <w:pStyle w:val="10"/>
                    <w:widowControl/>
                    <w:wordWrap/>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color="auto"/>
                      <w:lang w:val="en-US"/>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废水</w:t>
                  </w:r>
                </w:p>
              </w:tc>
              <w:tc>
                <w:tcPr>
                  <w:tcW w:w="2007" w:type="dxa"/>
                  <w:tcBorders>
                    <w:tl2br w:val="nil"/>
                    <w:tr2bl w:val="nil"/>
                  </w:tcBorders>
                  <w:vAlign w:val="center"/>
                </w:tcPr>
                <w:p w14:paraId="724E2312">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t>污水总排出口</w:t>
                  </w:r>
                </w:p>
              </w:tc>
              <w:tc>
                <w:tcPr>
                  <w:tcW w:w="4244" w:type="dxa"/>
                  <w:tcBorders>
                    <w:tl2br w:val="nil"/>
                    <w:tr2bl w:val="nil"/>
                  </w:tcBorders>
                  <w:vAlign w:val="center"/>
                </w:tcPr>
                <w:p w14:paraId="46B5E811">
                  <w:pPr>
                    <w:widowControl/>
                    <w:wordWrap/>
                    <w:adjustRightInd/>
                    <w:snapToGrid/>
                    <w:spacing w:beforeAutospacing="0" w:afterAutospacing="0" w:line="360" w:lineRule="exact"/>
                    <w:ind w:right="0" w:firstLine="0" w:firstLineChars="0"/>
                    <w:jc w:val="both"/>
                    <w:textAlignment w:val="auto"/>
                    <w:rPr>
                      <w:rFonts w:hint="default"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流量、pH值、化学需氧量、氨氮、悬浮物、五日生化需氧量</w:t>
                  </w:r>
                </w:p>
              </w:tc>
              <w:tc>
                <w:tcPr>
                  <w:tcW w:w="1151" w:type="dxa"/>
                  <w:tcBorders>
                    <w:tl2br w:val="nil"/>
                    <w:tr2bl w:val="nil"/>
                  </w:tcBorders>
                  <w:vAlign w:val="center"/>
                </w:tcPr>
                <w:p w14:paraId="15C8017F">
                  <w:pPr>
                    <w:widowControl/>
                    <w:wordWrap/>
                    <w:adjustRightInd/>
                    <w:snapToGrid/>
                    <w:spacing w:beforeAutospacing="0" w:afterAutospacing="0" w:line="360" w:lineRule="exact"/>
                    <w:ind w:right="0" w:firstLine="0" w:firstLineChars="0"/>
                    <w:jc w:val="center"/>
                    <w:textAlignment w:val="auto"/>
                    <w:rPr>
                      <w:rFonts w:hint="eastAsia" w:ascii="Times New Roman" w:hAnsi="Times New Roman" w:eastAsia="宋体" w:cs="宋体"/>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color="auto"/>
                      <w:lang w:val="en-US"/>
                      <w14:textFill>
                        <w14:solidFill>
                          <w14:schemeClr w14:val="tx1"/>
                        </w14:solidFill>
                      </w14:textFill>
                    </w:rPr>
                    <w:t>1次/</w:t>
                  </w:r>
                  <w:r>
                    <w:rPr>
                      <w:rFonts w:hint="eastAsia" w:ascii="Times New Roman" w:hAnsi="Times New Roman" w:cs="宋体"/>
                      <w:color w:val="000000" w:themeColor="text1"/>
                      <w:sz w:val="21"/>
                      <w:szCs w:val="21"/>
                      <w:u w:val="none" w:color="auto"/>
                      <w:lang w:val="en-US" w:eastAsia="zh-CN"/>
                      <w14:textFill>
                        <w14:solidFill>
                          <w14:schemeClr w14:val="tx1"/>
                        </w14:solidFill>
                      </w14:textFill>
                    </w:rPr>
                    <w:t>年</w:t>
                  </w:r>
                </w:p>
              </w:tc>
            </w:tr>
          </w:tbl>
          <w:p w14:paraId="382689BF">
            <w:pPr>
              <w:pStyle w:val="13"/>
              <w:widowControl w:val="0"/>
              <w:wordWrap/>
              <w:autoSpaceDE w:val="0"/>
              <w:autoSpaceDN w:val="0"/>
              <w:snapToGrid/>
              <w:spacing w:beforeAutospacing="0" w:afterAutospacing="0" w:line="520" w:lineRule="exact"/>
              <w:ind w:firstLine="482" w:firstLineChars="200"/>
              <w:textAlignment w:val="auto"/>
              <w:rPr>
                <w:rFonts w:hint="eastAsia" w:ascii="宋体" w:hAnsi="宋体" w:eastAsia="宋体" w:cs="宋体"/>
                <w:b/>
                <w:bCs/>
                <w:color w:val="000000"/>
                <w:sz w:val="24"/>
                <w:szCs w:val="24"/>
                <w:u w:val="none" w:color="auto"/>
                <w:lang w:val="en-US" w:eastAsia="zh-CN" w:bidi="zh-CN"/>
              </w:rPr>
            </w:pPr>
            <w:r>
              <w:rPr>
                <w:rFonts w:hint="eastAsia" w:ascii="Times New Roman" w:hAnsi="Times New Roman" w:cs="宋体"/>
                <w:b/>
                <w:bCs/>
                <w:color w:val="000000"/>
                <w:sz w:val="24"/>
                <w:szCs w:val="24"/>
                <w:u w:val="none" w:color="auto"/>
                <w:lang w:val="en-US" w:eastAsia="zh-CN" w:bidi="zh-CN"/>
              </w:rPr>
              <w:t>三</w:t>
            </w:r>
            <w:r>
              <w:rPr>
                <w:rFonts w:hint="eastAsia" w:ascii="宋体" w:hAnsi="宋体" w:eastAsia="宋体" w:cs="宋体"/>
                <w:b/>
                <w:bCs/>
                <w:color w:val="000000"/>
                <w:sz w:val="24"/>
                <w:szCs w:val="24"/>
                <w:u w:val="none" w:color="auto"/>
                <w:lang w:val="en-US" w:eastAsia="zh-CN" w:bidi="zh-CN"/>
              </w:rPr>
              <w:t>、地</w:t>
            </w:r>
            <w:r>
              <w:rPr>
                <w:rFonts w:hint="eastAsia" w:ascii="Times New Roman" w:hAnsi="Times New Roman" w:cs="宋体"/>
                <w:b/>
                <w:bCs/>
                <w:color w:val="000000"/>
                <w:sz w:val="24"/>
                <w:szCs w:val="24"/>
                <w:u w:val="none" w:color="auto"/>
                <w:lang w:val="en-US" w:eastAsia="zh-CN" w:bidi="zh-CN"/>
              </w:rPr>
              <w:t>下</w:t>
            </w:r>
            <w:r>
              <w:rPr>
                <w:rFonts w:hint="eastAsia" w:ascii="宋体" w:hAnsi="宋体" w:eastAsia="宋体" w:cs="宋体"/>
                <w:b/>
                <w:bCs/>
                <w:color w:val="000000"/>
                <w:sz w:val="24"/>
                <w:szCs w:val="24"/>
                <w:u w:val="none" w:color="auto"/>
                <w:lang w:val="en-US" w:eastAsia="zh-CN" w:bidi="zh-CN"/>
              </w:rPr>
              <w:t>水</w:t>
            </w:r>
            <w:r>
              <w:rPr>
                <w:rFonts w:hint="eastAsia" w:ascii="Times New Roman" w:hAnsi="Times New Roman" w:cs="宋体"/>
                <w:b/>
                <w:bCs/>
                <w:color w:val="000000"/>
                <w:sz w:val="24"/>
                <w:szCs w:val="24"/>
                <w:u w:val="none" w:color="auto"/>
                <w:lang w:val="en-US" w:eastAsia="zh-CN" w:bidi="zh-CN"/>
              </w:rPr>
              <w:t>、土壤</w:t>
            </w:r>
          </w:p>
          <w:p w14:paraId="71CD2C17">
            <w:pPr>
              <w:pStyle w:val="13"/>
              <w:widowControl w:val="0"/>
              <w:wordWrap/>
              <w:autoSpaceDE w:val="0"/>
              <w:autoSpaceDN w:val="0"/>
              <w:adjustRightInd w:val="0"/>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建成后危废间采取了严格的防泄漏、防渗措施，因此基本可以排除地下水和土壤污染途径。具体的防渗防控措施见下表。</w:t>
            </w:r>
          </w:p>
          <w:p w14:paraId="166C6801">
            <w:pPr>
              <w:widowControl w:val="0"/>
              <w:wordWrap/>
              <w:autoSpaceDE w:val="0"/>
              <w:autoSpaceDN w:val="0"/>
              <w:snapToGrid/>
              <w:spacing w:beforeAutospacing="0" w:afterAutospacing="0" w:line="520" w:lineRule="exact"/>
              <w:ind w:left="0" w:leftChars="0" w:right="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表4-14</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分区污染防治措施一览表</w:t>
            </w:r>
          </w:p>
          <w:tbl>
            <w:tblPr>
              <w:tblStyle w:val="24"/>
              <w:tblW w:w="79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205"/>
              <w:gridCol w:w="1149"/>
              <w:gridCol w:w="876"/>
              <w:gridCol w:w="2524"/>
              <w:gridCol w:w="1491"/>
            </w:tblGrid>
            <w:tr w14:paraId="5C5EA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trPr>
              <w:tc>
                <w:tcPr>
                  <w:tcW w:w="710" w:type="dxa"/>
                  <w:vAlign w:val="center"/>
                </w:tcPr>
                <w:p w14:paraId="7953CDF3">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序号</w:t>
                  </w:r>
                </w:p>
              </w:tc>
              <w:tc>
                <w:tcPr>
                  <w:tcW w:w="1205" w:type="dxa"/>
                  <w:vAlign w:val="center"/>
                </w:tcPr>
                <w:p w14:paraId="0B1E7421">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装置、单元名称</w:t>
                  </w:r>
                </w:p>
              </w:tc>
              <w:tc>
                <w:tcPr>
                  <w:tcW w:w="1149" w:type="dxa"/>
                  <w:vAlign w:val="center"/>
                </w:tcPr>
                <w:p w14:paraId="010148B4">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防渗区域及部位</w:t>
                  </w:r>
                </w:p>
              </w:tc>
              <w:tc>
                <w:tcPr>
                  <w:tcW w:w="876" w:type="dxa"/>
                  <w:vAlign w:val="center"/>
                </w:tcPr>
                <w:p w14:paraId="2506D99A">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类别</w:t>
                  </w:r>
                </w:p>
              </w:tc>
              <w:tc>
                <w:tcPr>
                  <w:tcW w:w="2524" w:type="dxa"/>
                  <w:vAlign w:val="center"/>
                </w:tcPr>
                <w:p w14:paraId="4AB8E487">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防渗系数要求</w:t>
                  </w:r>
                </w:p>
              </w:tc>
              <w:tc>
                <w:tcPr>
                  <w:tcW w:w="1491" w:type="dxa"/>
                  <w:vAlign w:val="center"/>
                </w:tcPr>
                <w:p w14:paraId="31A52845">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b/>
                      <w:bCs/>
                      <w:color w:val="000000"/>
                      <w:sz w:val="21"/>
                      <w:szCs w:val="21"/>
                      <w:u w:val="none"/>
                      <w:lang w:val="en-US" w:eastAsia="zh-CN"/>
                    </w:rPr>
                  </w:pPr>
                  <w:r>
                    <w:rPr>
                      <w:rFonts w:hint="eastAsia" w:ascii="Times New Roman" w:hAnsi="Times New Roman" w:eastAsia="宋体" w:cs="宋体"/>
                      <w:b/>
                      <w:bCs/>
                      <w:color w:val="000000"/>
                      <w:sz w:val="21"/>
                      <w:szCs w:val="21"/>
                      <w:u w:val="none"/>
                      <w:lang w:val="en-US" w:eastAsia="zh-CN"/>
                    </w:rPr>
                    <w:t>防渗措施</w:t>
                  </w:r>
                </w:p>
              </w:tc>
            </w:tr>
            <w:tr w14:paraId="2DA70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14:paraId="1D7DC965">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1</w:t>
                  </w:r>
                </w:p>
              </w:tc>
              <w:tc>
                <w:tcPr>
                  <w:tcW w:w="1205" w:type="dxa"/>
                  <w:vAlign w:val="center"/>
                </w:tcPr>
                <w:p w14:paraId="03A2101D">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both"/>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危废贮存库</w:t>
                  </w:r>
                </w:p>
              </w:tc>
              <w:tc>
                <w:tcPr>
                  <w:tcW w:w="1149" w:type="dxa"/>
                  <w:vAlign w:val="center"/>
                </w:tcPr>
                <w:p w14:paraId="0BF7FADA">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库内地面</w:t>
                  </w:r>
                </w:p>
              </w:tc>
              <w:tc>
                <w:tcPr>
                  <w:tcW w:w="876" w:type="dxa"/>
                  <w:vAlign w:val="center"/>
                </w:tcPr>
                <w:p w14:paraId="716E22CE">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重点防渗</w:t>
                  </w:r>
                </w:p>
              </w:tc>
              <w:tc>
                <w:tcPr>
                  <w:tcW w:w="2524" w:type="dxa"/>
                  <w:vAlign w:val="center"/>
                </w:tcPr>
                <w:p w14:paraId="5EF887D4">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both"/>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等效黏土防渗层</w:t>
                  </w:r>
                  <w:r>
                    <w:rPr>
                      <w:rFonts w:hint="default" w:ascii="Times New Roman" w:hAnsi="Times New Roman" w:eastAsia="宋体" w:cs="宋体"/>
                      <w:color w:val="000000"/>
                      <w:sz w:val="21"/>
                      <w:szCs w:val="21"/>
                      <w:u w:val="none"/>
                      <w:lang w:val="en-US" w:eastAsia="zh-CN"/>
                    </w:rPr>
                    <w:t>Mb≥6.0m</w:t>
                  </w:r>
                  <w:r>
                    <w:rPr>
                      <w:rFonts w:hint="eastAsia" w:ascii="Times New Roman" w:hAnsi="Times New Roman" w:eastAsia="宋体" w:cs="宋体"/>
                      <w:color w:val="000000"/>
                      <w:sz w:val="21"/>
                      <w:szCs w:val="21"/>
                      <w:u w:val="none"/>
                      <w:lang w:val="en-US" w:eastAsia="zh-CN"/>
                    </w:rPr>
                    <w:t>，满足</w:t>
                  </w:r>
                  <w:r>
                    <w:rPr>
                      <w:rFonts w:hint="default" w:ascii="Times New Roman" w:hAnsi="Times New Roman" w:eastAsia="宋体" w:cs="宋体"/>
                      <w:color w:val="000000"/>
                      <w:sz w:val="21"/>
                      <w:szCs w:val="21"/>
                      <w:u w:val="none"/>
                      <w:lang w:val="en-US" w:eastAsia="zh-CN"/>
                    </w:rPr>
                    <w:t>K≤10</w:t>
                  </w:r>
                  <w:r>
                    <w:rPr>
                      <w:rFonts w:hint="default" w:ascii="Times New Roman" w:hAnsi="Times New Roman" w:eastAsia="宋体" w:cs="宋体"/>
                      <w:color w:val="000000"/>
                      <w:sz w:val="21"/>
                      <w:szCs w:val="21"/>
                      <w:u w:val="none"/>
                      <w:vertAlign w:val="superscript"/>
                      <w:lang w:val="en-US" w:eastAsia="zh-CN"/>
                    </w:rPr>
                    <w:t>-7</w:t>
                  </w:r>
                  <w:r>
                    <w:rPr>
                      <w:rFonts w:hint="default" w:ascii="Times New Roman" w:hAnsi="Times New Roman" w:eastAsia="宋体" w:cs="宋体"/>
                      <w:color w:val="000000"/>
                      <w:sz w:val="21"/>
                      <w:szCs w:val="21"/>
                      <w:u w:val="none"/>
                      <w:lang w:val="en-US" w:eastAsia="zh-CN"/>
                    </w:rPr>
                    <w:t>cm/s</w:t>
                  </w:r>
                  <w:r>
                    <w:rPr>
                      <w:rFonts w:hint="eastAsia" w:ascii="Times New Roman" w:hAnsi="Times New Roman" w:eastAsia="宋体" w:cs="宋体"/>
                      <w:color w:val="000000"/>
                      <w:sz w:val="21"/>
                      <w:szCs w:val="21"/>
                      <w:u w:val="none"/>
                      <w:lang w:val="en-US" w:eastAsia="zh-CN"/>
                    </w:rPr>
                    <w:t>；或参照</w:t>
                  </w:r>
                  <w:r>
                    <w:rPr>
                      <w:rFonts w:hint="default" w:ascii="Times New Roman" w:hAnsi="Times New Roman" w:eastAsia="宋体" w:cs="宋体"/>
                      <w:color w:val="000000"/>
                      <w:sz w:val="21"/>
                      <w:szCs w:val="21"/>
                      <w:u w:val="none"/>
                      <w:lang w:val="en-US" w:eastAsia="zh-CN"/>
                    </w:rPr>
                    <w:t>GB18598</w:t>
                  </w:r>
                  <w:r>
                    <w:rPr>
                      <w:rFonts w:hint="eastAsia" w:ascii="Times New Roman" w:hAnsi="Times New Roman" w:eastAsia="宋体" w:cs="宋体"/>
                      <w:color w:val="000000"/>
                      <w:sz w:val="21"/>
                      <w:szCs w:val="21"/>
                      <w:u w:val="none"/>
                      <w:lang w:val="en-US" w:eastAsia="zh-CN"/>
                    </w:rPr>
                    <w:t>执行</w:t>
                  </w:r>
                </w:p>
              </w:tc>
              <w:tc>
                <w:tcPr>
                  <w:tcW w:w="1491" w:type="dxa"/>
                  <w:vAlign w:val="center"/>
                </w:tcPr>
                <w:p w14:paraId="56A597DA">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both"/>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上层铺设</w:t>
                  </w:r>
                  <w:r>
                    <w:rPr>
                      <w:rFonts w:hint="default" w:ascii="Times New Roman" w:hAnsi="Times New Roman" w:eastAsia="宋体" w:cs="宋体"/>
                      <w:color w:val="000000"/>
                      <w:sz w:val="21"/>
                      <w:szCs w:val="21"/>
                      <w:u w:val="none"/>
                      <w:lang w:val="en-US" w:eastAsia="zh-CN"/>
                    </w:rPr>
                    <w:t>10~15cm</w:t>
                  </w:r>
                  <w:r>
                    <w:rPr>
                      <w:rFonts w:hint="eastAsia" w:ascii="Times New Roman" w:hAnsi="Times New Roman" w:eastAsia="宋体" w:cs="宋体"/>
                      <w:color w:val="000000"/>
                      <w:sz w:val="21"/>
                      <w:szCs w:val="21"/>
                      <w:u w:val="none"/>
                      <w:lang w:val="en-US" w:eastAsia="zh-CN"/>
                    </w:rPr>
                    <w:t>的水泥进行硬化，并铺环氧树脂防渗</w:t>
                  </w:r>
                </w:p>
              </w:tc>
            </w:tr>
            <w:tr w14:paraId="688C2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14:paraId="5BD12A5B">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2</w:t>
                  </w:r>
                </w:p>
              </w:tc>
              <w:tc>
                <w:tcPr>
                  <w:tcW w:w="1205" w:type="dxa"/>
                  <w:vAlign w:val="center"/>
                </w:tcPr>
                <w:p w14:paraId="4C5F07BC">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both"/>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生产车间、原料库、成品库</w:t>
                  </w:r>
                </w:p>
              </w:tc>
              <w:tc>
                <w:tcPr>
                  <w:tcW w:w="1149" w:type="dxa"/>
                  <w:vAlign w:val="center"/>
                </w:tcPr>
                <w:p w14:paraId="561F683A">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地面</w:t>
                  </w:r>
                </w:p>
              </w:tc>
              <w:tc>
                <w:tcPr>
                  <w:tcW w:w="876" w:type="dxa"/>
                  <w:vAlign w:val="center"/>
                </w:tcPr>
                <w:p w14:paraId="73C21E97">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一般防渗</w:t>
                  </w:r>
                </w:p>
              </w:tc>
              <w:tc>
                <w:tcPr>
                  <w:tcW w:w="2524" w:type="dxa"/>
                  <w:vAlign w:val="center"/>
                </w:tcPr>
                <w:p w14:paraId="50682736">
                  <w:pPr>
                    <w:keepNext w:val="0"/>
                    <w:keepLines w:val="0"/>
                    <w:widowControl/>
                    <w:suppressLineNumbers w:val="0"/>
                    <w:spacing w:beforeAutospacing="0" w:afterAutospacing="0"/>
                    <w:jc w:val="left"/>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等效黏土防渗层Mb≥1.5m，K≤1×10</w:t>
                  </w:r>
                  <w:r>
                    <w:rPr>
                      <w:rFonts w:hint="eastAsia" w:ascii="Times New Roman" w:hAnsi="Times New Roman" w:eastAsia="宋体" w:cs="宋体"/>
                      <w:color w:val="000000" w:themeColor="text1"/>
                      <w:sz w:val="21"/>
                      <w:szCs w:val="21"/>
                      <w:u w:val="none"/>
                      <w:vertAlign w:val="superscript"/>
                      <w:lang w:val="en-US" w:eastAsia="zh-CN" w:bidi="zh-CN"/>
                      <w14:textFill>
                        <w14:solidFill>
                          <w14:schemeClr w14:val="tx1"/>
                        </w14:solidFill>
                      </w14:textFill>
                    </w:rPr>
                    <w:t>-7</w:t>
                  </w: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cm/s；或参照</w:t>
                  </w:r>
                  <w:r>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t>GB16889</w:t>
                  </w: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执行</w:t>
                  </w:r>
                </w:p>
              </w:tc>
              <w:tc>
                <w:tcPr>
                  <w:tcW w:w="1491" w:type="dxa"/>
                  <w:vAlign w:val="center"/>
                </w:tcPr>
                <w:p w14:paraId="4683D149">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both"/>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上层铺</w:t>
                  </w:r>
                  <w:r>
                    <w:rPr>
                      <w:rFonts w:hint="default" w:ascii="Times New Roman" w:hAnsi="Times New Roman" w:eastAsia="宋体" w:cs="宋体"/>
                      <w:color w:val="000000" w:themeColor="text1"/>
                      <w:sz w:val="21"/>
                      <w:szCs w:val="21"/>
                      <w:u w:val="none"/>
                      <w:lang w:val="en-US" w:eastAsia="zh-CN"/>
                      <w14:textFill>
                        <w14:solidFill>
                          <w14:schemeClr w14:val="tx1"/>
                        </w14:solidFill>
                      </w14:textFill>
                    </w:rPr>
                    <w:t>10~15cm</w:t>
                  </w: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的水泥进行硬化</w:t>
                  </w:r>
                </w:p>
              </w:tc>
            </w:tr>
            <w:tr w14:paraId="37F47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14:paraId="6126F705">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3</w:t>
                  </w:r>
                </w:p>
              </w:tc>
              <w:tc>
                <w:tcPr>
                  <w:tcW w:w="1205" w:type="dxa"/>
                  <w:vAlign w:val="center"/>
                </w:tcPr>
                <w:p w14:paraId="610772D8">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办公区</w:t>
                  </w:r>
                </w:p>
              </w:tc>
              <w:tc>
                <w:tcPr>
                  <w:tcW w:w="1149" w:type="dxa"/>
                  <w:vAlign w:val="center"/>
                </w:tcPr>
                <w:p w14:paraId="03162461">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其他区域地面</w:t>
                  </w:r>
                </w:p>
              </w:tc>
              <w:tc>
                <w:tcPr>
                  <w:tcW w:w="876" w:type="dxa"/>
                  <w:vAlign w:val="center"/>
                </w:tcPr>
                <w:p w14:paraId="71C629D1">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eastAsia"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简单防渗</w:t>
                  </w:r>
                </w:p>
              </w:tc>
              <w:tc>
                <w:tcPr>
                  <w:tcW w:w="2524" w:type="dxa"/>
                  <w:vAlign w:val="center"/>
                </w:tcPr>
                <w:p w14:paraId="4F70811B">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w:t>
                  </w:r>
                  <w:r>
                    <w:rPr>
                      <w:rFonts w:hint="default" w:ascii="Times New Roman" w:hAnsi="Times New Roman" w:eastAsia="宋体" w:cs="宋体"/>
                      <w:color w:val="000000"/>
                      <w:sz w:val="21"/>
                      <w:szCs w:val="21"/>
                      <w:u w:val="none"/>
                      <w:lang w:val="en-US" w:eastAsia="zh-CN"/>
                    </w:rPr>
                    <w:t>10</w:t>
                  </w:r>
                  <w:r>
                    <w:rPr>
                      <w:rFonts w:hint="default" w:ascii="Times New Roman" w:hAnsi="Times New Roman" w:eastAsia="宋体" w:cs="宋体"/>
                      <w:color w:val="000000"/>
                      <w:sz w:val="21"/>
                      <w:szCs w:val="21"/>
                      <w:u w:val="none"/>
                      <w:vertAlign w:val="superscript"/>
                      <w:lang w:val="en-US" w:eastAsia="zh-CN"/>
                    </w:rPr>
                    <w:t>-5</w:t>
                  </w:r>
                  <w:r>
                    <w:rPr>
                      <w:rFonts w:hint="default" w:ascii="Times New Roman" w:hAnsi="Times New Roman" w:eastAsia="宋体" w:cs="宋体"/>
                      <w:color w:val="000000"/>
                      <w:sz w:val="21"/>
                      <w:szCs w:val="21"/>
                      <w:u w:val="none"/>
                      <w:lang w:val="en-US" w:eastAsia="zh-CN"/>
                    </w:rPr>
                    <w:t>cm/s</w:t>
                  </w:r>
                </w:p>
              </w:tc>
              <w:tc>
                <w:tcPr>
                  <w:tcW w:w="1491" w:type="dxa"/>
                  <w:vAlign w:val="center"/>
                </w:tcPr>
                <w:p w14:paraId="2EDA0077">
                  <w:pPr>
                    <w:pStyle w:val="10"/>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exact"/>
                    <w:ind w:right="0" w:firstLine="0" w:firstLineChars="0"/>
                    <w:jc w:val="center"/>
                    <w:textAlignment w:val="auto"/>
                    <w:rPr>
                      <w:rFonts w:hint="default" w:ascii="Times New Roman" w:hAnsi="Times New Roman" w:eastAsia="宋体" w:cs="宋体"/>
                      <w:color w:val="000000"/>
                      <w:sz w:val="21"/>
                      <w:szCs w:val="21"/>
                      <w:u w:val="none"/>
                      <w:lang w:val="en-US" w:eastAsia="zh-CN"/>
                    </w:rPr>
                  </w:pPr>
                  <w:r>
                    <w:rPr>
                      <w:rFonts w:hint="eastAsia" w:ascii="Times New Roman" w:hAnsi="Times New Roman" w:eastAsia="宋体" w:cs="宋体"/>
                      <w:color w:val="000000"/>
                      <w:sz w:val="21"/>
                      <w:szCs w:val="21"/>
                      <w:u w:val="none"/>
                      <w:lang w:val="en-US" w:eastAsia="zh-CN"/>
                    </w:rPr>
                    <w:t>地面硬化</w:t>
                  </w:r>
                </w:p>
              </w:tc>
            </w:tr>
          </w:tbl>
          <w:p w14:paraId="36F4D6CA">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综上</w:t>
            </w:r>
            <w:r>
              <w:rPr>
                <w:rFonts w:hint="eastAsia" w:ascii="Times New Roman" w:hAnsi="Times New Roman" w:eastAsia="宋体"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运营期各功能区采取</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源头控制、分区防控</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的防渗措施后，各项污染物</w:t>
            </w:r>
            <w:r>
              <w:rPr>
                <w:rFonts w:hint="eastAsia" w:ascii="Times New Roman" w:hAnsi="Times New Roman" w:cs="Times New Roman"/>
                <w:b w:val="0"/>
                <w:bCs w:val="0"/>
                <w:sz w:val="24"/>
                <w:szCs w:val="24"/>
                <w:u w:val="none"/>
                <w:lang w:val="en-US" w:eastAsia="zh-CN" w:bidi="zh-CN"/>
              </w:rPr>
              <w:t>基本不会</w:t>
            </w:r>
            <w:r>
              <w:rPr>
                <w:rFonts w:hint="default" w:ascii="Times New Roman" w:hAnsi="Times New Roman" w:eastAsia="宋体" w:cs="Times New Roman"/>
                <w:b w:val="0"/>
                <w:bCs w:val="0"/>
                <w:sz w:val="24"/>
                <w:szCs w:val="24"/>
                <w:u w:val="none"/>
                <w:lang w:val="en-US" w:eastAsia="zh-CN" w:bidi="zh-CN"/>
              </w:rPr>
              <w:t>对地下水、土壤环境造成影响。</w:t>
            </w:r>
          </w:p>
          <w:p w14:paraId="6F939FF6">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eastAsia="宋体" w:cs="Times New Roman"/>
                <w:b/>
                <w:bCs/>
                <w:sz w:val="24"/>
                <w:szCs w:val="24"/>
                <w:u w:val="none" w:color="auto"/>
                <w:lang w:val="en-US" w:eastAsia="zh-CN" w:bidi="zh-CN"/>
              </w:rPr>
            </w:pPr>
            <w:r>
              <w:rPr>
                <w:rFonts w:hint="eastAsia" w:ascii="Times New Roman" w:hAnsi="Times New Roman" w:cs="Times New Roman"/>
                <w:b/>
                <w:bCs/>
                <w:sz w:val="24"/>
                <w:szCs w:val="24"/>
                <w:u w:val="none" w:color="auto"/>
                <w:lang w:val="en-US" w:eastAsia="zh-CN" w:bidi="zh-CN"/>
              </w:rPr>
              <w:t>四</w:t>
            </w:r>
            <w:r>
              <w:rPr>
                <w:rFonts w:hint="eastAsia" w:ascii="Times New Roman" w:hAnsi="Times New Roman" w:eastAsia="宋体" w:cs="Times New Roman"/>
                <w:b/>
                <w:bCs/>
                <w:sz w:val="24"/>
                <w:szCs w:val="24"/>
                <w:u w:val="none" w:color="auto"/>
                <w:lang w:val="en-US" w:eastAsia="zh-CN" w:bidi="zh-CN"/>
              </w:rPr>
              <w:t>、噪声</w:t>
            </w:r>
          </w:p>
          <w:p w14:paraId="6E7C3802">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根据建设项目噪声排放特点，并结合《环境影响评价技术导则 声环境》 （</w:t>
            </w:r>
            <w:r>
              <w:rPr>
                <w:rFonts w:hint="default" w:ascii="Times New Roman" w:hAnsi="Times New Roman" w:eastAsia="宋体" w:cs="Times New Roman"/>
                <w:b w:val="0"/>
                <w:bCs w:val="0"/>
                <w:sz w:val="24"/>
                <w:szCs w:val="24"/>
                <w:u w:val="none" w:color="auto"/>
                <w:lang w:val="en-US" w:eastAsia="zh-CN" w:bidi="zh-CN"/>
              </w:rPr>
              <w:t>HJ2.4-2021</w:t>
            </w:r>
            <w:r>
              <w:rPr>
                <w:rFonts w:hint="eastAsia" w:ascii="Times New Roman" w:hAnsi="Times New Roman" w:eastAsia="宋体" w:cs="Times New Roman"/>
                <w:b w:val="0"/>
                <w:bCs w:val="0"/>
                <w:sz w:val="24"/>
                <w:szCs w:val="24"/>
                <w:u w:val="none" w:color="auto"/>
                <w:lang w:val="en-US" w:eastAsia="zh-CN" w:bidi="zh-CN"/>
              </w:rPr>
              <w:t>）的要求，可选择点声源预测模式模拟预测噪声源排放噪声随距离的衰减变化规律。</w:t>
            </w:r>
          </w:p>
          <w:p w14:paraId="1BF20805">
            <w:pPr>
              <w:pStyle w:val="13"/>
              <w:widowControl w:val="0"/>
              <w:wordWrap/>
              <w:autoSpaceDE w:val="0"/>
              <w:autoSpaceDN w:val="0"/>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①计算某一室内声源靠近围护结构处产生的倍频带声压级：</w:t>
            </w:r>
          </w:p>
          <w:p w14:paraId="695DF1CA">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440" w:firstLineChars="20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3028950" cy="488950"/>
                  <wp:effectExtent l="0" t="0" r="0" b="635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6"/>
                          <a:srcRect t="12996" b="22025"/>
                          <a:stretch>
                            <a:fillRect/>
                          </a:stretch>
                        </pic:blipFill>
                        <pic:spPr>
                          <a:xfrm>
                            <a:off x="0" y="0"/>
                            <a:ext cx="3028950" cy="488950"/>
                          </a:xfrm>
                          <a:prstGeom prst="rect">
                            <a:avLst/>
                          </a:prstGeom>
                          <a:noFill/>
                          <a:ln>
                            <a:noFill/>
                          </a:ln>
                        </pic:spPr>
                      </pic:pic>
                    </a:graphicData>
                  </a:graphic>
                </wp:inline>
              </w:drawing>
            </w:r>
          </w:p>
          <w:p w14:paraId="3A57D5A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式中：</w:t>
            </w:r>
          </w:p>
          <w:p w14:paraId="4E621EE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Q</w:t>
            </w:r>
            <w:r>
              <w:rPr>
                <w:rFonts w:hint="eastAsia" w:ascii="Times New Roman" w:hAnsi="Times New Roman" w:eastAsia="宋体" w:cs="Times New Roman"/>
                <w:b w:val="0"/>
                <w:bCs w:val="0"/>
                <w:sz w:val="24"/>
                <w:szCs w:val="24"/>
                <w:u w:val="none" w:color="auto"/>
                <w:lang w:val="en-US" w:eastAsia="zh-CN" w:bidi="zh-CN"/>
              </w:rPr>
              <w:t>——指向性因数：通常对无指向性声源，当声源放在房间中心时，</w:t>
            </w:r>
            <w:r>
              <w:rPr>
                <w:rFonts w:hint="default" w:ascii="Times New Roman" w:hAnsi="Times New Roman" w:eastAsia="宋体" w:cs="Times New Roman"/>
                <w:b w:val="0"/>
                <w:bCs w:val="0"/>
                <w:sz w:val="24"/>
                <w:szCs w:val="24"/>
                <w:u w:val="none" w:color="auto"/>
                <w:lang w:val="en-US" w:eastAsia="zh-CN" w:bidi="zh-CN"/>
              </w:rPr>
              <w:t>Q=1</w:t>
            </w:r>
            <w:r>
              <w:rPr>
                <w:rFonts w:hint="eastAsia" w:ascii="Times New Roman" w:hAnsi="Times New Roman" w:eastAsia="宋体" w:cs="Times New Roman"/>
                <w:b w:val="0"/>
                <w:bCs w:val="0"/>
                <w:sz w:val="24"/>
                <w:szCs w:val="24"/>
                <w:u w:val="none" w:color="auto"/>
                <w:lang w:val="en-US" w:eastAsia="zh-CN" w:bidi="zh-CN"/>
              </w:rPr>
              <w:t>；</w:t>
            </w:r>
          </w:p>
          <w:p w14:paraId="2B27CF4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当放在一面墙的中心时，</w:t>
            </w:r>
            <w:r>
              <w:rPr>
                <w:rFonts w:hint="default" w:ascii="Times New Roman" w:hAnsi="Times New Roman" w:eastAsia="宋体" w:cs="Times New Roman"/>
                <w:b w:val="0"/>
                <w:bCs w:val="0"/>
                <w:sz w:val="24"/>
                <w:szCs w:val="24"/>
                <w:u w:val="none" w:color="auto"/>
                <w:lang w:val="en-US" w:eastAsia="zh-CN" w:bidi="zh-CN"/>
              </w:rPr>
              <w:t>Q=2</w:t>
            </w:r>
            <w:r>
              <w:rPr>
                <w:rFonts w:hint="eastAsia" w:ascii="Times New Roman" w:hAnsi="Times New Roman" w:eastAsia="宋体" w:cs="Times New Roman"/>
                <w:b w:val="0"/>
                <w:bCs w:val="0"/>
                <w:sz w:val="24"/>
                <w:szCs w:val="24"/>
                <w:u w:val="none" w:color="auto"/>
                <w:lang w:val="en-US" w:eastAsia="zh-CN" w:bidi="zh-CN"/>
              </w:rPr>
              <w:t>；当放在两面墙夹角时，</w:t>
            </w:r>
            <w:r>
              <w:rPr>
                <w:rFonts w:hint="default" w:ascii="Times New Roman" w:hAnsi="Times New Roman" w:eastAsia="宋体" w:cs="Times New Roman"/>
                <w:b w:val="0"/>
                <w:bCs w:val="0"/>
                <w:sz w:val="24"/>
                <w:szCs w:val="24"/>
                <w:u w:val="none" w:color="auto"/>
                <w:lang w:val="en-US" w:eastAsia="zh-CN" w:bidi="zh-CN"/>
              </w:rPr>
              <w:t>Q=4</w:t>
            </w:r>
            <w:r>
              <w:rPr>
                <w:rFonts w:hint="eastAsia" w:ascii="Times New Roman" w:hAnsi="Times New Roman" w:eastAsia="宋体" w:cs="Times New Roman"/>
                <w:b w:val="0"/>
                <w:bCs w:val="0"/>
                <w:sz w:val="24"/>
                <w:szCs w:val="24"/>
                <w:u w:val="none" w:color="auto"/>
                <w:lang w:val="en-US" w:eastAsia="zh-CN" w:bidi="zh-CN"/>
              </w:rPr>
              <w:t>；当放在三面墙夹角处时，</w:t>
            </w:r>
            <w:r>
              <w:rPr>
                <w:rFonts w:hint="default" w:ascii="Times New Roman" w:hAnsi="Times New Roman" w:eastAsia="宋体" w:cs="Times New Roman"/>
                <w:b w:val="0"/>
                <w:bCs w:val="0"/>
                <w:sz w:val="24"/>
                <w:szCs w:val="24"/>
                <w:u w:val="none" w:color="auto"/>
                <w:lang w:val="en-US" w:eastAsia="zh-CN" w:bidi="zh-CN"/>
              </w:rPr>
              <w:t>Q=8</w:t>
            </w:r>
            <w:r>
              <w:rPr>
                <w:rFonts w:hint="eastAsia" w:ascii="Times New Roman" w:hAnsi="Times New Roman" w:eastAsia="宋体" w:cs="Times New Roman"/>
                <w:b w:val="0"/>
                <w:bCs w:val="0"/>
                <w:sz w:val="24"/>
                <w:szCs w:val="24"/>
                <w:u w:val="none" w:color="auto"/>
                <w:lang w:val="en-US" w:eastAsia="zh-CN" w:bidi="zh-CN"/>
              </w:rPr>
              <w:t>。</w:t>
            </w:r>
          </w:p>
          <w:p w14:paraId="2FFC6F9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R</w:t>
            </w:r>
            <w:r>
              <w:rPr>
                <w:rFonts w:hint="eastAsia" w:ascii="Times New Roman" w:hAnsi="Times New Roman" w:eastAsia="宋体" w:cs="Times New Roman"/>
                <w:b w:val="0"/>
                <w:bCs w:val="0"/>
                <w:sz w:val="24"/>
                <w:szCs w:val="24"/>
                <w:u w:val="none" w:color="auto"/>
                <w:lang w:val="en-US" w:eastAsia="zh-CN" w:bidi="zh-CN"/>
              </w:rPr>
              <w:t>——房间常数：</w:t>
            </w:r>
            <w:r>
              <w:rPr>
                <w:rFonts w:hint="default" w:ascii="Times New Roman" w:hAnsi="Times New Roman" w:eastAsia="宋体" w:cs="Times New Roman"/>
                <w:b w:val="0"/>
                <w:bCs w:val="0"/>
                <w:sz w:val="24"/>
                <w:szCs w:val="24"/>
                <w:u w:val="none" w:color="auto"/>
                <w:lang w:val="en-US" w:eastAsia="zh-CN" w:bidi="zh-CN"/>
              </w:rPr>
              <w:t>R=Sa/(1-a)</w:t>
            </w:r>
            <w:r>
              <w:rPr>
                <w:rFonts w:hint="eastAsia" w:ascii="Times New Roman" w:hAnsi="Times New Roman" w:eastAsia="宋体" w:cs="Times New Roman"/>
                <w:b w:val="0"/>
                <w:bCs w:val="0"/>
                <w:sz w:val="24"/>
                <w:szCs w:val="24"/>
                <w:u w:val="none" w:color="auto"/>
                <w:lang w:val="en-US" w:eastAsia="zh-CN" w:bidi="zh-CN"/>
              </w:rPr>
              <w:t>，</w:t>
            </w:r>
            <w:r>
              <w:rPr>
                <w:rFonts w:hint="default" w:ascii="Times New Roman" w:hAnsi="Times New Roman" w:eastAsia="宋体" w:cs="Times New Roman"/>
                <w:b w:val="0"/>
                <w:bCs w:val="0"/>
                <w:sz w:val="24"/>
                <w:szCs w:val="24"/>
                <w:u w:val="none" w:color="auto"/>
                <w:lang w:val="en-US" w:eastAsia="zh-CN" w:bidi="zh-CN"/>
              </w:rPr>
              <w:t>S</w:t>
            </w:r>
            <w:r>
              <w:rPr>
                <w:rFonts w:hint="eastAsia" w:ascii="Times New Roman" w:hAnsi="Times New Roman" w:eastAsia="宋体" w:cs="Times New Roman"/>
                <w:b w:val="0"/>
                <w:bCs w:val="0"/>
                <w:sz w:val="24"/>
                <w:szCs w:val="24"/>
                <w:u w:val="none" w:color="auto"/>
                <w:lang w:val="en-US" w:eastAsia="zh-CN" w:bidi="zh-CN"/>
              </w:rPr>
              <w:t>为房间内表面面积，</w:t>
            </w:r>
            <w:r>
              <w:rPr>
                <w:rFonts w:hint="default" w:ascii="Times New Roman" w:hAnsi="Times New Roman" w:eastAsia="宋体" w:cs="Times New Roman"/>
                <w:b w:val="0"/>
                <w:bCs w:val="0"/>
                <w:sz w:val="24"/>
                <w:szCs w:val="24"/>
                <w:u w:val="none" w:color="auto"/>
                <w:lang w:val="en-US" w:eastAsia="zh-CN" w:bidi="zh-CN"/>
              </w:rPr>
              <w:t>m2</w:t>
            </w:r>
            <w:r>
              <w:rPr>
                <w:rFonts w:hint="eastAsia" w:ascii="Times New Roman" w:hAnsi="Times New Roman" w:eastAsia="宋体" w:cs="Times New Roman"/>
                <w:b w:val="0"/>
                <w:bCs w:val="0"/>
                <w:sz w:val="24"/>
                <w:szCs w:val="24"/>
                <w:u w:val="none" w:color="auto"/>
                <w:lang w:val="en-US" w:eastAsia="zh-CN" w:bidi="zh-CN"/>
              </w:rPr>
              <w:t>；</w:t>
            </w:r>
            <w:r>
              <w:rPr>
                <w:rFonts w:hint="default" w:ascii="Times New Roman" w:hAnsi="Times New Roman" w:eastAsia="宋体" w:cs="Times New Roman"/>
                <w:b w:val="0"/>
                <w:bCs w:val="0"/>
                <w:sz w:val="24"/>
                <w:szCs w:val="24"/>
                <w:u w:val="none" w:color="auto"/>
                <w:lang w:val="en-US" w:eastAsia="zh-CN" w:bidi="zh-CN"/>
              </w:rPr>
              <w:t xml:space="preserve">a </w:t>
            </w:r>
            <w:r>
              <w:rPr>
                <w:rFonts w:hint="eastAsia" w:ascii="Times New Roman" w:hAnsi="Times New Roman" w:eastAsia="宋体" w:cs="Times New Roman"/>
                <w:b w:val="0"/>
                <w:bCs w:val="0"/>
                <w:sz w:val="24"/>
                <w:szCs w:val="24"/>
                <w:u w:val="none" w:color="auto"/>
                <w:lang w:val="en-US" w:eastAsia="zh-CN" w:bidi="zh-CN"/>
              </w:rPr>
              <w:t>为平均吸声系数。</w:t>
            </w:r>
          </w:p>
          <w:p w14:paraId="693A34C6">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r</w:t>
            </w:r>
            <w:r>
              <w:rPr>
                <w:rFonts w:hint="eastAsia" w:ascii="Times New Roman" w:hAnsi="Times New Roman" w:eastAsia="宋体" w:cs="Times New Roman"/>
                <w:b w:val="0"/>
                <w:bCs w:val="0"/>
                <w:sz w:val="24"/>
                <w:szCs w:val="24"/>
                <w:u w:val="none" w:color="auto"/>
                <w:lang w:val="en-US" w:eastAsia="zh-CN" w:bidi="zh-CN"/>
              </w:rPr>
              <w:t>——声源到靠近围护结构某点处的距离，</w:t>
            </w:r>
            <w:r>
              <w:rPr>
                <w:rFonts w:hint="default"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lang w:val="en-US" w:eastAsia="zh-CN" w:bidi="zh-CN"/>
              </w:rPr>
              <w:t>。</w:t>
            </w:r>
          </w:p>
          <w:p w14:paraId="3F7A837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②计算出所有室内声源在围护结构处产生的</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倍频带叠加声压级：</w:t>
            </w:r>
          </w:p>
          <w:p w14:paraId="213E3AE4">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390775" cy="657225"/>
                  <wp:effectExtent l="0" t="0" r="9525" b="952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7"/>
                          <a:stretch>
                            <a:fillRect/>
                          </a:stretch>
                        </pic:blipFill>
                        <pic:spPr>
                          <a:xfrm>
                            <a:off x="0" y="0"/>
                            <a:ext cx="2390775" cy="657225"/>
                          </a:xfrm>
                          <a:prstGeom prst="rect">
                            <a:avLst/>
                          </a:prstGeom>
                          <a:noFill/>
                          <a:ln>
                            <a:noFill/>
                          </a:ln>
                        </pic:spPr>
                      </pic:pic>
                    </a:graphicData>
                  </a:graphic>
                </wp:inline>
              </w:drawing>
            </w:r>
          </w:p>
          <w:p w14:paraId="374AB3A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式中：</w:t>
            </w:r>
          </w:p>
          <w:p w14:paraId="66C72B4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Lp1i(T)</w:t>
            </w:r>
            <w:r>
              <w:rPr>
                <w:rFonts w:hint="eastAsia" w:ascii="Times New Roman" w:hAnsi="Times New Roman" w:eastAsia="宋体" w:cs="Times New Roman"/>
                <w:b w:val="0"/>
                <w:bCs w:val="0"/>
                <w:sz w:val="24"/>
                <w:szCs w:val="24"/>
                <w:u w:val="none" w:color="auto"/>
                <w:lang w:val="en-US" w:eastAsia="zh-CN" w:bidi="zh-CN"/>
              </w:rPr>
              <w:t>——靠近围护结构处室内</w:t>
            </w:r>
            <w:r>
              <w:rPr>
                <w:rFonts w:hint="default" w:ascii="Times New Roman" w:hAnsi="Times New Roman" w:eastAsia="宋体" w:cs="Times New Roman"/>
                <w:b w:val="0"/>
                <w:bCs w:val="0"/>
                <w:sz w:val="24"/>
                <w:szCs w:val="24"/>
                <w:u w:val="none" w:color="auto"/>
                <w:lang w:val="en-US" w:eastAsia="zh-CN" w:bidi="zh-CN"/>
              </w:rPr>
              <w:t>N</w:t>
            </w:r>
            <w:r>
              <w:rPr>
                <w:rFonts w:hint="eastAsia" w:ascii="Times New Roman" w:hAnsi="Times New Roman" w:eastAsia="宋体" w:cs="Times New Roman"/>
                <w:b w:val="0"/>
                <w:bCs w:val="0"/>
                <w:sz w:val="24"/>
                <w:szCs w:val="24"/>
                <w:u w:val="none" w:color="auto"/>
                <w:lang w:val="en-US" w:eastAsia="zh-CN" w:bidi="zh-CN"/>
              </w:rPr>
              <w:t>个声源</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倍频带的叠加声压级，</w:t>
            </w:r>
            <w:r>
              <w:rPr>
                <w:rFonts w:hint="default" w:ascii="Times New Roman" w:hAnsi="Times New Roman" w:eastAsia="宋体" w:cs="Times New Roman"/>
                <w:b w:val="0"/>
                <w:bCs w:val="0"/>
                <w:sz w:val="24"/>
                <w:szCs w:val="24"/>
                <w:u w:val="none" w:color="auto"/>
                <w:lang w:val="en-US" w:eastAsia="zh-CN" w:bidi="zh-CN"/>
              </w:rPr>
              <w:t>dB</w:t>
            </w:r>
            <w:r>
              <w:rPr>
                <w:rFonts w:hint="eastAsia" w:ascii="Times New Roman" w:hAnsi="Times New Roman" w:eastAsia="宋体" w:cs="Times New Roman"/>
                <w:b w:val="0"/>
                <w:bCs w:val="0"/>
                <w:sz w:val="24"/>
                <w:szCs w:val="24"/>
                <w:u w:val="none" w:color="auto"/>
                <w:lang w:val="en-US" w:eastAsia="zh-CN" w:bidi="zh-CN"/>
              </w:rPr>
              <w:t>；</w:t>
            </w:r>
          </w:p>
          <w:p w14:paraId="75BA966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Lp1ij</w:t>
            </w:r>
            <w:r>
              <w:rPr>
                <w:rFonts w:hint="eastAsia" w:ascii="Times New Roman" w:hAnsi="Times New Roman" w:eastAsia="宋体" w:cs="Times New Roman"/>
                <w:b w:val="0"/>
                <w:bCs w:val="0"/>
                <w:sz w:val="24"/>
                <w:szCs w:val="24"/>
                <w:u w:val="none" w:color="auto"/>
                <w:lang w:val="en-US" w:eastAsia="zh-CN" w:bidi="zh-CN"/>
              </w:rPr>
              <w:t>——室内</w:t>
            </w:r>
            <w:r>
              <w:rPr>
                <w:rFonts w:hint="default" w:ascii="Times New Roman" w:hAnsi="Times New Roman" w:eastAsia="宋体" w:cs="Times New Roman"/>
                <w:b w:val="0"/>
                <w:bCs w:val="0"/>
                <w:sz w:val="24"/>
                <w:szCs w:val="24"/>
                <w:u w:val="none" w:color="auto"/>
                <w:lang w:val="en-US" w:eastAsia="zh-CN" w:bidi="zh-CN"/>
              </w:rPr>
              <w:t>j</w:t>
            </w:r>
            <w:r>
              <w:rPr>
                <w:rFonts w:hint="eastAsia" w:ascii="Times New Roman" w:hAnsi="Times New Roman" w:eastAsia="宋体" w:cs="Times New Roman"/>
                <w:b w:val="0"/>
                <w:bCs w:val="0"/>
                <w:sz w:val="24"/>
                <w:szCs w:val="24"/>
                <w:u w:val="none" w:color="auto"/>
                <w:lang w:val="en-US" w:eastAsia="zh-CN" w:bidi="zh-CN"/>
              </w:rPr>
              <w:t>声源</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倍频带的声压级，</w:t>
            </w:r>
            <w:r>
              <w:rPr>
                <w:rFonts w:hint="default" w:ascii="Times New Roman" w:hAnsi="Times New Roman" w:eastAsia="宋体" w:cs="Times New Roman"/>
                <w:b w:val="0"/>
                <w:bCs w:val="0"/>
                <w:sz w:val="24"/>
                <w:szCs w:val="24"/>
                <w:u w:val="none" w:color="auto"/>
                <w:lang w:val="en-US" w:eastAsia="zh-CN" w:bidi="zh-CN"/>
              </w:rPr>
              <w:t>dB</w:t>
            </w:r>
            <w:r>
              <w:rPr>
                <w:rFonts w:hint="eastAsia" w:ascii="Times New Roman" w:hAnsi="Times New Roman" w:eastAsia="宋体" w:cs="Times New Roman"/>
                <w:b w:val="0"/>
                <w:bCs w:val="0"/>
                <w:sz w:val="24"/>
                <w:szCs w:val="24"/>
                <w:u w:val="none" w:color="auto"/>
                <w:lang w:val="en-US" w:eastAsia="zh-CN" w:bidi="zh-CN"/>
              </w:rPr>
              <w:t>；</w:t>
            </w:r>
          </w:p>
          <w:p w14:paraId="63D10E7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③在室内近似为扩散声场地，按下式计算出靠近室外围护结构处的声压级：</w:t>
            </w:r>
          </w:p>
          <w:p w14:paraId="535E1949">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552700" cy="457200"/>
                  <wp:effectExtent l="0" t="0" r="0" b="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8"/>
                          <a:stretch>
                            <a:fillRect/>
                          </a:stretch>
                        </pic:blipFill>
                        <pic:spPr>
                          <a:xfrm>
                            <a:off x="0" y="0"/>
                            <a:ext cx="2552700" cy="457200"/>
                          </a:xfrm>
                          <a:prstGeom prst="rect">
                            <a:avLst/>
                          </a:prstGeom>
                          <a:noFill/>
                          <a:ln>
                            <a:noFill/>
                          </a:ln>
                        </pic:spPr>
                      </pic:pic>
                    </a:graphicData>
                  </a:graphic>
                </wp:inline>
              </w:drawing>
            </w:r>
          </w:p>
          <w:p w14:paraId="0AD997CC">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 xml:space="preserve">式中： </w:t>
            </w:r>
          </w:p>
          <w:p w14:paraId="50CAD6B0">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Lp2i(T)</w:t>
            </w:r>
            <w:r>
              <w:rPr>
                <w:rFonts w:hint="eastAsia" w:ascii="Times New Roman" w:hAnsi="Times New Roman" w:eastAsia="宋体" w:cs="Times New Roman"/>
                <w:b w:val="0"/>
                <w:bCs w:val="0"/>
                <w:sz w:val="24"/>
                <w:szCs w:val="24"/>
                <w:u w:val="none" w:color="auto"/>
                <w:lang w:val="en-US" w:eastAsia="zh-CN" w:bidi="zh-CN"/>
              </w:rPr>
              <w:t>——靠近围护结构处室外</w:t>
            </w:r>
            <w:r>
              <w:rPr>
                <w:rFonts w:hint="default" w:ascii="Times New Roman" w:hAnsi="Times New Roman" w:eastAsia="宋体" w:cs="Times New Roman"/>
                <w:b w:val="0"/>
                <w:bCs w:val="0"/>
                <w:sz w:val="24"/>
                <w:szCs w:val="24"/>
                <w:u w:val="none" w:color="auto"/>
                <w:lang w:val="en-US" w:eastAsia="zh-CN" w:bidi="zh-CN"/>
              </w:rPr>
              <w:t>N</w:t>
            </w:r>
            <w:r>
              <w:rPr>
                <w:rFonts w:hint="eastAsia" w:ascii="Times New Roman" w:hAnsi="Times New Roman" w:eastAsia="宋体" w:cs="Times New Roman"/>
                <w:b w:val="0"/>
                <w:bCs w:val="0"/>
                <w:sz w:val="24"/>
                <w:szCs w:val="24"/>
                <w:u w:val="none" w:color="auto"/>
                <w:lang w:val="en-US" w:eastAsia="zh-CN" w:bidi="zh-CN"/>
              </w:rPr>
              <w:t>个声源</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倍频带的叠加声压级，</w:t>
            </w:r>
            <w:r>
              <w:rPr>
                <w:rFonts w:hint="default" w:ascii="Times New Roman" w:hAnsi="Times New Roman" w:eastAsia="宋体" w:cs="Times New Roman"/>
                <w:b w:val="0"/>
                <w:bCs w:val="0"/>
                <w:sz w:val="24"/>
                <w:szCs w:val="24"/>
                <w:u w:val="none" w:color="auto"/>
                <w:lang w:val="en-US" w:eastAsia="zh-CN" w:bidi="zh-CN"/>
              </w:rPr>
              <w:t>dB</w:t>
            </w:r>
            <w:r>
              <w:rPr>
                <w:rFonts w:hint="eastAsia" w:ascii="Times New Roman" w:hAnsi="Times New Roman" w:eastAsia="宋体" w:cs="Times New Roman"/>
                <w:b w:val="0"/>
                <w:bCs w:val="0"/>
                <w:sz w:val="24"/>
                <w:szCs w:val="24"/>
                <w:u w:val="none" w:color="auto"/>
                <w:lang w:val="en-US" w:eastAsia="zh-CN" w:bidi="zh-CN"/>
              </w:rPr>
              <w:t>；</w:t>
            </w:r>
          </w:p>
          <w:p w14:paraId="2235D03D">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TLi</w:t>
            </w:r>
            <w:r>
              <w:rPr>
                <w:rFonts w:hint="eastAsia" w:ascii="Times New Roman" w:hAnsi="Times New Roman" w:eastAsia="宋体" w:cs="Times New Roman"/>
                <w:b w:val="0"/>
                <w:bCs w:val="0"/>
                <w:sz w:val="24"/>
                <w:szCs w:val="24"/>
                <w:u w:val="none" w:color="auto"/>
                <w:lang w:val="en-US" w:eastAsia="zh-CN" w:bidi="zh-CN"/>
              </w:rPr>
              <w:t>——围护结构</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倍频带的隔声量，</w:t>
            </w:r>
            <w:r>
              <w:rPr>
                <w:rFonts w:hint="default" w:ascii="Times New Roman" w:hAnsi="Times New Roman" w:eastAsia="宋体" w:cs="Times New Roman"/>
                <w:b w:val="0"/>
                <w:bCs w:val="0"/>
                <w:sz w:val="24"/>
                <w:szCs w:val="24"/>
                <w:u w:val="none" w:color="auto"/>
                <w:lang w:val="en-US" w:eastAsia="zh-CN" w:bidi="zh-CN"/>
              </w:rPr>
              <w:t>dB</w:t>
            </w:r>
            <w:r>
              <w:rPr>
                <w:rFonts w:hint="eastAsia" w:ascii="Times New Roman" w:hAnsi="Times New Roman" w:eastAsia="宋体" w:cs="Times New Roman"/>
                <w:b w:val="0"/>
                <w:bCs w:val="0"/>
                <w:sz w:val="24"/>
                <w:szCs w:val="24"/>
                <w:u w:val="none" w:color="auto"/>
                <w:lang w:val="en-US" w:eastAsia="zh-CN" w:bidi="zh-CN"/>
              </w:rPr>
              <w:t>；</w:t>
            </w:r>
          </w:p>
          <w:p w14:paraId="112C556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④将室外声源的声压级和透过面积换算成等效的室外声源，计算出中心位置位于透声面积（</w:t>
            </w:r>
            <w:r>
              <w:rPr>
                <w:rFonts w:hint="default" w:ascii="Times New Roman" w:hAnsi="Times New Roman" w:eastAsia="宋体" w:cs="Times New Roman"/>
                <w:b w:val="0"/>
                <w:bCs w:val="0"/>
                <w:sz w:val="24"/>
                <w:szCs w:val="24"/>
                <w:u w:val="none" w:color="auto"/>
                <w:lang w:val="en-US" w:eastAsia="zh-CN" w:bidi="zh-CN"/>
              </w:rPr>
              <w:t>S</w:t>
            </w:r>
            <w:r>
              <w:rPr>
                <w:rFonts w:hint="eastAsia" w:ascii="Times New Roman" w:hAnsi="Times New Roman" w:eastAsia="宋体" w:cs="Times New Roman"/>
                <w:b w:val="0"/>
                <w:bCs w:val="0"/>
                <w:sz w:val="24"/>
                <w:szCs w:val="24"/>
                <w:u w:val="none" w:color="auto"/>
                <w:lang w:val="en-US" w:eastAsia="zh-CN" w:bidi="zh-CN"/>
              </w:rPr>
              <w:t>）处的等效声源的倍频带声功率级。</w:t>
            </w:r>
          </w:p>
          <w:p w14:paraId="5F9A7963">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171700" cy="438150"/>
                  <wp:effectExtent l="0" t="0" r="0" b="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9"/>
                          <a:stretch>
                            <a:fillRect/>
                          </a:stretch>
                        </pic:blipFill>
                        <pic:spPr>
                          <a:xfrm>
                            <a:off x="0" y="0"/>
                            <a:ext cx="2171700" cy="438150"/>
                          </a:xfrm>
                          <a:prstGeom prst="rect">
                            <a:avLst/>
                          </a:prstGeom>
                          <a:noFill/>
                          <a:ln>
                            <a:noFill/>
                          </a:ln>
                        </pic:spPr>
                      </pic:pic>
                    </a:graphicData>
                  </a:graphic>
                </wp:inline>
              </w:drawing>
            </w:r>
          </w:p>
          <w:p w14:paraId="522D3783">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⑤按室外声源预测方法计算预测点处的</w:t>
            </w:r>
            <w:r>
              <w:rPr>
                <w:rFonts w:hint="default" w:ascii="Times New Roman" w:hAnsi="Times New Roman" w:eastAsia="宋体" w:cs="Times New Roman"/>
                <w:b w:val="0"/>
                <w:bCs w:val="0"/>
                <w:sz w:val="24"/>
                <w:szCs w:val="24"/>
                <w:u w:val="none" w:color="auto"/>
                <w:lang w:val="en-US" w:eastAsia="zh-CN" w:bidi="zh-CN"/>
              </w:rPr>
              <w:t>A</w:t>
            </w:r>
            <w:r>
              <w:rPr>
                <w:rFonts w:hint="eastAsia" w:ascii="Times New Roman" w:hAnsi="Times New Roman" w:eastAsia="宋体" w:cs="Times New Roman"/>
                <w:b w:val="0"/>
                <w:bCs w:val="0"/>
                <w:sz w:val="24"/>
                <w:szCs w:val="24"/>
                <w:u w:val="none" w:color="auto"/>
                <w:lang w:val="en-US" w:eastAsia="zh-CN" w:bidi="zh-CN"/>
              </w:rPr>
              <w:t>声级。</w:t>
            </w:r>
          </w:p>
          <w:p w14:paraId="59394CF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设第</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个室外声源在预测点产生的</w:t>
            </w:r>
            <w:r>
              <w:rPr>
                <w:rFonts w:hint="default" w:ascii="Times New Roman" w:hAnsi="Times New Roman" w:eastAsia="宋体" w:cs="Times New Roman"/>
                <w:b w:val="0"/>
                <w:bCs w:val="0"/>
                <w:sz w:val="24"/>
                <w:szCs w:val="24"/>
                <w:u w:val="none" w:color="auto"/>
                <w:lang w:val="en-US" w:eastAsia="zh-CN" w:bidi="zh-CN"/>
              </w:rPr>
              <w:t>A</w:t>
            </w:r>
            <w:r>
              <w:rPr>
                <w:rFonts w:hint="eastAsia" w:ascii="Times New Roman" w:hAnsi="Times New Roman" w:eastAsia="宋体" w:cs="Times New Roman"/>
                <w:b w:val="0"/>
                <w:bCs w:val="0"/>
                <w:sz w:val="24"/>
                <w:szCs w:val="24"/>
                <w:u w:val="none" w:color="auto"/>
                <w:lang w:val="en-US" w:eastAsia="zh-CN" w:bidi="zh-CN"/>
              </w:rPr>
              <w:t>声级为</w:t>
            </w:r>
            <w:r>
              <w:rPr>
                <w:rFonts w:hint="default" w:ascii="Times New Roman" w:hAnsi="Times New Roman" w:eastAsia="宋体" w:cs="Times New Roman"/>
                <w:b w:val="0"/>
                <w:bCs w:val="0"/>
                <w:sz w:val="24"/>
                <w:szCs w:val="24"/>
                <w:u w:val="none" w:color="auto"/>
                <w:lang w:val="en-US" w:eastAsia="zh-CN" w:bidi="zh-CN"/>
              </w:rPr>
              <w:t>LAi</w:t>
            </w:r>
            <w:r>
              <w:rPr>
                <w:rFonts w:hint="eastAsia" w:ascii="Times New Roman" w:hAnsi="Times New Roman" w:eastAsia="宋体" w:cs="Times New Roman"/>
                <w:b w:val="0"/>
                <w:bCs w:val="0"/>
                <w:sz w:val="24"/>
                <w:szCs w:val="24"/>
                <w:u w:val="none" w:color="auto"/>
                <w:lang w:val="en-US" w:eastAsia="zh-CN" w:bidi="zh-CN"/>
              </w:rPr>
              <w:t>，在</w:t>
            </w:r>
            <w:r>
              <w:rPr>
                <w:rFonts w:hint="default" w:ascii="Times New Roman" w:hAnsi="Times New Roman" w:eastAsia="宋体" w:cs="Times New Roman"/>
                <w:b w:val="0"/>
                <w:bCs w:val="0"/>
                <w:sz w:val="24"/>
                <w:szCs w:val="24"/>
                <w:u w:val="none" w:color="auto"/>
                <w:lang w:val="en-US" w:eastAsia="zh-CN" w:bidi="zh-CN"/>
              </w:rPr>
              <w:t>T</w:t>
            </w:r>
            <w:r>
              <w:rPr>
                <w:rFonts w:hint="eastAsia" w:ascii="Times New Roman" w:hAnsi="Times New Roman" w:eastAsia="宋体" w:cs="Times New Roman"/>
                <w:b w:val="0"/>
                <w:bCs w:val="0"/>
                <w:sz w:val="24"/>
                <w:szCs w:val="24"/>
                <w:u w:val="none" w:color="auto"/>
                <w:lang w:val="en-US" w:eastAsia="zh-CN" w:bidi="zh-CN"/>
              </w:rPr>
              <w:t>时间内该声源工作时间为</w:t>
            </w:r>
            <w:r>
              <w:rPr>
                <w:rFonts w:hint="default" w:ascii="Times New Roman" w:hAnsi="Times New Roman" w:eastAsia="宋体" w:cs="Times New Roman"/>
                <w:b w:val="0"/>
                <w:bCs w:val="0"/>
                <w:sz w:val="24"/>
                <w:szCs w:val="24"/>
                <w:u w:val="none" w:color="auto"/>
                <w:lang w:val="en-US" w:eastAsia="zh-CN" w:bidi="zh-CN"/>
              </w:rPr>
              <w:t>ti</w:t>
            </w:r>
            <w:r>
              <w:rPr>
                <w:rFonts w:hint="eastAsia" w:ascii="Times New Roman" w:hAnsi="Times New Roman" w:eastAsia="宋体" w:cs="Times New Roman"/>
                <w:b w:val="0"/>
                <w:bCs w:val="0"/>
                <w:sz w:val="24"/>
                <w:szCs w:val="24"/>
                <w:u w:val="none" w:color="auto"/>
                <w:lang w:val="en-US" w:eastAsia="zh-CN" w:bidi="zh-CN"/>
              </w:rPr>
              <w:t>；第</w:t>
            </w:r>
            <w:r>
              <w:rPr>
                <w:rFonts w:hint="default" w:ascii="Times New Roman" w:hAnsi="Times New Roman" w:eastAsia="宋体" w:cs="Times New Roman"/>
                <w:b w:val="0"/>
                <w:bCs w:val="0"/>
                <w:sz w:val="24"/>
                <w:szCs w:val="24"/>
                <w:u w:val="none" w:color="auto"/>
                <w:lang w:val="en-US" w:eastAsia="zh-CN" w:bidi="zh-CN"/>
              </w:rPr>
              <w:t>j</w:t>
            </w:r>
            <w:r>
              <w:rPr>
                <w:rFonts w:hint="eastAsia" w:ascii="Times New Roman" w:hAnsi="Times New Roman" w:eastAsia="宋体" w:cs="Times New Roman"/>
                <w:b w:val="0"/>
                <w:bCs w:val="0"/>
                <w:sz w:val="24"/>
                <w:szCs w:val="24"/>
                <w:u w:val="none" w:color="auto"/>
                <w:lang w:val="en-US" w:eastAsia="zh-CN" w:bidi="zh-CN"/>
              </w:rPr>
              <w:t>个等效室外声源在预测点产生的</w:t>
            </w:r>
            <w:r>
              <w:rPr>
                <w:rFonts w:hint="default" w:ascii="Times New Roman" w:hAnsi="Times New Roman" w:eastAsia="宋体" w:cs="Times New Roman"/>
                <w:b w:val="0"/>
                <w:bCs w:val="0"/>
                <w:sz w:val="24"/>
                <w:szCs w:val="24"/>
                <w:u w:val="none" w:color="auto"/>
                <w:lang w:val="en-US" w:eastAsia="zh-CN" w:bidi="zh-CN"/>
              </w:rPr>
              <w:t>A</w:t>
            </w:r>
            <w:r>
              <w:rPr>
                <w:rFonts w:hint="eastAsia" w:ascii="Times New Roman" w:hAnsi="Times New Roman" w:eastAsia="宋体" w:cs="Times New Roman"/>
                <w:b w:val="0"/>
                <w:bCs w:val="0"/>
                <w:sz w:val="24"/>
                <w:szCs w:val="24"/>
                <w:u w:val="none" w:color="auto"/>
                <w:lang w:val="en-US" w:eastAsia="zh-CN" w:bidi="zh-CN"/>
              </w:rPr>
              <w:t>声级为</w:t>
            </w:r>
            <w:r>
              <w:rPr>
                <w:rFonts w:hint="default" w:ascii="Times New Roman" w:hAnsi="Times New Roman" w:eastAsia="宋体" w:cs="Times New Roman"/>
                <w:b w:val="0"/>
                <w:bCs w:val="0"/>
                <w:sz w:val="24"/>
                <w:szCs w:val="24"/>
                <w:u w:val="none" w:color="auto"/>
                <w:lang w:val="en-US" w:eastAsia="zh-CN" w:bidi="zh-CN"/>
              </w:rPr>
              <w:t>LAj</w:t>
            </w:r>
            <w:r>
              <w:rPr>
                <w:rFonts w:hint="eastAsia" w:ascii="Times New Roman" w:hAnsi="Times New Roman" w:eastAsia="宋体" w:cs="Times New Roman"/>
                <w:b w:val="0"/>
                <w:bCs w:val="0"/>
                <w:sz w:val="24"/>
                <w:szCs w:val="24"/>
                <w:u w:val="none" w:color="auto"/>
                <w:lang w:val="en-US" w:eastAsia="zh-CN" w:bidi="zh-CN"/>
              </w:rPr>
              <w:t>，在</w:t>
            </w:r>
            <w:r>
              <w:rPr>
                <w:rFonts w:hint="default" w:ascii="Times New Roman" w:hAnsi="Times New Roman" w:eastAsia="宋体" w:cs="Times New Roman"/>
                <w:b w:val="0"/>
                <w:bCs w:val="0"/>
                <w:sz w:val="24"/>
                <w:szCs w:val="24"/>
                <w:u w:val="none" w:color="auto"/>
                <w:lang w:val="en-US" w:eastAsia="zh-CN" w:bidi="zh-CN"/>
              </w:rPr>
              <w:t>T</w:t>
            </w:r>
            <w:r>
              <w:rPr>
                <w:rFonts w:hint="eastAsia" w:ascii="Times New Roman" w:hAnsi="Times New Roman" w:eastAsia="宋体" w:cs="Times New Roman"/>
                <w:b w:val="0"/>
                <w:bCs w:val="0"/>
                <w:sz w:val="24"/>
                <w:szCs w:val="24"/>
                <w:u w:val="none" w:color="auto"/>
                <w:lang w:val="en-US" w:eastAsia="zh-CN" w:bidi="zh-CN"/>
              </w:rPr>
              <w:t>时间内该声源工作时间为</w:t>
            </w:r>
            <w:r>
              <w:rPr>
                <w:rFonts w:hint="default" w:ascii="Times New Roman" w:hAnsi="Times New Roman" w:eastAsia="宋体" w:cs="Times New Roman"/>
                <w:b w:val="0"/>
                <w:bCs w:val="0"/>
                <w:sz w:val="24"/>
                <w:szCs w:val="24"/>
                <w:u w:val="none" w:color="auto"/>
                <w:lang w:val="en-US" w:eastAsia="zh-CN" w:bidi="zh-CN"/>
              </w:rPr>
              <w:t>tj</w:t>
            </w:r>
            <w:r>
              <w:rPr>
                <w:rFonts w:hint="eastAsia" w:ascii="Times New Roman" w:hAnsi="Times New Roman" w:eastAsia="宋体" w:cs="Times New Roman"/>
                <w:b w:val="0"/>
                <w:bCs w:val="0"/>
                <w:sz w:val="24"/>
                <w:szCs w:val="24"/>
                <w:u w:val="none" w:color="auto"/>
                <w:lang w:val="en-US" w:eastAsia="zh-CN" w:bidi="zh-CN"/>
              </w:rPr>
              <w:t>，则拟建工程声源对预测点产生的贡献值（</w:t>
            </w:r>
            <w:r>
              <w:rPr>
                <w:rFonts w:hint="default" w:ascii="Times New Roman" w:hAnsi="Times New Roman" w:eastAsia="宋体" w:cs="Times New Roman"/>
                <w:b w:val="0"/>
                <w:bCs w:val="0"/>
                <w:sz w:val="24"/>
                <w:szCs w:val="24"/>
                <w:u w:val="none" w:color="auto"/>
                <w:lang w:val="en-US" w:eastAsia="zh-CN" w:bidi="zh-CN"/>
              </w:rPr>
              <w:t>Leqg</w:t>
            </w:r>
            <w:r>
              <w:rPr>
                <w:rFonts w:hint="eastAsia" w:ascii="Times New Roman" w:hAnsi="Times New Roman" w:eastAsia="宋体" w:cs="Times New Roman"/>
                <w:b w:val="0"/>
                <w:bCs w:val="0"/>
                <w:sz w:val="24"/>
                <w:szCs w:val="24"/>
                <w:u w:val="none" w:color="auto"/>
                <w:lang w:val="en-US" w:eastAsia="zh-CN" w:bidi="zh-CN"/>
              </w:rPr>
              <w:t>）为：</w:t>
            </w:r>
          </w:p>
          <w:p w14:paraId="770322BB">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3261360" cy="720090"/>
                  <wp:effectExtent l="0" t="0" r="15240" b="381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30"/>
                          <a:stretch>
                            <a:fillRect/>
                          </a:stretch>
                        </pic:blipFill>
                        <pic:spPr>
                          <a:xfrm>
                            <a:off x="0" y="0"/>
                            <a:ext cx="3261360" cy="720090"/>
                          </a:xfrm>
                          <a:prstGeom prst="rect">
                            <a:avLst/>
                          </a:prstGeom>
                          <a:noFill/>
                          <a:ln>
                            <a:noFill/>
                          </a:ln>
                        </pic:spPr>
                      </pic:pic>
                    </a:graphicData>
                  </a:graphic>
                </wp:inline>
              </w:drawing>
            </w:r>
          </w:p>
          <w:p w14:paraId="56E927D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式中：</w:t>
            </w:r>
          </w:p>
          <w:p w14:paraId="712A1F0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tj</w:t>
            </w:r>
            <w:r>
              <w:rPr>
                <w:rFonts w:hint="eastAsia" w:ascii="Times New Roman" w:hAnsi="Times New Roman" w:eastAsia="宋体" w:cs="Times New Roman"/>
                <w:b w:val="0"/>
                <w:bCs w:val="0"/>
                <w:sz w:val="24"/>
                <w:szCs w:val="24"/>
                <w:u w:val="none" w:color="auto"/>
                <w:lang w:val="en-US" w:eastAsia="zh-CN" w:bidi="zh-CN"/>
              </w:rPr>
              <w:t>——在</w:t>
            </w:r>
            <w:r>
              <w:rPr>
                <w:rFonts w:hint="default" w:ascii="Times New Roman" w:hAnsi="Times New Roman" w:eastAsia="宋体" w:cs="Times New Roman"/>
                <w:b w:val="0"/>
                <w:bCs w:val="0"/>
                <w:sz w:val="24"/>
                <w:szCs w:val="24"/>
                <w:u w:val="none" w:color="auto"/>
                <w:lang w:val="en-US" w:eastAsia="zh-CN" w:bidi="zh-CN"/>
              </w:rPr>
              <w:t>T</w:t>
            </w:r>
            <w:r>
              <w:rPr>
                <w:rFonts w:hint="eastAsia" w:ascii="Times New Roman" w:hAnsi="Times New Roman" w:eastAsia="宋体" w:cs="Times New Roman"/>
                <w:b w:val="0"/>
                <w:bCs w:val="0"/>
                <w:sz w:val="24"/>
                <w:szCs w:val="24"/>
                <w:u w:val="none" w:color="auto"/>
                <w:lang w:val="en-US" w:eastAsia="zh-CN" w:bidi="zh-CN"/>
              </w:rPr>
              <w:t>时间内</w:t>
            </w:r>
            <w:r>
              <w:rPr>
                <w:rFonts w:hint="default" w:ascii="Times New Roman" w:hAnsi="Times New Roman" w:eastAsia="宋体" w:cs="Times New Roman"/>
                <w:b w:val="0"/>
                <w:bCs w:val="0"/>
                <w:sz w:val="24"/>
                <w:szCs w:val="24"/>
                <w:u w:val="none" w:color="auto"/>
                <w:lang w:val="en-US" w:eastAsia="zh-CN" w:bidi="zh-CN"/>
              </w:rPr>
              <w:t>j</w:t>
            </w:r>
            <w:r>
              <w:rPr>
                <w:rFonts w:hint="eastAsia" w:ascii="Times New Roman" w:hAnsi="Times New Roman" w:eastAsia="宋体" w:cs="Times New Roman"/>
                <w:b w:val="0"/>
                <w:bCs w:val="0"/>
                <w:sz w:val="24"/>
                <w:szCs w:val="24"/>
                <w:u w:val="none" w:color="auto"/>
                <w:lang w:val="en-US" w:eastAsia="zh-CN" w:bidi="zh-CN"/>
              </w:rPr>
              <w:t>声源工作时间，</w:t>
            </w:r>
            <w:r>
              <w:rPr>
                <w:rFonts w:hint="default" w:ascii="Times New Roman" w:hAnsi="Times New Roman" w:eastAsia="宋体" w:cs="Times New Roman"/>
                <w:b w:val="0"/>
                <w:bCs w:val="0"/>
                <w:sz w:val="24"/>
                <w:szCs w:val="24"/>
                <w:u w:val="none" w:color="auto"/>
                <w:lang w:val="en-US" w:eastAsia="zh-CN" w:bidi="zh-CN"/>
              </w:rPr>
              <w:t>s</w:t>
            </w:r>
            <w:r>
              <w:rPr>
                <w:rFonts w:hint="eastAsia" w:ascii="Times New Roman" w:hAnsi="Times New Roman" w:eastAsia="宋体" w:cs="Times New Roman"/>
                <w:b w:val="0"/>
                <w:bCs w:val="0"/>
                <w:sz w:val="24"/>
                <w:szCs w:val="24"/>
                <w:u w:val="none" w:color="auto"/>
                <w:lang w:val="en-US" w:eastAsia="zh-CN" w:bidi="zh-CN"/>
              </w:rPr>
              <w:t>；</w:t>
            </w:r>
          </w:p>
          <w:p w14:paraId="230DEA2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ti</w:t>
            </w:r>
            <w:r>
              <w:rPr>
                <w:rFonts w:hint="eastAsia" w:ascii="Times New Roman" w:hAnsi="Times New Roman" w:eastAsia="宋体" w:cs="Times New Roman"/>
                <w:b w:val="0"/>
                <w:bCs w:val="0"/>
                <w:sz w:val="24"/>
                <w:szCs w:val="24"/>
                <w:u w:val="none" w:color="auto"/>
                <w:lang w:val="en-US" w:eastAsia="zh-CN" w:bidi="zh-CN"/>
              </w:rPr>
              <w:t>——在</w:t>
            </w:r>
            <w:r>
              <w:rPr>
                <w:rFonts w:hint="default" w:ascii="Times New Roman" w:hAnsi="Times New Roman" w:eastAsia="宋体" w:cs="Times New Roman"/>
                <w:b w:val="0"/>
                <w:bCs w:val="0"/>
                <w:sz w:val="24"/>
                <w:szCs w:val="24"/>
                <w:u w:val="none" w:color="auto"/>
                <w:lang w:val="en-US" w:eastAsia="zh-CN" w:bidi="zh-CN"/>
              </w:rPr>
              <w:t>T</w:t>
            </w:r>
            <w:r>
              <w:rPr>
                <w:rFonts w:hint="eastAsia" w:ascii="Times New Roman" w:hAnsi="Times New Roman" w:eastAsia="宋体" w:cs="Times New Roman"/>
                <w:b w:val="0"/>
                <w:bCs w:val="0"/>
                <w:sz w:val="24"/>
                <w:szCs w:val="24"/>
                <w:u w:val="none" w:color="auto"/>
                <w:lang w:val="en-US" w:eastAsia="zh-CN" w:bidi="zh-CN"/>
              </w:rPr>
              <w:t>时间内</w:t>
            </w:r>
            <w:r>
              <w:rPr>
                <w:rFonts w:hint="default" w:ascii="Times New Roman" w:hAnsi="Times New Roman" w:eastAsia="宋体" w:cs="Times New Roman"/>
                <w:b w:val="0"/>
                <w:bCs w:val="0"/>
                <w:sz w:val="24"/>
                <w:szCs w:val="24"/>
                <w:u w:val="none" w:color="auto"/>
                <w:lang w:val="en-US" w:eastAsia="zh-CN" w:bidi="zh-CN"/>
              </w:rPr>
              <w:t>i</w:t>
            </w:r>
            <w:r>
              <w:rPr>
                <w:rFonts w:hint="eastAsia" w:ascii="Times New Roman" w:hAnsi="Times New Roman" w:eastAsia="宋体" w:cs="Times New Roman"/>
                <w:b w:val="0"/>
                <w:bCs w:val="0"/>
                <w:sz w:val="24"/>
                <w:szCs w:val="24"/>
                <w:u w:val="none" w:color="auto"/>
                <w:lang w:val="en-US" w:eastAsia="zh-CN" w:bidi="zh-CN"/>
              </w:rPr>
              <w:t>声源工作时间，</w:t>
            </w:r>
            <w:r>
              <w:rPr>
                <w:rFonts w:hint="default" w:ascii="Times New Roman" w:hAnsi="Times New Roman" w:eastAsia="宋体" w:cs="Times New Roman"/>
                <w:b w:val="0"/>
                <w:bCs w:val="0"/>
                <w:sz w:val="24"/>
                <w:szCs w:val="24"/>
                <w:u w:val="none" w:color="auto"/>
                <w:lang w:val="en-US" w:eastAsia="zh-CN" w:bidi="zh-CN"/>
              </w:rPr>
              <w:t>s</w:t>
            </w:r>
            <w:r>
              <w:rPr>
                <w:rFonts w:hint="eastAsia" w:ascii="Times New Roman" w:hAnsi="Times New Roman" w:eastAsia="宋体" w:cs="Times New Roman"/>
                <w:b w:val="0"/>
                <w:bCs w:val="0"/>
                <w:sz w:val="24"/>
                <w:szCs w:val="24"/>
                <w:u w:val="none" w:color="auto"/>
                <w:lang w:val="en-US" w:eastAsia="zh-CN" w:bidi="zh-CN"/>
              </w:rPr>
              <w:t>；</w:t>
            </w:r>
          </w:p>
          <w:p w14:paraId="645A06F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T</w:t>
            </w:r>
            <w:r>
              <w:rPr>
                <w:rFonts w:hint="eastAsia" w:ascii="Times New Roman" w:hAnsi="Times New Roman" w:eastAsia="宋体" w:cs="Times New Roman"/>
                <w:b w:val="0"/>
                <w:bCs w:val="0"/>
                <w:sz w:val="24"/>
                <w:szCs w:val="24"/>
                <w:u w:val="none" w:color="auto"/>
                <w:lang w:val="en-US" w:eastAsia="zh-CN" w:bidi="zh-CN"/>
              </w:rPr>
              <w:t>——用于计算等效声级的时间，</w:t>
            </w:r>
            <w:r>
              <w:rPr>
                <w:rFonts w:hint="default" w:ascii="Times New Roman" w:hAnsi="Times New Roman" w:eastAsia="宋体" w:cs="Times New Roman"/>
                <w:b w:val="0"/>
                <w:bCs w:val="0"/>
                <w:sz w:val="24"/>
                <w:szCs w:val="24"/>
                <w:u w:val="none" w:color="auto"/>
                <w:lang w:val="en-US" w:eastAsia="zh-CN" w:bidi="zh-CN"/>
              </w:rPr>
              <w:t>s</w:t>
            </w:r>
            <w:r>
              <w:rPr>
                <w:rFonts w:hint="eastAsia" w:ascii="Times New Roman" w:hAnsi="Times New Roman" w:eastAsia="宋体" w:cs="Times New Roman"/>
                <w:b w:val="0"/>
                <w:bCs w:val="0"/>
                <w:sz w:val="24"/>
                <w:szCs w:val="24"/>
                <w:u w:val="none" w:color="auto"/>
                <w:lang w:val="en-US" w:eastAsia="zh-CN" w:bidi="zh-CN"/>
              </w:rPr>
              <w:t>；</w:t>
            </w:r>
          </w:p>
          <w:p w14:paraId="190B1AF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N</w:t>
            </w:r>
            <w:r>
              <w:rPr>
                <w:rFonts w:hint="eastAsia" w:ascii="Times New Roman" w:hAnsi="Times New Roman" w:eastAsia="宋体" w:cs="Times New Roman"/>
                <w:b w:val="0"/>
                <w:bCs w:val="0"/>
                <w:sz w:val="24"/>
                <w:szCs w:val="24"/>
                <w:u w:val="none" w:color="auto"/>
                <w:lang w:val="en-US" w:eastAsia="zh-CN" w:bidi="zh-CN"/>
              </w:rPr>
              <w:t>——室外声源个数；</w:t>
            </w:r>
          </w:p>
          <w:p w14:paraId="0A718E1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lang w:val="en-US" w:eastAsia="zh-CN" w:bidi="zh-CN"/>
              </w:rPr>
              <w:t>——等效室外声源个数；</w:t>
            </w:r>
          </w:p>
          <w:p w14:paraId="61011CD9">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⑥预测点的预测等效声级（</w:t>
            </w:r>
            <w:r>
              <w:rPr>
                <w:rFonts w:hint="default" w:ascii="Times New Roman" w:hAnsi="Times New Roman" w:eastAsia="宋体" w:cs="Times New Roman"/>
                <w:b w:val="0"/>
                <w:bCs w:val="0"/>
                <w:sz w:val="24"/>
                <w:szCs w:val="24"/>
                <w:u w:val="none" w:color="auto"/>
                <w:lang w:val="en-US" w:eastAsia="zh-CN" w:bidi="zh-CN"/>
              </w:rPr>
              <w:t>Leq</w:t>
            </w:r>
            <w:r>
              <w:rPr>
                <w:rFonts w:hint="eastAsia" w:ascii="Times New Roman" w:hAnsi="Times New Roman" w:eastAsia="宋体" w:cs="Times New Roman"/>
                <w:b w:val="0"/>
                <w:bCs w:val="0"/>
                <w:sz w:val="24"/>
                <w:szCs w:val="24"/>
                <w:u w:val="none" w:color="auto"/>
                <w:lang w:val="en-US" w:eastAsia="zh-CN" w:bidi="zh-CN"/>
              </w:rPr>
              <w:t>）计算：</w:t>
            </w:r>
          </w:p>
          <w:p w14:paraId="00F817F9">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828925" cy="533400"/>
                  <wp:effectExtent l="0" t="0" r="9525" b="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31"/>
                          <a:stretch>
                            <a:fillRect/>
                          </a:stretch>
                        </pic:blipFill>
                        <pic:spPr>
                          <a:xfrm>
                            <a:off x="0" y="0"/>
                            <a:ext cx="2828925" cy="533400"/>
                          </a:xfrm>
                          <a:prstGeom prst="rect">
                            <a:avLst/>
                          </a:prstGeom>
                          <a:noFill/>
                          <a:ln>
                            <a:noFill/>
                          </a:ln>
                        </pic:spPr>
                      </pic:pic>
                    </a:graphicData>
                  </a:graphic>
                </wp:inline>
              </w:drawing>
            </w:r>
          </w:p>
          <w:p w14:paraId="51F44E7A">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式中：</w:t>
            </w:r>
            <w:r>
              <w:rPr>
                <w:rFonts w:hint="default" w:ascii="Times New Roman" w:hAnsi="Times New Roman" w:eastAsia="宋体" w:cs="Times New Roman"/>
                <w:b w:val="0"/>
                <w:bCs w:val="0"/>
                <w:sz w:val="24"/>
                <w:szCs w:val="24"/>
                <w:u w:val="none" w:color="auto"/>
                <w:lang w:val="en-US" w:eastAsia="zh-CN" w:bidi="zh-CN"/>
              </w:rPr>
              <w:t>Leq</w:t>
            </w:r>
            <w:r>
              <w:rPr>
                <w:rFonts w:hint="eastAsia" w:ascii="Times New Roman" w:hAnsi="Times New Roman" w:eastAsia="宋体" w:cs="Times New Roman"/>
                <w:b w:val="0"/>
                <w:bCs w:val="0"/>
                <w:sz w:val="24"/>
                <w:szCs w:val="24"/>
                <w:u w:val="none" w:color="auto"/>
                <w:lang w:val="en-US" w:eastAsia="zh-CN" w:bidi="zh-CN"/>
              </w:rPr>
              <w:t>——建设项目声源在预测点的等效声级贡献量，</w:t>
            </w:r>
            <w:r>
              <w:rPr>
                <w:rFonts w:hint="default" w:ascii="Times New Roman" w:hAnsi="Times New Roman" w:eastAsia="宋体" w:cs="Times New Roman"/>
                <w:b w:val="0"/>
                <w:bCs w:val="0"/>
                <w:sz w:val="24"/>
                <w:szCs w:val="24"/>
                <w:u w:val="none" w:color="auto"/>
                <w:lang w:val="en-US" w:eastAsia="zh-CN" w:bidi="zh-CN"/>
              </w:rPr>
              <w:t>dB(A)</w:t>
            </w:r>
            <w:r>
              <w:rPr>
                <w:rFonts w:hint="eastAsia" w:ascii="Times New Roman" w:hAnsi="Times New Roman" w:eastAsia="宋体" w:cs="Times New Roman"/>
                <w:b w:val="0"/>
                <w:bCs w:val="0"/>
                <w:sz w:val="24"/>
                <w:szCs w:val="24"/>
                <w:u w:val="none" w:color="auto"/>
                <w:lang w:val="en-US" w:eastAsia="zh-CN" w:bidi="zh-CN"/>
              </w:rPr>
              <w:t xml:space="preserve">； </w:t>
            </w:r>
          </w:p>
          <w:p w14:paraId="1288DBC7">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Leqb</w:t>
            </w:r>
            <w:r>
              <w:rPr>
                <w:rFonts w:hint="eastAsia" w:ascii="Times New Roman" w:hAnsi="Times New Roman" w:eastAsia="宋体" w:cs="Times New Roman"/>
                <w:b w:val="0"/>
                <w:bCs w:val="0"/>
                <w:sz w:val="24"/>
                <w:szCs w:val="24"/>
                <w:u w:val="none" w:color="auto"/>
                <w:lang w:val="en-US" w:eastAsia="zh-CN" w:bidi="zh-CN"/>
              </w:rPr>
              <w:t>——预测点背景值，</w:t>
            </w:r>
            <w:r>
              <w:rPr>
                <w:rFonts w:hint="default" w:ascii="Times New Roman" w:hAnsi="Times New Roman" w:eastAsia="宋体" w:cs="Times New Roman"/>
                <w:b w:val="0"/>
                <w:bCs w:val="0"/>
                <w:sz w:val="24"/>
                <w:szCs w:val="24"/>
                <w:u w:val="none" w:color="auto"/>
                <w:lang w:val="en-US" w:eastAsia="zh-CN" w:bidi="zh-CN"/>
              </w:rPr>
              <w:t>dB(A)</w:t>
            </w:r>
            <w:r>
              <w:rPr>
                <w:rFonts w:hint="eastAsia" w:ascii="Times New Roman" w:hAnsi="Times New Roman" w:eastAsia="宋体" w:cs="Times New Roman"/>
                <w:b w:val="0"/>
                <w:bCs w:val="0"/>
                <w:sz w:val="24"/>
                <w:szCs w:val="24"/>
                <w:u w:val="none" w:color="auto"/>
                <w:lang w:val="en-US" w:eastAsia="zh-CN" w:bidi="zh-CN"/>
              </w:rPr>
              <w:t xml:space="preserve">； </w:t>
            </w:r>
          </w:p>
          <w:p w14:paraId="4B567685">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⑦预测值计算采用点声源的半自由声场几何发散衰减公式：</w:t>
            </w:r>
          </w:p>
          <w:p w14:paraId="2022D20E">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824480" cy="539750"/>
                  <wp:effectExtent l="0" t="0" r="13970" b="1270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32"/>
                          <a:stretch>
                            <a:fillRect/>
                          </a:stretch>
                        </pic:blipFill>
                        <pic:spPr>
                          <a:xfrm>
                            <a:off x="0" y="0"/>
                            <a:ext cx="2824480" cy="539750"/>
                          </a:xfrm>
                          <a:prstGeom prst="rect">
                            <a:avLst/>
                          </a:prstGeom>
                          <a:noFill/>
                          <a:ln>
                            <a:noFill/>
                          </a:ln>
                        </pic:spPr>
                      </pic:pic>
                    </a:graphicData>
                  </a:graphic>
                </wp:inline>
              </w:drawing>
            </w:r>
          </w:p>
          <w:p w14:paraId="64D20FF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式中：</w:t>
            </w:r>
            <w:r>
              <w:rPr>
                <w:rFonts w:hint="default" w:ascii="Times New Roman" w:hAnsi="Times New Roman" w:eastAsia="宋体" w:cs="Times New Roman"/>
                <w:b w:val="0"/>
                <w:bCs w:val="0"/>
                <w:sz w:val="24"/>
                <w:szCs w:val="24"/>
                <w:u w:val="none" w:color="auto"/>
                <w:lang w:val="en-US" w:eastAsia="zh-CN" w:bidi="zh-CN"/>
              </w:rPr>
              <w:t>Loct(r)</w:t>
            </w:r>
            <w:r>
              <w:rPr>
                <w:rFonts w:hint="eastAsia" w:ascii="Times New Roman" w:hAnsi="Times New Roman" w:eastAsia="宋体" w:cs="Times New Roman"/>
                <w:b w:val="0"/>
                <w:bCs w:val="0"/>
                <w:sz w:val="24"/>
                <w:szCs w:val="24"/>
                <w:u w:val="none" w:color="auto"/>
                <w:lang w:val="en-US" w:eastAsia="zh-CN" w:bidi="zh-CN"/>
              </w:rPr>
              <w:t>—点声源在预测点产生的倍频带声压级；</w:t>
            </w:r>
          </w:p>
          <w:p w14:paraId="27CCB4E1">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Loct(r0)</w:t>
            </w:r>
            <w:r>
              <w:rPr>
                <w:rFonts w:hint="eastAsia" w:ascii="Times New Roman" w:hAnsi="Times New Roman" w:eastAsia="宋体" w:cs="Times New Roman"/>
                <w:b w:val="0"/>
                <w:bCs w:val="0"/>
                <w:sz w:val="24"/>
                <w:szCs w:val="24"/>
                <w:u w:val="none" w:color="auto"/>
                <w:lang w:val="en-US" w:eastAsia="zh-CN" w:bidi="zh-CN"/>
              </w:rPr>
              <w:t>—参考位置</w:t>
            </w:r>
            <w:r>
              <w:rPr>
                <w:rFonts w:hint="default" w:ascii="Times New Roman" w:hAnsi="Times New Roman" w:eastAsia="宋体" w:cs="Times New Roman"/>
                <w:b w:val="0"/>
                <w:bCs w:val="0"/>
                <w:sz w:val="24"/>
                <w:szCs w:val="24"/>
                <w:u w:val="none" w:color="auto"/>
                <w:lang w:val="en-US" w:eastAsia="zh-CN" w:bidi="zh-CN"/>
              </w:rPr>
              <w:t>r0</w:t>
            </w:r>
            <w:r>
              <w:rPr>
                <w:rFonts w:hint="eastAsia" w:ascii="Times New Roman" w:hAnsi="Times New Roman" w:eastAsia="宋体" w:cs="Times New Roman"/>
                <w:b w:val="0"/>
                <w:bCs w:val="0"/>
                <w:sz w:val="24"/>
                <w:szCs w:val="24"/>
                <w:u w:val="none" w:color="auto"/>
                <w:lang w:val="en-US" w:eastAsia="zh-CN" w:bidi="zh-CN"/>
              </w:rPr>
              <w:t>处的倍频带声压级；</w:t>
            </w:r>
          </w:p>
          <w:p w14:paraId="73AB8EFB">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r</w:t>
            </w:r>
            <w:r>
              <w:rPr>
                <w:rFonts w:hint="eastAsia" w:ascii="Times New Roman" w:hAnsi="Times New Roman" w:eastAsia="宋体" w:cs="Times New Roman"/>
                <w:b w:val="0"/>
                <w:bCs w:val="0"/>
                <w:sz w:val="24"/>
                <w:szCs w:val="24"/>
                <w:u w:val="none" w:color="auto"/>
                <w:lang w:val="en-US" w:eastAsia="zh-CN" w:bidi="zh-CN"/>
              </w:rPr>
              <w:t>—预测点距声源的距离，</w:t>
            </w:r>
            <w:r>
              <w:rPr>
                <w:rFonts w:hint="default"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lang w:val="en-US" w:eastAsia="zh-CN" w:bidi="zh-CN"/>
              </w:rPr>
              <w:t>；</w:t>
            </w:r>
          </w:p>
          <w:p w14:paraId="46347ADF">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default" w:ascii="Times New Roman" w:hAnsi="Times New Roman" w:eastAsia="宋体" w:cs="Times New Roman"/>
                <w:b w:val="0"/>
                <w:bCs w:val="0"/>
                <w:sz w:val="24"/>
                <w:szCs w:val="24"/>
                <w:u w:val="none" w:color="auto"/>
                <w:lang w:val="en-US" w:eastAsia="zh-CN" w:bidi="zh-CN"/>
              </w:rPr>
              <w:t>r0</w:t>
            </w:r>
            <w:r>
              <w:rPr>
                <w:rFonts w:hint="eastAsia" w:ascii="Times New Roman" w:hAnsi="Times New Roman" w:eastAsia="宋体" w:cs="Times New Roman"/>
                <w:b w:val="0"/>
                <w:bCs w:val="0"/>
                <w:sz w:val="24"/>
                <w:szCs w:val="24"/>
                <w:u w:val="none" w:color="auto"/>
                <w:lang w:val="en-US" w:eastAsia="zh-CN" w:bidi="zh-CN"/>
              </w:rPr>
              <w:t>—参考位置距声源的距离，</w:t>
            </w:r>
            <w:r>
              <w:rPr>
                <w:rFonts w:hint="default" w:ascii="Times New Roman" w:hAnsi="Times New Roman" w:eastAsia="宋体" w:cs="Times New Roman"/>
                <w:b w:val="0"/>
                <w:bCs w:val="0"/>
                <w:sz w:val="24"/>
                <w:szCs w:val="24"/>
                <w:u w:val="none" w:color="auto"/>
                <w:lang w:val="en-US" w:eastAsia="zh-CN" w:bidi="zh-CN"/>
              </w:rPr>
              <w:t>m</w:t>
            </w:r>
            <w:r>
              <w:rPr>
                <w:rFonts w:hint="eastAsia" w:ascii="Times New Roman" w:hAnsi="Times New Roman" w:eastAsia="宋体" w:cs="Times New Roman"/>
                <w:b w:val="0"/>
                <w:bCs w:val="0"/>
                <w:sz w:val="24"/>
                <w:szCs w:val="24"/>
                <w:u w:val="none" w:color="auto"/>
                <w:lang w:val="en-US" w:eastAsia="zh-CN" w:bidi="zh-CN"/>
              </w:rPr>
              <w:t>；</w:t>
            </w:r>
            <w:r>
              <w:rPr>
                <w:rFonts w:hint="default" w:ascii="Times New Roman" w:hAnsi="Times New Roman" w:eastAsia="宋体" w:cs="Times New Roman"/>
                <w:b w:val="0"/>
                <w:bCs w:val="0"/>
                <w:sz w:val="24"/>
                <w:szCs w:val="24"/>
                <w:u w:val="none" w:color="auto"/>
                <w:lang w:val="en-US" w:eastAsia="zh-CN" w:bidi="zh-CN"/>
              </w:rPr>
              <w:t>r0=1</w:t>
            </w:r>
          </w:p>
          <w:p w14:paraId="39D530F4">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综上分析，上式可简化为：</w:t>
            </w:r>
          </w:p>
          <w:p w14:paraId="42D615FC">
            <w:pPr>
              <w:pStyle w:val="44"/>
              <w:keepNext w:val="0"/>
              <w:keepLines w:val="0"/>
              <w:pageBreakBefore w:val="0"/>
              <w:widowControl w:val="0"/>
              <w:numPr>
                <w:ilvl w:val="0"/>
                <w:numId w:val="0"/>
              </w:numPr>
              <w:kinsoku/>
              <w:wordWrap/>
              <w:overflowPunct/>
              <w:topLinePunct w:val="0"/>
              <w:autoSpaceDE w:val="0"/>
              <w:autoSpaceDN w:val="0"/>
              <w:bidi w:val="0"/>
              <w:adjustRightInd/>
              <w:snapToGrid/>
              <w:spacing w:before="0" w:beforeAutospacing="0" w:afterAutospacing="0" w:line="240" w:lineRule="auto"/>
              <w:ind w:leftChars="0" w:right="0" w:firstLine="0" w:firstLineChars="0"/>
              <w:jc w:val="center"/>
              <w:textAlignment w:val="auto"/>
              <w:rPr>
                <w:rFonts w:hint="eastAsia" w:ascii="Times New Roman" w:hAnsi="Times New Roman" w:cs="Times New Roman"/>
                <w:b w:val="0"/>
                <w:bCs w:val="0"/>
                <w:sz w:val="24"/>
                <w:szCs w:val="24"/>
                <w:u w:val="none" w:color="auto"/>
                <w:lang w:val="en-US" w:eastAsia="zh-CN" w:bidi="zh-CN"/>
              </w:rPr>
            </w:pPr>
            <w:r>
              <w:rPr>
                <w:rFonts w:hint="default"/>
              </w:rPr>
              <w:drawing>
                <wp:inline distT="0" distB="0" distL="114300" distR="114300">
                  <wp:extent cx="2562225" cy="390525"/>
                  <wp:effectExtent l="0" t="0" r="9525" b="952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33"/>
                          <a:stretch>
                            <a:fillRect/>
                          </a:stretch>
                        </pic:blipFill>
                        <pic:spPr>
                          <a:xfrm>
                            <a:off x="0" y="0"/>
                            <a:ext cx="2562225" cy="390525"/>
                          </a:xfrm>
                          <a:prstGeom prst="rect">
                            <a:avLst/>
                          </a:prstGeom>
                          <a:noFill/>
                          <a:ln>
                            <a:noFill/>
                          </a:ln>
                        </pic:spPr>
                      </pic:pic>
                    </a:graphicData>
                  </a:graphic>
                </wp:inline>
              </w:drawing>
            </w:r>
          </w:p>
          <w:p w14:paraId="0783F768">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b w:val="0"/>
                <w:bCs w:val="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为了降低噪声源的噪声值，减轻噪声对周围环境的影响。本项目在设备选型中，尽量选用国内外技术先进的低噪声设备，并合理进行厂区总体布置，将主要噪声源布设尽量远离厂界，增大外环境与生产区之间的距离，根据噪声源的声频特性，对设备采取基座减振、安装消声器等，日常加强维护。</w:t>
            </w:r>
          </w:p>
          <w:p w14:paraId="5186E96A">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default" w:ascii="Times New Roman" w:hAnsi="Times New Roman" w:cs="Times New Roman"/>
                <w:b w:val="0"/>
                <w:bCs w:val="0"/>
                <w:color w:val="000000"/>
                <w:sz w:val="24"/>
                <w:szCs w:val="24"/>
                <w:u w:val="none" w:color="auto"/>
                <w:lang w:val="en-US" w:eastAsia="zh-CN" w:bidi="zh-CN"/>
              </w:rPr>
            </w:pPr>
            <w:r>
              <w:rPr>
                <w:rFonts w:hint="eastAsia" w:ascii="Times New Roman" w:hAnsi="Times New Roman" w:eastAsia="宋体" w:cs="Times New Roman"/>
                <w:b w:val="0"/>
                <w:bCs w:val="0"/>
                <w:sz w:val="24"/>
                <w:szCs w:val="24"/>
                <w:u w:val="none" w:color="auto"/>
                <w:lang w:val="en-US" w:eastAsia="zh-CN" w:bidi="zh-CN"/>
              </w:rPr>
              <w:t>本项目工业企业噪声源强调查清单见下表：</w:t>
            </w:r>
          </w:p>
        </w:tc>
        <w:tc>
          <w:tcPr>
            <w:tcW w:w="8174" w:type="dxa"/>
            <w:tcBorders>
              <w:top w:val="single" w:color="000000" w:sz="4" w:space="0"/>
              <w:left w:val="single" w:color="000000" w:sz="4" w:space="0"/>
            </w:tcBorders>
            <w:vAlign w:val="center"/>
          </w:tcPr>
          <w:p w14:paraId="0A7E59F5">
            <w:pPr>
              <w:pStyle w:val="44"/>
              <w:widowControl w:val="0"/>
              <w:numPr>
                <w:ilvl w:val="0"/>
                <w:numId w:val="0"/>
              </w:numPr>
              <w:wordWrap/>
              <w:autoSpaceDE w:val="0"/>
              <w:adjustRightInd/>
              <w:snapToGrid/>
              <w:spacing w:before="0" w:beforeAutospacing="0" w:afterAutospacing="0" w:line="520" w:lineRule="exact"/>
              <w:ind w:leftChars="0" w:right="0" w:firstLine="480" w:firstLineChars="200"/>
              <w:jc w:val="left"/>
              <w:textAlignment w:val="auto"/>
              <w:rPr>
                <w:rFonts w:hint="eastAsia" w:ascii="Times New Roman" w:hAnsi="Times New Roman" w:eastAsia="宋体" w:cs="Times New Roman"/>
                <w:b w:val="0"/>
                <w:bCs w:val="0"/>
                <w:sz w:val="24"/>
                <w:szCs w:val="24"/>
                <w:u w:val="none" w:color="auto"/>
                <w:lang w:val="en-US" w:eastAsia="zh-CN" w:bidi="zh-CN"/>
              </w:rPr>
            </w:pPr>
          </w:p>
        </w:tc>
      </w:tr>
    </w:tbl>
    <w:p w14:paraId="70E6244A">
      <w:pPr>
        <w:sectPr>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tbl>
      <w:tblPr>
        <w:tblStyle w:val="24"/>
        <w:tblW w:w="13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1"/>
      </w:tblGrid>
      <w:tr w14:paraId="2927A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1" w:hRule="atLeast"/>
          <w:jc w:val="center"/>
        </w:trPr>
        <w:tc>
          <w:tcPr>
            <w:tcW w:w="13371" w:type="dxa"/>
            <w:vAlign w:val="top"/>
          </w:tcPr>
          <w:p w14:paraId="19D94991">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4-15  工业企业噪声源强调查清单（室内声源）</w:t>
            </w:r>
          </w:p>
          <w:tbl>
            <w:tblPr>
              <w:tblStyle w:val="23"/>
              <w:tblpPr w:vertAnchor="text" w:horzAnchor="page"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571"/>
              <w:gridCol w:w="676"/>
              <w:gridCol w:w="586"/>
              <w:gridCol w:w="604"/>
              <w:gridCol w:w="604"/>
              <w:gridCol w:w="605"/>
              <w:gridCol w:w="500"/>
              <w:gridCol w:w="500"/>
              <w:gridCol w:w="500"/>
              <w:gridCol w:w="501"/>
              <w:gridCol w:w="494"/>
              <w:gridCol w:w="494"/>
              <w:gridCol w:w="494"/>
              <w:gridCol w:w="496"/>
              <w:gridCol w:w="470"/>
              <w:gridCol w:w="477"/>
              <w:gridCol w:w="477"/>
              <w:gridCol w:w="477"/>
              <w:gridCol w:w="477"/>
              <w:gridCol w:w="505"/>
              <w:gridCol w:w="505"/>
              <w:gridCol w:w="505"/>
              <w:gridCol w:w="506"/>
              <w:gridCol w:w="698"/>
            </w:tblGrid>
            <w:tr w14:paraId="79174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exact"/>
                <w:jc w:val="center"/>
              </w:trPr>
              <w:tc>
                <w:tcPr>
                  <w:tcW w:w="423" w:type="dxa"/>
                  <w:vMerge w:val="restart"/>
                  <w:vAlign w:val="center"/>
                </w:tcPr>
                <w:p w14:paraId="1C5B4F73">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序号</w:t>
                  </w:r>
                </w:p>
              </w:tc>
              <w:tc>
                <w:tcPr>
                  <w:tcW w:w="571" w:type="dxa"/>
                  <w:vMerge w:val="restart"/>
                  <w:vAlign w:val="center"/>
                </w:tcPr>
                <w:p w14:paraId="4FD4C2D6">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声源名称</w:t>
                  </w:r>
                </w:p>
              </w:tc>
              <w:tc>
                <w:tcPr>
                  <w:tcW w:w="676" w:type="dxa"/>
                  <w:vAlign w:val="center"/>
                </w:tcPr>
                <w:p w14:paraId="550CFC8F">
                  <w:pPr>
                    <w:spacing w:beforeAutospacing="0" w:afterAutospacing="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sz w:val="21"/>
                      <w:szCs w:val="21"/>
                      <w:lang w:eastAsia="zh-CN"/>
                    </w:rPr>
                    <w:t>声源源强</w:t>
                  </w:r>
                </w:p>
              </w:tc>
              <w:tc>
                <w:tcPr>
                  <w:tcW w:w="586" w:type="dxa"/>
                  <w:vMerge w:val="restart"/>
                  <w:vAlign w:val="center"/>
                </w:tcPr>
                <w:p w14:paraId="0A8DD1BD">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声源控制措施</w:t>
                  </w:r>
                </w:p>
              </w:tc>
              <w:tc>
                <w:tcPr>
                  <w:tcW w:w="1813" w:type="dxa"/>
                  <w:gridSpan w:val="3"/>
                  <w:vAlign w:val="center"/>
                </w:tcPr>
                <w:p w14:paraId="5C262CE8">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空间相对位置/m</w:t>
                  </w:r>
                </w:p>
              </w:tc>
              <w:tc>
                <w:tcPr>
                  <w:tcW w:w="2001" w:type="dxa"/>
                  <w:gridSpan w:val="4"/>
                  <w:vAlign w:val="center"/>
                </w:tcPr>
                <w:p w14:paraId="34FB3AEE">
                  <w:pPr>
                    <w:spacing w:beforeAutospacing="0" w:afterAutospacing="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距室内边界距离/m</w:t>
                  </w:r>
                </w:p>
              </w:tc>
              <w:tc>
                <w:tcPr>
                  <w:tcW w:w="1978" w:type="dxa"/>
                  <w:gridSpan w:val="4"/>
                  <w:vAlign w:val="center"/>
                </w:tcPr>
                <w:p w14:paraId="33234DA1">
                  <w:pPr>
                    <w:spacing w:beforeAutospacing="0" w:afterAutospacing="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室内边界声级/dB(A)</w:t>
                  </w:r>
                </w:p>
              </w:tc>
              <w:tc>
                <w:tcPr>
                  <w:tcW w:w="470" w:type="dxa"/>
                  <w:vMerge w:val="restart"/>
                  <w:vAlign w:val="center"/>
                </w:tcPr>
                <w:p w14:paraId="0A599FD6">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运行时段</w:t>
                  </w:r>
                </w:p>
              </w:tc>
              <w:tc>
                <w:tcPr>
                  <w:tcW w:w="1908" w:type="dxa"/>
                  <w:gridSpan w:val="4"/>
                  <w:vAlign w:val="center"/>
                </w:tcPr>
                <w:p w14:paraId="395030D8">
                  <w:pPr>
                    <w:spacing w:beforeAutospacing="0" w:afterAutospacing="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建筑物插入损失 / dB(A)</w:t>
                  </w:r>
                </w:p>
              </w:tc>
              <w:tc>
                <w:tcPr>
                  <w:tcW w:w="2719" w:type="dxa"/>
                  <w:gridSpan w:val="5"/>
                  <w:vAlign w:val="center"/>
                </w:tcPr>
                <w:p w14:paraId="39E3350E">
                  <w:pPr>
                    <w:spacing w:beforeAutospacing="0" w:afterAutospacing="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建筑物外噪声声压级/dB(A)</w:t>
                  </w:r>
                </w:p>
              </w:tc>
            </w:tr>
            <w:tr w14:paraId="61EDF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vMerge w:val="continue"/>
                  <w:shd w:val="clear" w:color="auto" w:fill="FFFFFF"/>
                  <w:tcMar>
                    <w:top w:w="0" w:type="dxa"/>
                    <w:left w:w="0" w:type="dxa"/>
                    <w:bottom w:w="0" w:type="dxa"/>
                    <w:right w:w="0" w:type="dxa"/>
                  </w:tcMar>
                  <w:vAlign w:val="center"/>
                </w:tcPr>
                <w:p w14:paraId="468383E7">
                  <w:pPr>
                    <w:spacing w:beforeAutospacing="0" w:afterAutospacing="0"/>
                    <w:jc w:val="center"/>
                    <w:rPr>
                      <w:rFonts w:hint="default" w:ascii="Times New Roman" w:hAnsi="Times New Roman" w:eastAsia="宋体" w:cs="Times New Roman"/>
                      <w:sz w:val="21"/>
                      <w:szCs w:val="21"/>
                      <w:lang w:val="en-US" w:eastAsia="zh-CN"/>
                    </w:rPr>
                  </w:pPr>
                </w:p>
              </w:tc>
              <w:tc>
                <w:tcPr>
                  <w:tcW w:w="571" w:type="dxa"/>
                  <w:vMerge w:val="continue"/>
                  <w:shd w:val="clear" w:color="auto" w:fill="FFFFFF"/>
                  <w:tcMar>
                    <w:top w:w="0" w:type="dxa"/>
                    <w:left w:w="0" w:type="dxa"/>
                    <w:bottom w:w="0" w:type="dxa"/>
                    <w:right w:w="0" w:type="dxa"/>
                  </w:tcMar>
                  <w:vAlign w:val="center"/>
                </w:tcPr>
                <w:p w14:paraId="7071BDF4">
                  <w:pPr>
                    <w:spacing w:beforeAutospacing="0" w:afterAutospacing="0"/>
                    <w:jc w:val="center"/>
                    <w:rPr>
                      <w:rFonts w:hint="default" w:ascii="Times New Roman" w:hAnsi="Times New Roman" w:eastAsia="宋体" w:cs="Times New Roman"/>
                      <w:sz w:val="21"/>
                      <w:szCs w:val="21"/>
                    </w:rPr>
                  </w:pPr>
                </w:p>
              </w:tc>
              <w:tc>
                <w:tcPr>
                  <w:tcW w:w="676" w:type="dxa"/>
                  <w:shd w:val="clear" w:color="auto" w:fill="FFFFFF"/>
                  <w:tcMar>
                    <w:top w:w="0" w:type="dxa"/>
                    <w:left w:w="0" w:type="dxa"/>
                    <w:bottom w:w="0" w:type="dxa"/>
                    <w:right w:w="0" w:type="dxa"/>
                  </w:tcMar>
                  <w:vAlign w:val="center"/>
                </w:tcPr>
                <w:p w14:paraId="614088F3">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声功率级/dB(A)</w:t>
                  </w:r>
                </w:p>
              </w:tc>
              <w:tc>
                <w:tcPr>
                  <w:tcW w:w="586" w:type="dxa"/>
                  <w:vMerge w:val="continue"/>
                  <w:shd w:val="clear" w:color="auto" w:fill="FFFFFF"/>
                  <w:tcMar>
                    <w:top w:w="0" w:type="dxa"/>
                    <w:left w:w="0" w:type="dxa"/>
                    <w:bottom w:w="0" w:type="dxa"/>
                    <w:right w:w="0" w:type="dxa"/>
                  </w:tcMar>
                  <w:vAlign w:val="center"/>
                </w:tcPr>
                <w:p w14:paraId="39151D8C">
                  <w:pPr>
                    <w:spacing w:beforeAutospacing="0" w:afterAutospacing="0"/>
                    <w:jc w:val="center"/>
                    <w:rPr>
                      <w:rFonts w:hint="default" w:ascii="Times New Roman" w:hAnsi="Times New Roman" w:eastAsia="宋体" w:cs="Times New Roman"/>
                      <w:sz w:val="21"/>
                      <w:szCs w:val="21"/>
                    </w:rPr>
                  </w:pPr>
                </w:p>
              </w:tc>
              <w:tc>
                <w:tcPr>
                  <w:tcW w:w="604" w:type="dxa"/>
                  <w:shd w:val="clear" w:color="auto" w:fill="FFFFFF"/>
                  <w:tcMar>
                    <w:top w:w="0" w:type="dxa"/>
                    <w:left w:w="0" w:type="dxa"/>
                    <w:bottom w:w="0" w:type="dxa"/>
                    <w:right w:w="0" w:type="dxa"/>
                  </w:tcMar>
                  <w:vAlign w:val="center"/>
                </w:tcPr>
                <w:p w14:paraId="7FFF59AE">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X</w:t>
                  </w:r>
                </w:p>
              </w:tc>
              <w:tc>
                <w:tcPr>
                  <w:tcW w:w="604" w:type="dxa"/>
                  <w:shd w:val="clear" w:color="auto" w:fill="FFFFFF"/>
                  <w:tcMar>
                    <w:top w:w="0" w:type="dxa"/>
                    <w:left w:w="0" w:type="dxa"/>
                    <w:bottom w:w="0" w:type="dxa"/>
                    <w:right w:w="0" w:type="dxa"/>
                  </w:tcMar>
                  <w:vAlign w:val="center"/>
                </w:tcPr>
                <w:p w14:paraId="7FB8CCF6">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Y</w:t>
                  </w:r>
                </w:p>
              </w:tc>
              <w:tc>
                <w:tcPr>
                  <w:tcW w:w="605" w:type="dxa"/>
                  <w:shd w:val="clear" w:color="auto" w:fill="FFFFFF"/>
                  <w:tcMar>
                    <w:top w:w="0" w:type="dxa"/>
                    <w:left w:w="0" w:type="dxa"/>
                    <w:bottom w:w="0" w:type="dxa"/>
                    <w:right w:w="0" w:type="dxa"/>
                  </w:tcMar>
                  <w:vAlign w:val="center"/>
                </w:tcPr>
                <w:p w14:paraId="5C258E32">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Z</w:t>
                  </w:r>
                </w:p>
              </w:tc>
              <w:tc>
                <w:tcPr>
                  <w:tcW w:w="500" w:type="dxa"/>
                  <w:shd w:val="clear" w:color="auto" w:fill="FFFFFF"/>
                  <w:tcMar>
                    <w:top w:w="0" w:type="dxa"/>
                    <w:left w:w="0" w:type="dxa"/>
                    <w:bottom w:w="0" w:type="dxa"/>
                    <w:right w:w="0" w:type="dxa"/>
                  </w:tcMar>
                  <w:vAlign w:val="center"/>
                </w:tcPr>
                <w:p w14:paraId="764333A9">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东</w:t>
                  </w:r>
                </w:p>
              </w:tc>
              <w:tc>
                <w:tcPr>
                  <w:tcW w:w="500" w:type="dxa"/>
                  <w:shd w:val="clear" w:color="auto" w:fill="FFFFFF"/>
                  <w:tcMar>
                    <w:top w:w="0" w:type="dxa"/>
                    <w:left w:w="0" w:type="dxa"/>
                    <w:bottom w:w="0" w:type="dxa"/>
                    <w:right w:w="0" w:type="dxa"/>
                  </w:tcMar>
                  <w:vAlign w:val="center"/>
                </w:tcPr>
                <w:p w14:paraId="7C37C48C">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南</w:t>
                  </w:r>
                </w:p>
              </w:tc>
              <w:tc>
                <w:tcPr>
                  <w:tcW w:w="500" w:type="dxa"/>
                  <w:shd w:val="clear" w:color="auto" w:fill="FFFFFF"/>
                  <w:tcMar>
                    <w:top w:w="0" w:type="dxa"/>
                    <w:left w:w="0" w:type="dxa"/>
                    <w:bottom w:w="0" w:type="dxa"/>
                    <w:right w:w="0" w:type="dxa"/>
                  </w:tcMar>
                  <w:vAlign w:val="center"/>
                </w:tcPr>
                <w:p w14:paraId="4A87769C">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西</w:t>
                  </w:r>
                </w:p>
              </w:tc>
              <w:tc>
                <w:tcPr>
                  <w:tcW w:w="501" w:type="dxa"/>
                  <w:shd w:val="clear" w:color="auto" w:fill="FFFFFF"/>
                  <w:tcMar>
                    <w:top w:w="0" w:type="dxa"/>
                    <w:left w:w="0" w:type="dxa"/>
                    <w:bottom w:w="0" w:type="dxa"/>
                    <w:right w:w="0" w:type="dxa"/>
                  </w:tcMar>
                  <w:vAlign w:val="center"/>
                </w:tcPr>
                <w:p w14:paraId="68588BB1">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北</w:t>
                  </w:r>
                </w:p>
              </w:tc>
              <w:tc>
                <w:tcPr>
                  <w:tcW w:w="494" w:type="dxa"/>
                  <w:shd w:val="clear" w:color="auto" w:fill="FFFFFF"/>
                  <w:tcMar>
                    <w:top w:w="0" w:type="dxa"/>
                    <w:left w:w="0" w:type="dxa"/>
                    <w:bottom w:w="0" w:type="dxa"/>
                    <w:right w:w="0" w:type="dxa"/>
                  </w:tcMar>
                  <w:vAlign w:val="center"/>
                </w:tcPr>
                <w:p w14:paraId="0D29063A">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东</w:t>
                  </w:r>
                </w:p>
              </w:tc>
              <w:tc>
                <w:tcPr>
                  <w:tcW w:w="494" w:type="dxa"/>
                  <w:shd w:val="clear" w:color="auto" w:fill="FFFFFF"/>
                  <w:tcMar>
                    <w:top w:w="0" w:type="dxa"/>
                    <w:left w:w="0" w:type="dxa"/>
                    <w:bottom w:w="0" w:type="dxa"/>
                    <w:right w:w="0" w:type="dxa"/>
                  </w:tcMar>
                  <w:vAlign w:val="center"/>
                </w:tcPr>
                <w:p w14:paraId="28615959">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南</w:t>
                  </w:r>
                </w:p>
              </w:tc>
              <w:tc>
                <w:tcPr>
                  <w:tcW w:w="494" w:type="dxa"/>
                  <w:shd w:val="clear" w:color="auto" w:fill="FFFFFF"/>
                  <w:tcMar>
                    <w:top w:w="0" w:type="dxa"/>
                    <w:left w:w="0" w:type="dxa"/>
                    <w:bottom w:w="0" w:type="dxa"/>
                    <w:right w:w="0" w:type="dxa"/>
                  </w:tcMar>
                  <w:vAlign w:val="center"/>
                </w:tcPr>
                <w:p w14:paraId="110333DA">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西</w:t>
                  </w:r>
                </w:p>
              </w:tc>
              <w:tc>
                <w:tcPr>
                  <w:tcW w:w="496" w:type="dxa"/>
                  <w:shd w:val="clear" w:color="auto" w:fill="FFFFFF"/>
                  <w:tcMar>
                    <w:top w:w="0" w:type="dxa"/>
                    <w:left w:w="0" w:type="dxa"/>
                    <w:bottom w:w="0" w:type="dxa"/>
                    <w:right w:w="0" w:type="dxa"/>
                  </w:tcMar>
                  <w:vAlign w:val="center"/>
                </w:tcPr>
                <w:p w14:paraId="04945B54">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北</w:t>
                  </w:r>
                </w:p>
              </w:tc>
              <w:tc>
                <w:tcPr>
                  <w:tcW w:w="470" w:type="dxa"/>
                  <w:vMerge w:val="continue"/>
                  <w:shd w:val="clear" w:color="auto" w:fill="FFFFFF"/>
                  <w:tcMar>
                    <w:top w:w="0" w:type="dxa"/>
                    <w:left w:w="0" w:type="dxa"/>
                    <w:bottom w:w="0" w:type="dxa"/>
                    <w:right w:w="0" w:type="dxa"/>
                  </w:tcMar>
                  <w:vAlign w:val="center"/>
                </w:tcPr>
                <w:p w14:paraId="6E4D32CF">
                  <w:pPr>
                    <w:spacing w:beforeAutospacing="0" w:afterAutospacing="0"/>
                    <w:jc w:val="center"/>
                    <w:rPr>
                      <w:rFonts w:hint="default" w:ascii="Times New Roman" w:hAnsi="Times New Roman" w:eastAsia="宋体" w:cs="Times New Roman"/>
                      <w:sz w:val="21"/>
                      <w:szCs w:val="21"/>
                    </w:rPr>
                  </w:pPr>
                </w:p>
              </w:tc>
              <w:tc>
                <w:tcPr>
                  <w:tcW w:w="477" w:type="dxa"/>
                  <w:shd w:val="clear" w:color="auto" w:fill="FFFFFF"/>
                  <w:tcMar>
                    <w:top w:w="0" w:type="dxa"/>
                    <w:left w:w="0" w:type="dxa"/>
                    <w:bottom w:w="0" w:type="dxa"/>
                    <w:right w:w="0" w:type="dxa"/>
                  </w:tcMar>
                  <w:vAlign w:val="center"/>
                </w:tcPr>
                <w:p w14:paraId="500D6F83">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东</w:t>
                  </w:r>
                </w:p>
              </w:tc>
              <w:tc>
                <w:tcPr>
                  <w:tcW w:w="477" w:type="dxa"/>
                  <w:shd w:val="clear" w:color="auto" w:fill="FFFFFF"/>
                  <w:tcMar>
                    <w:top w:w="0" w:type="dxa"/>
                    <w:left w:w="0" w:type="dxa"/>
                    <w:bottom w:w="0" w:type="dxa"/>
                    <w:right w:w="0" w:type="dxa"/>
                  </w:tcMar>
                  <w:vAlign w:val="center"/>
                </w:tcPr>
                <w:p w14:paraId="76A59F2C">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南</w:t>
                  </w:r>
                </w:p>
              </w:tc>
              <w:tc>
                <w:tcPr>
                  <w:tcW w:w="477" w:type="dxa"/>
                  <w:shd w:val="clear" w:color="auto" w:fill="FFFFFF"/>
                  <w:tcMar>
                    <w:top w:w="0" w:type="dxa"/>
                    <w:left w:w="0" w:type="dxa"/>
                    <w:bottom w:w="0" w:type="dxa"/>
                    <w:right w:w="0" w:type="dxa"/>
                  </w:tcMar>
                  <w:vAlign w:val="center"/>
                </w:tcPr>
                <w:p w14:paraId="25369F30">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西</w:t>
                  </w:r>
                </w:p>
              </w:tc>
              <w:tc>
                <w:tcPr>
                  <w:tcW w:w="477" w:type="dxa"/>
                  <w:shd w:val="clear" w:color="auto" w:fill="FFFFFF"/>
                  <w:tcMar>
                    <w:top w:w="0" w:type="dxa"/>
                    <w:left w:w="0" w:type="dxa"/>
                    <w:bottom w:w="0" w:type="dxa"/>
                    <w:right w:w="0" w:type="dxa"/>
                  </w:tcMar>
                  <w:vAlign w:val="center"/>
                </w:tcPr>
                <w:p w14:paraId="2A207459">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北</w:t>
                  </w:r>
                </w:p>
              </w:tc>
              <w:tc>
                <w:tcPr>
                  <w:tcW w:w="505" w:type="dxa"/>
                  <w:shd w:val="clear" w:color="auto" w:fill="FFFFFF"/>
                  <w:tcMar>
                    <w:top w:w="0" w:type="dxa"/>
                    <w:left w:w="0" w:type="dxa"/>
                    <w:bottom w:w="0" w:type="dxa"/>
                    <w:right w:w="0" w:type="dxa"/>
                  </w:tcMar>
                  <w:vAlign w:val="center"/>
                </w:tcPr>
                <w:p w14:paraId="0CE93099">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东</w:t>
                  </w:r>
                </w:p>
              </w:tc>
              <w:tc>
                <w:tcPr>
                  <w:tcW w:w="505" w:type="dxa"/>
                  <w:shd w:val="clear" w:color="auto" w:fill="FFFFFF"/>
                  <w:tcMar>
                    <w:top w:w="0" w:type="dxa"/>
                    <w:left w:w="0" w:type="dxa"/>
                    <w:bottom w:w="0" w:type="dxa"/>
                    <w:right w:w="0" w:type="dxa"/>
                  </w:tcMar>
                  <w:vAlign w:val="center"/>
                </w:tcPr>
                <w:p w14:paraId="5CC0AD61">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南</w:t>
                  </w:r>
                </w:p>
              </w:tc>
              <w:tc>
                <w:tcPr>
                  <w:tcW w:w="505" w:type="dxa"/>
                  <w:shd w:val="clear" w:color="auto" w:fill="FFFFFF"/>
                  <w:tcMar>
                    <w:top w:w="0" w:type="dxa"/>
                    <w:left w:w="0" w:type="dxa"/>
                    <w:bottom w:w="0" w:type="dxa"/>
                    <w:right w:w="0" w:type="dxa"/>
                  </w:tcMar>
                  <w:vAlign w:val="center"/>
                </w:tcPr>
                <w:p w14:paraId="0C0D069D">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西</w:t>
                  </w:r>
                </w:p>
              </w:tc>
              <w:tc>
                <w:tcPr>
                  <w:tcW w:w="506" w:type="dxa"/>
                  <w:shd w:val="clear" w:color="auto" w:fill="FFFFFF"/>
                  <w:tcMar>
                    <w:top w:w="0" w:type="dxa"/>
                    <w:left w:w="0" w:type="dxa"/>
                    <w:bottom w:w="0" w:type="dxa"/>
                    <w:right w:w="0" w:type="dxa"/>
                  </w:tcMar>
                  <w:vAlign w:val="center"/>
                </w:tcPr>
                <w:p w14:paraId="651E3AAD">
                  <w:pPr>
                    <w:spacing w:beforeAutospacing="0" w:afterAutospacing="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北</w:t>
                  </w:r>
                </w:p>
              </w:tc>
              <w:tc>
                <w:tcPr>
                  <w:tcW w:w="698" w:type="dxa"/>
                  <w:shd w:val="clear" w:color="auto" w:fill="FFFFFF"/>
                  <w:tcMar>
                    <w:top w:w="0" w:type="dxa"/>
                    <w:left w:w="0" w:type="dxa"/>
                    <w:bottom w:w="0" w:type="dxa"/>
                    <w:right w:w="0" w:type="dxa"/>
                  </w:tcMar>
                  <w:vAlign w:val="center"/>
                </w:tcPr>
                <w:p w14:paraId="17F2C46A">
                  <w:pPr>
                    <w:spacing w:beforeAutospacing="0" w:afterAutospacing="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建筑物外距离</w:t>
                  </w:r>
                </w:p>
              </w:tc>
            </w:tr>
            <w:tr w14:paraId="2F992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5B4BC1E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c>
                <w:tcPr>
                  <w:tcW w:w="571" w:type="dxa"/>
                  <w:shd w:val="clear" w:color="auto" w:fill="FFFFFF"/>
                  <w:tcMar>
                    <w:top w:w="0" w:type="dxa"/>
                    <w:left w:w="0" w:type="dxa"/>
                    <w:bottom w:w="0" w:type="dxa"/>
                    <w:right w:w="0" w:type="dxa"/>
                  </w:tcMar>
                  <w:vAlign w:val="center"/>
                </w:tcPr>
                <w:p w14:paraId="5863CD82">
                  <w:pPr>
                    <w:spacing w:beforeAutospacing="0" w:afterAutospacing="0"/>
                    <w:jc w:val="center"/>
                    <w:rPr>
                      <w:rFonts w:hint="default" w:ascii="Times New Roman" w:hAnsi="Times New Roman" w:eastAsia="宋体"/>
                      <w:sz w:val="21"/>
                      <w:szCs w:val="21"/>
                    </w:rPr>
                  </w:pPr>
                  <w:r>
                    <w:rPr>
                      <w:rFonts w:hint="eastAsia" w:ascii="Times New Roman" w:hAnsi="Times New Roman" w:cs="Arial"/>
                      <w:sz w:val="21"/>
                      <w:szCs w:val="21"/>
                      <w:lang w:val="en-US" w:eastAsia="zh-CN"/>
                    </w:rPr>
                    <w:t>混料</w:t>
                  </w:r>
                  <w:r>
                    <w:rPr>
                      <w:rFonts w:hint="default" w:ascii="Times New Roman" w:hAnsi="Times New Roman" w:eastAsia="宋体" w:cs="Arial"/>
                      <w:sz w:val="21"/>
                      <w:szCs w:val="21"/>
                    </w:rPr>
                    <w:t>机</w:t>
                  </w:r>
                </w:p>
              </w:tc>
              <w:tc>
                <w:tcPr>
                  <w:tcW w:w="676" w:type="dxa"/>
                  <w:shd w:val="clear" w:color="auto" w:fill="FFFFFF"/>
                  <w:tcMar>
                    <w:top w:w="0" w:type="dxa"/>
                    <w:left w:w="0" w:type="dxa"/>
                    <w:bottom w:w="0" w:type="dxa"/>
                    <w:right w:w="0" w:type="dxa"/>
                  </w:tcMar>
                  <w:vAlign w:val="center"/>
                </w:tcPr>
                <w:p w14:paraId="50F8E2C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85</w:t>
                  </w:r>
                </w:p>
              </w:tc>
              <w:tc>
                <w:tcPr>
                  <w:tcW w:w="586" w:type="dxa"/>
                  <w:vMerge w:val="restart"/>
                  <w:shd w:val="clear" w:color="auto" w:fill="FFFFFF"/>
                  <w:tcMar>
                    <w:top w:w="0" w:type="dxa"/>
                    <w:left w:w="0" w:type="dxa"/>
                    <w:bottom w:w="0" w:type="dxa"/>
                    <w:right w:w="0" w:type="dxa"/>
                  </w:tcMar>
                  <w:vAlign w:val="center"/>
                </w:tcPr>
                <w:p w14:paraId="588E1BF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基础减震、厂房隔声</w:t>
                  </w:r>
                </w:p>
              </w:tc>
              <w:tc>
                <w:tcPr>
                  <w:tcW w:w="604" w:type="dxa"/>
                  <w:shd w:val="clear" w:color="auto" w:fill="FFFFFF"/>
                  <w:tcMar>
                    <w:top w:w="0" w:type="dxa"/>
                    <w:left w:w="0" w:type="dxa"/>
                    <w:bottom w:w="0" w:type="dxa"/>
                    <w:right w:w="0" w:type="dxa"/>
                  </w:tcMar>
                  <w:vAlign w:val="center"/>
                </w:tcPr>
                <w:p w14:paraId="5D3BF52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26.2</w:t>
                  </w:r>
                </w:p>
              </w:tc>
              <w:tc>
                <w:tcPr>
                  <w:tcW w:w="604" w:type="dxa"/>
                  <w:shd w:val="clear" w:color="auto" w:fill="FFFFFF"/>
                  <w:tcMar>
                    <w:top w:w="0" w:type="dxa"/>
                    <w:left w:w="0" w:type="dxa"/>
                    <w:bottom w:w="0" w:type="dxa"/>
                    <w:right w:w="0" w:type="dxa"/>
                  </w:tcMar>
                  <w:vAlign w:val="center"/>
                </w:tcPr>
                <w:p w14:paraId="618B24F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w:t>
                  </w:r>
                </w:p>
              </w:tc>
              <w:tc>
                <w:tcPr>
                  <w:tcW w:w="605" w:type="dxa"/>
                  <w:shd w:val="clear" w:color="auto" w:fill="FFFFFF"/>
                  <w:tcMar>
                    <w:top w:w="0" w:type="dxa"/>
                    <w:left w:w="0" w:type="dxa"/>
                    <w:bottom w:w="0" w:type="dxa"/>
                    <w:right w:w="0" w:type="dxa"/>
                  </w:tcMar>
                  <w:vAlign w:val="center"/>
                </w:tcPr>
                <w:p w14:paraId="7C1598A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692210B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8.7</w:t>
                  </w:r>
                </w:p>
              </w:tc>
              <w:tc>
                <w:tcPr>
                  <w:tcW w:w="500" w:type="dxa"/>
                  <w:shd w:val="clear" w:color="auto" w:fill="FFFFFF"/>
                  <w:tcMar>
                    <w:top w:w="0" w:type="dxa"/>
                    <w:left w:w="0" w:type="dxa"/>
                    <w:bottom w:w="0" w:type="dxa"/>
                    <w:right w:w="0" w:type="dxa"/>
                  </w:tcMar>
                  <w:vAlign w:val="center"/>
                </w:tcPr>
                <w:p w14:paraId="1F6D16E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17.1</w:t>
                  </w:r>
                </w:p>
              </w:tc>
              <w:tc>
                <w:tcPr>
                  <w:tcW w:w="500" w:type="dxa"/>
                  <w:shd w:val="clear" w:color="auto" w:fill="FFFFFF"/>
                  <w:tcMar>
                    <w:top w:w="0" w:type="dxa"/>
                    <w:left w:w="0" w:type="dxa"/>
                    <w:bottom w:w="0" w:type="dxa"/>
                    <w:right w:w="0" w:type="dxa"/>
                  </w:tcMar>
                  <w:vAlign w:val="center"/>
                </w:tcPr>
                <w:p w14:paraId="6412BF7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61.4</w:t>
                  </w:r>
                </w:p>
              </w:tc>
              <w:tc>
                <w:tcPr>
                  <w:tcW w:w="501" w:type="dxa"/>
                  <w:shd w:val="clear" w:color="auto" w:fill="FFFFFF"/>
                  <w:tcMar>
                    <w:top w:w="0" w:type="dxa"/>
                    <w:left w:w="0" w:type="dxa"/>
                    <w:bottom w:w="0" w:type="dxa"/>
                    <w:right w:w="0" w:type="dxa"/>
                  </w:tcMar>
                  <w:vAlign w:val="center"/>
                </w:tcPr>
                <w:p w14:paraId="282053F1">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9.2</w:t>
                  </w:r>
                </w:p>
              </w:tc>
              <w:tc>
                <w:tcPr>
                  <w:tcW w:w="494" w:type="dxa"/>
                  <w:shd w:val="clear" w:color="auto" w:fill="FFFFFF"/>
                  <w:tcMar>
                    <w:top w:w="0" w:type="dxa"/>
                    <w:left w:w="0" w:type="dxa"/>
                    <w:bottom w:w="0" w:type="dxa"/>
                    <w:right w:w="0" w:type="dxa"/>
                  </w:tcMar>
                  <w:vAlign w:val="center"/>
                </w:tcPr>
                <w:p w14:paraId="2F2BA96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4" w:type="dxa"/>
                  <w:shd w:val="clear" w:color="auto" w:fill="FFFFFF"/>
                  <w:tcMar>
                    <w:top w:w="0" w:type="dxa"/>
                    <w:left w:w="0" w:type="dxa"/>
                    <w:bottom w:w="0" w:type="dxa"/>
                    <w:right w:w="0" w:type="dxa"/>
                  </w:tcMar>
                  <w:vAlign w:val="center"/>
                </w:tcPr>
                <w:p w14:paraId="255C827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4" w:type="dxa"/>
                  <w:shd w:val="clear" w:color="auto" w:fill="FFFFFF"/>
                  <w:tcMar>
                    <w:top w:w="0" w:type="dxa"/>
                    <w:left w:w="0" w:type="dxa"/>
                    <w:bottom w:w="0" w:type="dxa"/>
                    <w:right w:w="0" w:type="dxa"/>
                  </w:tcMar>
                  <w:vAlign w:val="center"/>
                </w:tcPr>
                <w:p w14:paraId="5BBE24A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6" w:type="dxa"/>
                  <w:shd w:val="clear" w:color="auto" w:fill="FFFFFF"/>
                  <w:tcMar>
                    <w:top w:w="0" w:type="dxa"/>
                    <w:left w:w="0" w:type="dxa"/>
                    <w:bottom w:w="0" w:type="dxa"/>
                    <w:right w:w="0" w:type="dxa"/>
                  </w:tcMar>
                  <w:vAlign w:val="center"/>
                </w:tcPr>
                <w:p w14:paraId="312575A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70" w:type="dxa"/>
                  <w:shd w:val="clear" w:color="auto" w:fill="FFFFFF"/>
                  <w:tcMar>
                    <w:top w:w="0" w:type="dxa"/>
                    <w:left w:w="0" w:type="dxa"/>
                    <w:bottom w:w="0" w:type="dxa"/>
                    <w:right w:w="0" w:type="dxa"/>
                  </w:tcMar>
                  <w:vAlign w:val="center"/>
                </w:tcPr>
                <w:p w14:paraId="56BC29A5">
                  <w:pPr>
                    <w:spacing w:beforeAutospacing="0" w:afterAutospacing="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w:t>
                  </w:r>
                  <w:r>
                    <w:rPr>
                      <w:rFonts w:hint="eastAsia" w:ascii="Times New Roman" w:hAnsi="Times New Roman" w:eastAsia="宋体"/>
                      <w:color w:val="000000" w:themeColor="text1"/>
                      <w:sz w:val="21"/>
                      <w:szCs w:val="21"/>
                      <w:lang w:val="en-US" w:eastAsia="zh-CN"/>
                      <w14:textFill>
                        <w14:solidFill>
                          <w14:schemeClr w14:val="tx1"/>
                        </w14:solidFill>
                      </w14:textFill>
                    </w:rPr>
                    <w:t>h</w:t>
                  </w:r>
                </w:p>
              </w:tc>
              <w:tc>
                <w:tcPr>
                  <w:tcW w:w="477" w:type="dxa"/>
                  <w:shd w:val="clear" w:color="auto" w:fill="FFFFFF"/>
                  <w:tcMar>
                    <w:top w:w="0" w:type="dxa"/>
                    <w:left w:w="0" w:type="dxa"/>
                    <w:bottom w:w="0" w:type="dxa"/>
                    <w:right w:w="0" w:type="dxa"/>
                  </w:tcMar>
                  <w:vAlign w:val="center"/>
                </w:tcPr>
                <w:p w14:paraId="12E4B33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5967C7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5773A28">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4C5D4D1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505" w:type="dxa"/>
                  <w:shd w:val="clear" w:color="auto" w:fill="FFFFFF"/>
                  <w:tcMar>
                    <w:top w:w="0" w:type="dxa"/>
                    <w:left w:w="0" w:type="dxa"/>
                    <w:bottom w:w="0" w:type="dxa"/>
                    <w:right w:w="0" w:type="dxa"/>
                  </w:tcMar>
                  <w:vAlign w:val="center"/>
                </w:tcPr>
                <w:p w14:paraId="621BF70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505" w:type="dxa"/>
                  <w:shd w:val="clear" w:color="auto" w:fill="FFFFFF"/>
                  <w:tcMar>
                    <w:top w:w="0" w:type="dxa"/>
                    <w:left w:w="0" w:type="dxa"/>
                    <w:bottom w:w="0" w:type="dxa"/>
                    <w:right w:w="0" w:type="dxa"/>
                  </w:tcMar>
                  <w:vAlign w:val="center"/>
                </w:tcPr>
                <w:p w14:paraId="6D5F6F9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505" w:type="dxa"/>
                  <w:shd w:val="clear" w:color="auto" w:fill="FFFFFF"/>
                  <w:tcMar>
                    <w:top w:w="0" w:type="dxa"/>
                    <w:left w:w="0" w:type="dxa"/>
                    <w:bottom w:w="0" w:type="dxa"/>
                    <w:right w:w="0" w:type="dxa"/>
                  </w:tcMar>
                  <w:vAlign w:val="center"/>
                </w:tcPr>
                <w:p w14:paraId="685CCB8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57.2</w:t>
                  </w:r>
                </w:p>
              </w:tc>
              <w:tc>
                <w:tcPr>
                  <w:tcW w:w="506" w:type="dxa"/>
                  <w:shd w:val="clear" w:color="auto" w:fill="FFFFFF"/>
                  <w:tcMar>
                    <w:top w:w="0" w:type="dxa"/>
                    <w:left w:w="0" w:type="dxa"/>
                    <w:bottom w:w="0" w:type="dxa"/>
                    <w:right w:w="0" w:type="dxa"/>
                  </w:tcMar>
                  <w:vAlign w:val="center"/>
                </w:tcPr>
                <w:p w14:paraId="273CA85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698" w:type="dxa"/>
                  <w:shd w:val="clear" w:color="auto" w:fill="FFFFFF"/>
                  <w:tcMar>
                    <w:top w:w="0" w:type="dxa"/>
                    <w:left w:w="0" w:type="dxa"/>
                    <w:bottom w:w="0" w:type="dxa"/>
                    <w:right w:w="0" w:type="dxa"/>
                  </w:tcMar>
                  <w:vAlign w:val="center"/>
                </w:tcPr>
                <w:p w14:paraId="2389113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r>
            <w:tr w14:paraId="357DC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7122B24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w:t>
                  </w:r>
                </w:p>
              </w:tc>
              <w:tc>
                <w:tcPr>
                  <w:tcW w:w="571" w:type="dxa"/>
                  <w:shd w:val="clear" w:color="auto" w:fill="FFFFFF"/>
                  <w:tcMar>
                    <w:top w:w="0" w:type="dxa"/>
                    <w:left w:w="0" w:type="dxa"/>
                    <w:bottom w:w="0" w:type="dxa"/>
                    <w:right w:w="0" w:type="dxa"/>
                  </w:tcMar>
                  <w:vAlign w:val="center"/>
                </w:tcPr>
                <w:p w14:paraId="4A0944DE">
                  <w:pPr>
                    <w:spacing w:beforeAutospacing="0" w:afterAutospacing="0"/>
                    <w:jc w:val="center"/>
                    <w:rPr>
                      <w:rFonts w:hint="default" w:ascii="Times New Roman" w:hAnsi="Times New Roman" w:eastAsia="宋体"/>
                      <w:sz w:val="21"/>
                      <w:szCs w:val="21"/>
                    </w:rPr>
                  </w:pPr>
                  <w:r>
                    <w:rPr>
                      <w:rFonts w:hint="eastAsia" w:ascii="Times New Roman" w:hAnsi="Times New Roman" w:cs="Arial"/>
                      <w:sz w:val="21"/>
                      <w:szCs w:val="21"/>
                      <w:lang w:val="en-US" w:eastAsia="zh-CN"/>
                    </w:rPr>
                    <w:t>混料</w:t>
                  </w:r>
                  <w:r>
                    <w:rPr>
                      <w:rFonts w:hint="default" w:ascii="Times New Roman" w:hAnsi="Times New Roman" w:eastAsia="宋体" w:cs="Arial"/>
                      <w:sz w:val="21"/>
                      <w:szCs w:val="21"/>
                    </w:rPr>
                    <w:t>机</w:t>
                  </w:r>
                </w:p>
              </w:tc>
              <w:tc>
                <w:tcPr>
                  <w:tcW w:w="676" w:type="dxa"/>
                  <w:shd w:val="clear" w:color="auto" w:fill="FFFFFF"/>
                  <w:tcMar>
                    <w:top w:w="0" w:type="dxa"/>
                    <w:left w:w="0" w:type="dxa"/>
                    <w:bottom w:w="0" w:type="dxa"/>
                    <w:right w:w="0" w:type="dxa"/>
                  </w:tcMar>
                  <w:vAlign w:val="center"/>
                </w:tcPr>
                <w:p w14:paraId="0E4170C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85</w:t>
                  </w:r>
                </w:p>
              </w:tc>
              <w:tc>
                <w:tcPr>
                  <w:tcW w:w="586" w:type="dxa"/>
                  <w:vMerge w:val="continue"/>
                  <w:shd w:val="clear" w:color="auto" w:fill="FFFFFF"/>
                  <w:tcMar>
                    <w:top w:w="0" w:type="dxa"/>
                    <w:left w:w="0" w:type="dxa"/>
                    <w:bottom w:w="0" w:type="dxa"/>
                    <w:right w:w="0" w:type="dxa"/>
                  </w:tcMar>
                  <w:vAlign w:val="center"/>
                </w:tcPr>
                <w:p w14:paraId="17D7F592">
                  <w:pPr>
                    <w:spacing w:beforeAutospacing="0" w:afterAutospacing="0"/>
                    <w:jc w:val="center"/>
                    <w:rPr>
                      <w:rFonts w:hint="default" w:ascii="Times New Roman" w:hAnsi="Times New Roman" w:eastAsia="宋体"/>
                      <w:sz w:val="21"/>
                      <w:szCs w:val="21"/>
                    </w:rPr>
                  </w:pPr>
                </w:p>
              </w:tc>
              <w:tc>
                <w:tcPr>
                  <w:tcW w:w="604" w:type="dxa"/>
                  <w:shd w:val="clear" w:color="auto" w:fill="FFFFFF"/>
                  <w:tcMar>
                    <w:top w:w="0" w:type="dxa"/>
                    <w:left w:w="0" w:type="dxa"/>
                    <w:bottom w:w="0" w:type="dxa"/>
                    <w:right w:w="0" w:type="dxa"/>
                  </w:tcMar>
                  <w:vAlign w:val="center"/>
                </w:tcPr>
                <w:p w14:paraId="30D2158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25.2</w:t>
                  </w:r>
                </w:p>
              </w:tc>
              <w:tc>
                <w:tcPr>
                  <w:tcW w:w="604" w:type="dxa"/>
                  <w:shd w:val="clear" w:color="auto" w:fill="FFFFFF"/>
                  <w:tcMar>
                    <w:top w:w="0" w:type="dxa"/>
                    <w:left w:w="0" w:type="dxa"/>
                    <w:bottom w:w="0" w:type="dxa"/>
                    <w:right w:w="0" w:type="dxa"/>
                  </w:tcMar>
                  <w:vAlign w:val="center"/>
                </w:tcPr>
                <w:p w14:paraId="5FD1A72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-0.7</w:t>
                  </w:r>
                </w:p>
              </w:tc>
              <w:tc>
                <w:tcPr>
                  <w:tcW w:w="605" w:type="dxa"/>
                  <w:shd w:val="clear" w:color="auto" w:fill="FFFFFF"/>
                  <w:tcMar>
                    <w:top w:w="0" w:type="dxa"/>
                    <w:left w:w="0" w:type="dxa"/>
                    <w:bottom w:w="0" w:type="dxa"/>
                    <w:right w:w="0" w:type="dxa"/>
                  </w:tcMar>
                  <w:vAlign w:val="center"/>
                </w:tcPr>
                <w:p w14:paraId="447DE89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4CCA490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9.7</w:t>
                  </w:r>
                </w:p>
              </w:tc>
              <w:tc>
                <w:tcPr>
                  <w:tcW w:w="500" w:type="dxa"/>
                  <w:shd w:val="clear" w:color="auto" w:fill="FFFFFF"/>
                  <w:tcMar>
                    <w:top w:w="0" w:type="dxa"/>
                    <w:left w:w="0" w:type="dxa"/>
                    <w:bottom w:w="0" w:type="dxa"/>
                    <w:right w:w="0" w:type="dxa"/>
                  </w:tcMar>
                  <w:vAlign w:val="center"/>
                </w:tcPr>
                <w:p w14:paraId="3EC22F7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12.2</w:t>
                  </w:r>
                </w:p>
              </w:tc>
              <w:tc>
                <w:tcPr>
                  <w:tcW w:w="500" w:type="dxa"/>
                  <w:shd w:val="clear" w:color="auto" w:fill="FFFFFF"/>
                  <w:tcMar>
                    <w:top w:w="0" w:type="dxa"/>
                    <w:left w:w="0" w:type="dxa"/>
                    <w:bottom w:w="0" w:type="dxa"/>
                    <w:right w:w="0" w:type="dxa"/>
                  </w:tcMar>
                  <w:vAlign w:val="center"/>
                </w:tcPr>
                <w:p w14:paraId="3FF60A7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60.3</w:t>
                  </w:r>
                </w:p>
              </w:tc>
              <w:tc>
                <w:tcPr>
                  <w:tcW w:w="501" w:type="dxa"/>
                  <w:shd w:val="clear" w:color="auto" w:fill="FFFFFF"/>
                  <w:tcMar>
                    <w:top w:w="0" w:type="dxa"/>
                    <w:left w:w="0" w:type="dxa"/>
                    <w:bottom w:w="0" w:type="dxa"/>
                    <w:right w:w="0" w:type="dxa"/>
                  </w:tcMar>
                  <w:vAlign w:val="center"/>
                </w:tcPr>
                <w:p w14:paraId="7337A25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14.1</w:t>
                  </w:r>
                </w:p>
              </w:tc>
              <w:tc>
                <w:tcPr>
                  <w:tcW w:w="494" w:type="dxa"/>
                  <w:shd w:val="clear" w:color="auto" w:fill="FFFFFF"/>
                  <w:tcMar>
                    <w:top w:w="0" w:type="dxa"/>
                    <w:left w:w="0" w:type="dxa"/>
                    <w:bottom w:w="0" w:type="dxa"/>
                    <w:right w:w="0" w:type="dxa"/>
                  </w:tcMar>
                  <w:vAlign w:val="center"/>
                </w:tcPr>
                <w:p w14:paraId="4E7E2CA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4" w:type="dxa"/>
                  <w:shd w:val="clear" w:color="auto" w:fill="FFFFFF"/>
                  <w:tcMar>
                    <w:top w:w="0" w:type="dxa"/>
                    <w:left w:w="0" w:type="dxa"/>
                    <w:bottom w:w="0" w:type="dxa"/>
                    <w:right w:w="0" w:type="dxa"/>
                  </w:tcMar>
                  <w:vAlign w:val="center"/>
                </w:tcPr>
                <w:p w14:paraId="39A950E3">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4" w:type="dxa"/>
                  <w:shd w:val="clear" w:color="auto" w:fill="FFFFFF"/>
                  <w:tcMar>
                    <w:top w:w="0" w:type="dxa"/>
                    <w:left w:w="0" w:type="dxa"/>
                    <w:bottom w:w="0" w:type="dxa"/>
                    <w:right w:w="0" w:type="dxa"/>
                  </w:tcMar>
                  <w:vAlign w:val="center"/>
                </w:tcPr>
                <w:p w14:paraId="6DED5B6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96" w:type="dxa"/>
                  <w:shd w:val="clear" w:color="auto" w:fill="FFFFFF"/>
                  <w:tcMar>
                    <w:top w:w="0" w:type="dxa"/>
                    <w:left w:w="0" w:type="dxa"/>
                    <w:bottom w:w="0" w:type="dxa"/>
                    <w:right w:w="0" w:type="dxa"/>
                  </w:tcMar>
                  <w:vAlign w:val="center"/>
                </w:tcPr>
                <w:p w14:paraId="40FA437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73.2</w:t>
                  </w:r>
                </w:p>
              </w:tc>
              <w:tc>
                <w:tcPr>
                  <w:tcW w:w="470" w:type="dxa"/>
                  <w:shd w:val="clear" w:color="auto" w:fill="FFFFFF"/>
                  <w:tcMar>
                    <w:top w:w="0" w:type="dxa"/>
                    <w:left w:w="0" w:type="dxa"/>
                    <w:bottom w:w="0" w:type="dxa"/>
                    <w:right w:w="0" w:type="dxa"/>
                  </w:tcMar>
                  <w:vAlign w:val="center"/>
                </w:tcPr>
                <w:p w14:paraId="76A0AA09">
                  <w:pPr>
                    <w:spacing w:beforeAutospacing="0" w:afterAutospacing="0"/>
                    <w:jc w:val="center"/>
                    <w:rPr>
                      <w:rFonts w:hint="default" w:ascii="Times New Roman" w:hAnsi="Times New Roman" w:eastAsia="宋体"/>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w:t>
                  </w:r>
                  <w:r>
                    <w:rPr>
                      <w:rFonts w:hint="eastAsia" w:ascii="Times New Roman" w:hAnsi="Times New Roman" w:eastAsia="宋体"/>
                      <w:color w:val="000000" w:themeColor="text1"/>
                      <w:sz w:val="21"/>
                      <w:szCs w:val="21"/>
                      <w:lang w:val="en-US" w:eastAsia="zh-CN"/>
                      <w14:textFill>
                        <w14:solidFill>
                          <w14:schemeClr w14:val="tx1"/>
                        </w14:solidFill>
                      </w14:textFill>
                    </w:rPr>
                    <w:t>h</w:t>
                  </w:r>
                </w:p>
              </w:tc>
              <w:tc>
                <w:tcPr>
                  <w:tcW w:w="477" w:type="dxa"/>
                  <w:shd w:val="clear" w:color="auto" w:fill="FFFFFF"/>
                  <w:tcMar>
                    <w:top w:w="0" w:type="dxa"/>
                    <w:left w:w="0" w:type="dxa"/>
                    <w:bottom w:w="0" w:type="dxa"/>
                    <w:right w:w="0" w:type="dxa"/>
                  </w:tcMar>
                  <w:vAlign w:val="center"/>
                </w:tcPr>
                <w:p w14:paraId="6303C7A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53263FE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661F801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59B57DF7">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505" w:type="dxa"/>
                  <w:shd w:val="clear" w:color="auto" w:fill="FFFFFF"/>
                  <w:tcMar>
                    <w:top w:w="0" w:type="dxa"/>
                    <w:left w:w="0" w:type="dxa"/>
                    <w:bottom w:w="0" w:type="dxa"/>
                    <w:right w:w="0" w:type="dxa"/>
                  </w:tcMar>
                  <w:vAlign w:val="center"/>
                </w:tcPr>
                <w:p w14:paraId="6F3222E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505" w:type="dxa"/>
                  <w:shd w:val="clear" w:color="auto" w:fill="FFFFFF"/>
                  <w:tcMar>
                    <w:top w:w="0" w:type="dxa"/>
                    <w:left w:w="0" w:type="dxa"/>
                    <w:bottom w:w="0" w:type="dxa"/>
                    <w:right w:w="0" w:type="dxa"/>
                  </w:tcMar>
                  <w:vAlign w:val="center"/>
                </w:tcPr>
                <w:p w14:paraId="71BB567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505" w:type="dxa"/>
                  <w:shd w:val="clear" w:color="auto" w:fill="FFFFFF"/>
                  <w:tcMar>
                    <w:top w:w="0" w:type="dxa"/>
                    <w:left w:w="0" w:type="dxa"/>
                    <w:bottom w:w="0" w:type="dxa"/>
                    <w:right w:w="0" w:type="dxa"/>
                  </w:tcMar>
                  <w:vAlign w:val="center"/>
                </w:tcPr>
                <w:p w14:paraId="66FAC88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57.2</w:t>
                  </w:r>
                </w:p>
              </w:tc>
              <w:tc>
                <w:tcPr>
                  <w:tcW w:w="506" w:type="dxa"/>
                  <w:shd w:val="clear" w:color="auto" w:fill="FFFFFF"/>
                  <w:tcMar>
                    <w:top w:w="0" w:type="dxa"/>
                    <w:left w:w="0" w:type="dxa"/>
                    <w:bottom w:w="0" w:type="dxa"/>
                    <w:right w:w="0" w:type="dxa"/>
                  </w:tcMar>
                  <w:vAlign w:val="center"/>
                </w:tcPr>
                <w:p w14:paraId="0E1FF83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698" w:type="dxa"/>
                  <w:shd w:val="clear" w:color="auto" w:fill="FFFFFF"/>
                  <w:tcMar>
                    <w:top w:w="0" w:type="dxa"/>
                    <w:left w:w="0" w:type="dxa"/>
                    <w:bottom w:w="0" w:type="dxa"/>
                    <w:right w:w="0" w:type="dxa"/>
                  </w:tcMar>
                  <w:vAlign w:val="center"/>
                </w:tcPr>
                <w:p w14:paraId="3F39827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r>
            <w:tr w14:paraId="5E3DF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7363DB2D">
                  <w:pPr>
                    <w:spacing w:beforeAutospacing="0" w:afterAutospacing="0"/>
                    <w:ind w:left="0" w:leftChars="0" w:right="0" w:rightChars="0"/>
                    <w:jc w:val="center"/>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3</w:t>
                  </w:r>
                </w:p>
              </w:tc>
              <w:tc>
                <w:tcPr>
                  <w:tcW w:w="571" w:type="dxa"/>
                  <w:shd w:val="clear" w:color="auto" w:fill="FFFFFF"/>
                  <w:tcMar>
                    <w:top w:w="0" w:type="dxa"/>
                    <w:left w:w="0" w:type="dxa"/>
                    <w:bottom w:w="0" w:type="dxa"/>
                    <w:right w:w="0" w:type="dxa"/>
                  </w:tcMar>
                  <w:vAlign w:val="center"/>
                </w:tcPr>
                <w:p w14:paraId="016E3DA1">
                  <w:pPr>
                    <w:spacing w:beforeAutospacing="0" w:afterAutospacing="0"/>
                    <w:ind w:left="0" w:leftChars="0" w:right="0" w:rightChars="0"/>
                    <w:jc w:val="center"/>
                    <w:rPr>
                      <w:rFonts w:hint="eastAsia" w:ascii="Times New Roman" w:hAnsi="Times New Roman" w:cs="Arial"/>
                      <w:color w:val="000000" w:themeColor="text1"/>
                      <w:sz w:val="21"/>
                      <w:szCs w:val="21"/>
                      <w:lang w:val="en-US" w:eastAsia="zh-CN"/>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粉碎机</w:t>
                  </w:r>
                </w:p>
              </w:tc>
              <w:tc>
                <w:tcPr>
                  <w:tcW w:w="676" w:type="dxa"/>
                  <w:shd w:val="clear" w:color="auto" w:fill="FFFFFF"/>
                  <w:tcMar>
                    <w:top w:w="0" w:type="dxa"/>
                    <w:left w:w="0" w:type="dxa"/>
                    <w:bottom w:w="0" w:type="dxa"/>
                    <w:right w:w="0" w:type="dxa"/>
                  </w:tcMar>
                  <w:vAlign w:val="center"/>
                </w:tcPr>
                <w:p w14:paraId="640312CA">
                  <w:pPr>
                    <w:spacing w:beforeAutospacing="0" w:afterAutospacing="0"/>
                    <w:ind w:left="0" w:leftChars="0" w:right="0" w:rightChars="0"/>
                    <w:jc w:val="center"/>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w:t>
                  </w:r>
                </w:p>
              </w:tc>
              <w:tc>
                <w:tcPr>
                  <w:tcW w:w="586" w:type="dxa"/>
                  <w:vMerge w:val="continue"/>
                  <w:shd w:val="clear" w:color="auto" w:fill="FFFFFF"/>
                  <w:tcMar>
                    <w:top w:w="0" w:type="dxa"/>
                    <w:left w:w="0" w:type="dxa"/>
                    <w:bottom w:w="0" w:type="dxa"/>
                    <w:right w:w="0" w:type="dxa"/>
                  </w:tcMar>
                  <w:vAlign w:val="center"/>
                </w:tcPr>
                <w:p w14:paraId="379F5EC6">
                  <w:pPr>
                    <w:spacing w:beforeAutospacing="0" w:afterAutospacing="0"/>
                    <w:jc w:val="center"/>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24B44B2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26.2</w:t>
                  </w:r>
                </w:p>
              </w:tc>
              <w:tc>
                <w:tcPr>
                  <w:tcW w:w="604" w:type="dxa"/>
                  <w:shd w:val="clear" w:color="auto" w:fill="FFFFFF"/>
                  <w:tcMar>
                    <w:top w:w="0" w:type="dxa"/>
                    <w:left w:w="0" w:type="dxa"/>
                    <w:bottom w:w="0" w:type="dxa"/>
                    <w:right w:w="0" w:type="dxa"/>
                  </w:tcMar>
                  <w:vAlign w:val="center"/>
                </w:tcPr>
                <w:p w14:paraId="2BFC91B2">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4.2</w:t>
                  </w:r>
                </w:p>
              </w:tc>
              <w:tc>
                <w:tcPr>
                  <w:tcW w:w="605" w:type="dxa"/>
                  <w:shd w:val="clear" w:color="auto" w:fill="FFFFFF"/>
                  <w:tcMar>
                    <w:top w:w="0" w:type="dxa"/>
                    <w:left w:w="0" w:type="dxa"/>
                    <w:bottom w:w="0" w:type="dxa"/>
                    <w:right w:w="0" w:type="dxa"/>
                  </w:tcMar>
                  <w:vAlign w:val="center"/>
                </w:tcPr>
                <w:p w14:paraId="4E152120">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5D0064E6">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8.7</w:t>
                  </w:r>
                </w:p>
              </w:tc>
              <w:tc>
                <w:tcPr>
                  <w:tcW w:w="500" w:type="dxa"/>
                  <w:shd w:val="clear" w:color="auto" w:fill="FFFFFF"/>
                  <w:tcMar>
                    <w:top w:w="0" w:type="dxa"/>
                    <w:left w:w="0" w:type="dxa"/>
                    <w:bottom w:w="0" w:type="dxa"/>
                    <w:right w:w="0" w:type="dxa"/>
                  </w:tcMar>
                  <w:vAlign w:val="center"/>
                </w:tcPr>
                <w:p w14:paraId="74D9BC3A">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17.1</w:t>
                  </w:r>
                </w:p>
              </w:tc>
              <w:tc>
                <w:tcPr>
                  <w:tcW w:w="500" w:type="dxa"/>
                  <w:shd w:val="clear" w:color="auto" w:fill="FFFFFF"/>
                  <w:tcMar>
                    <w:top w:w="0" w:type="dxa"/>
                    <w:left w:w="0" w:type="dxa"/>
                    <w:bottom w:w="0" w:type="dxa"/>
                    <w:right w:w="0" w:type="dxa"/>
                  </w:tcMar>
                  <w:vAlign w:val="center"/>
                </w:tcPr>
                <w:p w14:paraId="4849146E">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61.4</w:t>
                  </w:r>
                </w:p>
              </w:tc>
              <w:tc>
                <w:tcPr>
                  <w:tcW w:w="501" w:type="dxa"/>
                  <w:shd w:val="clear" w:color="auto" w:fill="FFFFFF"/>
                  <w:tcMar>
                    <w:top w:w="0" w:type="dxa"/>
                    <w:left w:w="0" w:type="dxa"/>
                    <w:bottom w:w="0" w:type="dxa"/>
                    <w:right w:w="0" w:type="dxa"/>
                  </w:tcMar>
                  <w:vAlign w:val="center"/>
                </w:tcPr>
                <w:p w14:paraId="32FFBBFD">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9.2</w:t>
                  </w:r>
                </w:p>
              </w:tc>
              <w:tc>
                <w:tcPr>
                  <w:tcW w:w="494" w:type="dxa"/>
                  <w:shd w:val="clear" w:color="auto" w:fill="FFFFFF"/>
                  <w:tcMar>
                    <w:top w:w="0" w:type="dxa"/>
                    <w:left w:w="0" w:type="dxa"/>
                    <w:bottom w:w="0" w:type="dxa"/>
                    <w:right w:w="0" w:type="dxa"/>
                  </w:tcMar>
                  <w:vAlign w:val="center"/>
                </w:tcPr>
                <w:p w14:paraId="5E05B04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4" w:type="dxa"/>
                  <w:shd w:val="clear" w:color="auto" w:fill="FFFFFF"/>
                  <w:tcMar>
                    <w:top w:w="0" w:type="dxa"/>
                    <w:left w:w="0" w:type="dxa"/>
                    <w:bottom w:w="0" w:type="dxa"/>
                    <w:right w:w="0" w:type="dxa"/>
                  </w:tcMar>
                  <w:vAlign w:val="center"/>
                </w:tcPr>
                <w:p w14:paraId="587B12CA">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4" w:type="dxa"/>
                  <w:shd w:val="clear" w:color="auto" w:fill="FFFFFF"/>
                  <w:tcMar>
                    <w:top w:w="0" w:type="dxa"/>
                    <w:left w:w="0" w:type="dxa"/>
                    <w:bottom w:w="0" w:type="dxa"/>
                    <w:right w:w="0" w:type="dxa"/>
                  </w:tcMar>
                  <w:vAlign w:val="center"/>
                </w:tcPr>
                <w:p w14:paraId="124F4142">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6" w:type="dxa"/>
                  <w:shd w:val="clear" w:color="auto" w:fill="FFFFFF"/>
                  <w:tcMar>
                    <w:top w:w="0" w:type="dxa"/>
                    <w:left w:w="0" w:type="dxa"/>
                    <w:bottom w:w="0" w:type="dxa"/>
                    <w:right w:w="0" w:type="dxa"/>
                  </w:tcMar>
                  <w:vAlign w:val="center"/>
                </w:tcPr>
                <w:p w14:paraId="4DCFCDD9">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70" w:type="dxa"/>
                  <w:shd w:val="clear" w:color="auto" w:fill="FFFFFF"/>
                  <w:tcMar>
                    <w:top w:w="0" w:type="dxa"/>
                    <w:left w:w="0" w:type="dxa"/>
                    <w:bottom w:w="0" w:type="dxa"/>
                    <w:right w:w="0" w:type="dxa"/>
                  </w:tcMar>
                  <w:vAlign w:val="center"/>
                </w:tcPr>
                <w:p w14:paraId="4A0AE2B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5h</w:t>
                  </w:r>
                </w:p>
              </w:tc>
              <w:tc>
                <w:tcPr>
                  <w:tcW w:w="477" w:type="dxa"/>
                  <w:shd w:val="clear" w:color="auto" w:fill="FFFFFF"/>
                  <w:tcMar>
                    <w:top w:w="0" w:type="dxa"/>
                    <w:left w:w="0" w:type="dxa"/>
                    <w:bottom w:w="0" w:type="dxa"/>
                    <w:right w:w="0" w:type="dxa"/>
                  </w:tcMar>
                  <w:vAlign w:val="center"/>
                </w:tcPr>
                <w:p w14:paraId="73E41AE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71C77623">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1F03CF3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7A23A0D0">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16.0</w:t>
                  </w:r>
                </w:p>
              </w:tc>
              <w:tc>
                <w:tcPr>
                  <w:tcW w:w="505" w:type="dxa"/>
                  <w:shd w:val="clear" w:color="auto" w:fill="FFFFFF"/>
                  <w:tcMar>
                    <w:top w:w="0" w:type="dxa"/>
                    <w:left w:w="0" w:type="dxa"/>
                    <w:bottom w:w="0" w:type="dxa"/>
                    <w:right w:w="0" w:type="dxa"/>
                  </w:tcMar>
                  <w:vAlign w:val="center"/>
                </w:tcPr>
                <w:p w14:paraId="171DBEB6">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47.2</w:t>
                  </w:r>
                </w:p>
              </w:tc>
              <w:tc>
                <w:tcPr>
                  <w:tcW w:w="505" w:type="dxa"/>
                  <w:shd w:val="clear" w:color="auto" w:fill="FFFFFF"/>
                  <w:tcMar>
                    <w:top w:w="0" w:type="dxa"/>
                    <w:left w:w="0" w:type="dxa"/>
                    <w:bottom w:w="0" w:type="dxa"/>
                    <w:right w:w="0" w:type="dxa"/>
                  </w:tcMar>
                  <w:vAlign w:val="center"/>
                </w:tcPr>
                <w:p w14:paraId="3F52582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47.2</w:t>
                  </w:r>
                </w:p>
              </w:tc>
              <w:tc>
                <w:tcPr>
                  <w:tcW w:w="505" w:type="dxa"/>
                  <w:shd w:val="clear" w:color="auto" w:fill="FFFFFF"/>
                  <w:tcMar>
                    <w:top w:w="0" w:type="dxa"/>
                    <w:left w:w="0" w:type="dxa"/>
                    <w:bottom w:w="0" w:type="dxa"/>
                    <w:right w:w="0" w:type="dxa"/>
                  </w:tcMar>
                  <w:vAlign w:val="center"/>
                </w:tcPr>
                <w:p w14:paraId="5E684E8A">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57.2</w:t>
                  </w:r>
                </w:p>
              </w:tc>
              <w:tc>
                <w:tcPr>
                  <w:tcW w:w="506" w:type="dxa"/>
                  <w:shd w:val="clear" w:color="auto" w:fill="FFFFFF"/>
                  <w:tcMar>
                    <w:top w:w="0" w:type="dxa"/>
                    <w:left w:w="0" w:type="dxa"/>
                    <w:bottom w:w="0" w:type="dxa"/>
                    <w:right w:w="0" w:type="dxa"/>
                  </w:tcMar>
                  <w:vAlign w:val="center"/>
                </w:tcPr>
                <w:p w14:paraId="18F6F5CB">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57.2</w:t>
                  </w:r>
                </w:p>
              </w:tc>
              <w:tc>
                <w:tcPr>
                  <w:tcW w:w="698" w:type="dxa"/>
                  <w:shd w:val="clear" w:color="auto" w:fill="FFFFFF"/>
                  <w:tcMar>
                    <w:top w:w="0" w:type="dxa"/>
                    <w:left w:w="0" w:type="dxa"/>
                    <w:bottom w:w="0" w:type="dxa"/>
                    <w:right w:w="0" w:type="dxa"/>
                  </w:tcMar>
                  <w:vAlign w:val="center"/>
                </w:tcPr>
                <w:p w14:paraId="182273D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w:t>
                  </w:r>
                </w:p>
              </w:tc>
            </w:tr>
            <w:tr w14:paraId="12AE8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175F13AF">
                  <w:pPr>
                    <w:spacing w:beforeAutospacing="0" w:afterAutospacing="0"/>
                    <w:ind w:left="0" w:leftChars="0" w:right="0" w:rightChars="0"/>
                    <w:jc w:val="center"/>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4</w:t>
                  </w:r>
                </w:p>
              </w:tc>
              <w:tc>
                <w:tcPr>
                  <w:tcW w:w="571" w:type="dxa"/>
                  <w:shd w:val="clear" w:color="auto" w:fill="FFFFFF"/>
                  <w:tcMar>
                    <w:top w:w="0" w:type="dxa"/>
                    <w:left w:w="0" w:type="dxa"/>
                    <w:bottom w:w="0" w:type="dxa"/>
                    <w:right w:w="0" w:type="dxa"/>
                  </w:tcMar>
                  <w:vAlign w:val="center"/>
                </w:tcPr>
                <w:p w14:paraId="3076C9E2">
                  <w:pPr>
                    <w:spacing w:beforeAutospacing="0" w:afterAutospacing="0"/>
                    <w:ind w:left="0" w:leftChars="0" w:right="0" w:rightChars="0"/>
                    <w:jc w:val="center"/>
                    <w:rPr>
                      <w:rFonts w:hint="eastAsia" w:ascii="Times New Roman" w:hAnsi="Times New Roman" w:cs="Arial"/>
                      <w:color w:val="000000" w:themeColor="text1"/>
                      <w:sz w:val="21"/>
                      <w:szCs w:val="21"/>
                      <w:lang w:val="en-US" w:eastAsia="zh-CN"/>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粉碎机</w:t>
                  </w:r>
                </w:p>
              </w:tc>
              <w:tc>
                <w:tcPr>
                  <w:tcW w:w="676" w:type="dxa"/>
                  <w:shd w:val="clear" w:color="auto" w:fill="FFFFFF"/>
                  <w:tcMar>
                    <w:top w:w="0" w:type="dxa"/>
                    <w:left w:w="0" w:type="dxa"/>
                    <w:bottom w:w="0" w:type="dxa"/>
                    <w:right w:w="0" w:type="dxa"/>
                  </w:tcMar>
                  <w:vAlign w:val="center"/>
                </w:tcPr>
                <w:p w14:paraId="580346D3">
                  <w:pPr>
                    <w:spacing w:beforeAutospacing="0" w:afterAutospacing="0"/>
                    <w:ind w:left="0" w:leftChars="0" w:right="0" w:rightChars="0"/>
                    <w:jc w:val="center"/>
                    <w:rPr>
                      <w:rFonts w:hint="default" w:ascii="Times New Roman" w:hAnsi="Times New Roman" w:eastAsia="宋体" w:cs="Arial"/>
                      <w:color w:val="000000" w:themeColor="text1"/>
                      <w:sz w:val="21"/>
                      <w:szCs w:val="21"/>
                      <w14:textFill>
                        <w14:solidFill>
                          <w14:schemeClr w14:val="tx1"/>
                        </w14:solidFill>
                      </w14:textFill>
                    </w:rPr>
                  </w:pPr>
                  <w:r>
                    <w:rPr>
                      <w:rFonts w:hint="default" w:ascii="Times New Roman" w:hAnsi="Times New Roman" w:eastAsia="宋体" w:cs="Arial"/>
                      <w:color w:val="000000" w:themeColor="text1"/>
                      <w:sz w:val="21"/>
                      <w:szCs w:val="21"/>
                      <w14:textFill>
                        <w14:solidFill>
                          <w14:schemeClr w14:val="tx1"/>
                        </w14:solidFill>
                      </w14:textFill>
                    </w:rPr>
                    <w:t>85</w:t>
                  </w:r>
                </w:p>
              </w:tc>
              <w:tc>
                <w:tcPr>
                  <w:tcW w:w="586" w:type="dxa"/>
                  <w:vMerge w:val="continue"/>
                  <w:shd w:val="clear" w:color="auto" w:fill="FFFFFF"/>
                  <w:tcMar>
                    <w:top w:w="0" w:type="dxa"/>
                    <w:left w:w="0" w:type="dxa"/>
                    <w:bottom w:w="0" w:type="dxa"/>
                    <w:right w:w="0" w:type="dxa"/>
                  </w:tcMar>
                  <w:vAlign w:val="center"/>
                </w:tcPr>
                <w:p w14:paraId="5AAF5F42">
                  <w:pPr>
                    <w:spacing w:beforeAutospacing="0" w:afterAutospacing="0"/>
                    <w:jc w:val="center"/>
                    <w:rPr>
                      <w:rFonts w:hint="default" w:ascii="Times New Roman" w:hAnsi="Times New Roman" w:eastAsia="宋体"/>
                      <w:color w:val="000000" w:themeColor="text1"/>
                      <w:sz w:val="21"/>
                      <w:szCs w:val="21"/>
                      <w14:textFill>
                        <w14:solidFill>
                          <w14:schemeClr w14:val="tx1"/>
                        </w14:solidFill>
                      </w14:textFill>
                    </w:rPr>
                  </w:pPr>
                </w:p>
              </w:tc>
              <w:tc>
                <w:tcPr>
                  <w:tcW w:w="604" w:type="dxa"/>
                  <w:shd w:val="clear" w:color="auto" w:fill="FFFFFF"/>
                  <w:tcMar>
                    <w:top w:w="0" w:type="dxa"/>
                    <w:left w:w="0" w:type="dxa"/>
                    <w:bottom w:w="0" w:type="dxa"/>
                    <w:right w:w="0" w:type="dxa"/>
                  </w:tcMar>
                  <w:vAlign w:val="center"/>
                </w:tcPr>
                <w:p w14:paraId="0FB961C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25.2</w:t>
                  </w:r>
                </w:p>
              </w:tc>
              <w:tc>
                <w:tcPr>
                  <w:tcW w:w="604" w:type="dxa"/>
                  <w:shd w:val="clear" w:color="auto" w:fill="FFFFFF"/>
                  <w:tcMar>
                    <w:top w:w="0" w:type="dxa"/>
                    <w:left w:w="0" w:type="dxa"/>
                    <w:bottom w:w="0" w:type="dxa"/>
                    <w:right w:w="0" w:type="dxa"/>
                  </w:tcMar>
                  <w:vAlign w:val="center"/>
                </w:tcPr>
                <w:p w14:paraId="135AFCA6">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-0.7</w:t>
                  </w:r>
                </w:p>
              </w:tc>
              <w:tc>
                <w:tcPr>
                  <w:tcW w:w="605" w:type="dxa"/>
                  <w:shd w:val="clear" w:color="auto" w:fill="FFFFFF"/>
                  <w:tcMar>
                    <w:top w:w="0" w:type="dxa"/>
                    <w:left w:w="0" w:type="dxa"/>
                    <w:bottom w:w="0" w:type="dxa"/>
                    <w:right w:w="0" w:type="dxa"/>
                  </w:tcMar>
                  <w:vAlign w:val="center"/>
                </w:tcPr>
                <w:p w14:paraId="5923850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1.2</w:t>
                  </w:r>
                </w:p>
              </w:tc>
              <w:tc>
                <w:tcPr>
                  <w:tcW w:w="500" w:type="dxa"/>
                  <w:shd w:val="clear" w:color="auto" w:fill="FFFFFF"/>
                  <w:tcMar>
                    <w:top w:w="0" w:type="dxa"/>
                    <w:left w:w="0" w:type="dxa"/>
                    <w:bottom w:w="0" w:type="dxa"/>
                    <w:right w:w="0" w:type="dxa"/>
                  </w:tcMar>
                  <w:vAlign w:val="center"/>
                </w:tcPr>
                <w:p w14:paraId="67916706">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9.7</w:t>
                  </w:r>
                </w:p>
              </w:tc>
              <w:tc>
                <w:tcPr>
                  <w:tcW w:w="500" w:type="dxa"/>
                  <w:shd w:val="clear" w:color="auto" w:fill="FFFFFF"/>
                  <w:tcMar>
                    <w:top w:w="0" w:type="dxa"/>
                    <w:left w:w="0" w:type="dxa"/>
                    <w:bottom w:w="0" w:type="dxa"/>
                    <w:right w:w="0" w:type="dxa"/>
                  </w:tcMar>
                  <w:vAlign w:val="center"/>
                </w:tcPr>
                <w:p w14:paraId="59704C5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12.2</w:t>
                  </w:r>
                </w:p>
              </w:tc>
              <w:tc>
                <w:tcPr>
                  <w:tcW w:w="500" w:type="dxa"/>
                  <w:shd w:val="clear" w:color="auto" w:fill="FFFFFF"/>
                  <w:tcMar>
                    <w:top w:w="0" w:type="dxa"/>
                    <w:left w:w="0" w:type="dxa"/>
                    <w:bottom w:w="0" w:type="dxa"/>
                    <w:right w:w="0" w:type="dxa"/>
                  </w:tcMar>
                  <w:vAlign w:val="center"/>
                </w:tcPr>
                <w:p w14:paraId="1749F3E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60.3</w:t>
                  </w:r>
                </w:p>
              </w:tc>
              <w:tc>
                <w:tcPr>
                  <w:tcW w:w="501" w:type="dxa"/>
                  <w:shd w:val="clear" w:color="auto" w:fill="FFFFFF"/>
                  <w:tcMar>
                    <w:top w:w="0" w:type="dxa"/>
                    <w:left w:w="0" w:type="dxa"/>
                    <w:bottom w:w="0" w:type="dxa"/>
                    <w:right w:w="0" w:type="dxa"/>
                  </w:tcMar>
                  <w:vAlign w:val="center"/>
                </w:tcPr>
                <w:p w14:paraId="623E5A05">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14.1</w:t>
                  </w:r>
                </w:p>
              </w:tc>
              <w:tc>
                <w:tcPr>
                  <w:tcW w:w="494" w:type="dxa"/>
                  <w:shd w:val="clear" w:color="auto" w:fill="FFFFFF"/>
                  <w:tcMar>
                    <w:top w:w="0" w:type="dxa"/>
                    <w:left w:w="0" w:type="dxa"/>
                    <w:bottom w:w="0" w:type="dxa"/>
                    <w:right w:w="0" w:type="dxa"/>
                  </w:tcMar>
                  <w:vAlign w:val="center"/>
                </w:tcPr>
                <w:p w14:paraId="36A00E6B">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4" w:type="dxa"/>
                  <w:shd w:val="clear" w:color="auto" w:fill="FFFFFF"/>
                  <w:tcMar>
                    <w:top w:w="0" w:type="dxa"/>
                    <w:left w:w="0" w:type="dxa"/>
                    <w:bottom w:w="0" w:type="dxa"/>
                    <w:right w:w="0" w:type="dxa"/>
                  </w:tcMar>
                  <w:vAlign w:val="center"/>
                </w:tcPr>
                <w:p w14:paraId="0256343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4" w:type="dxa"/>
                  <w:shd w:val="clear" w:color="auto" w:fill="FFFFFF"/>
                  <w:tcMar>
                    <w:top w:w="0" w:type="dxa"/>
                    <w:left w:w="0" w:type="dxa"/>
                    <w:bottom w:w="0" w:type="dxa"/>
                    <w:right w:w="0" w:type="dxa"/>
                  </w:tcMar>
                  <w:vAlign w:val="center"/>
                </w:tcPr>
                <w:p w14:paraId="070A1CF1">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96" w:type="dxa"/>
                  <w:shd w:val="clear" w:color="auto" w:fill="FFFFFF"/>
                  <w:tcMar>
                    <w:top w:w="0" w:type="dxa"/>
                    <w:left w:w="0" w:type="dxa"/>
                    <w:bottom w:w="0" w:type="dxa"/>
                    <w:right w:w="0" w:type="dxa"/>
                  </w:tcMar>
                  <w:vAlign w:val="center"/>
                </w:tcPr>
                <w:p w14:paraId="660E1B88">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73.2</w:t>
                  </w:r>
                </w:p>
              </w:tc>
              <w:tc>
                <w:tcPr>
                  <w:tcW w:w="470" w:type="dxa"/>
                  <w:shd w:val="clear" w:color="auto" w:fill="FFFFFF"/>
                  <w:tcMar>
                    <w:top w:w="0" w:type="dxa"/>
                    <w:left w:w="0" w:type="dxa"/>
                    <w:bottom w:w="0" w:type="dxa"/>
                    <w:right w:w="0" w:type="dxa"/>
                  </w:tcMar>
                  <w:vAlign w:val="center"/>
                </w:tcPr>
                <w:p w14:paraId="5F8B9FC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5h</w:t>
                  </w:r>
                </w:p>
              </w:tc>
              <w:tc>
                <w:tcPr>
                  <w:tcW w:w="477" w:type="dxa"/>
                  <w:shd w:val="clear" w:color="auto" w:fill="FFFFFF"/>
                  <w:tcMar>
                    <w:top w:w="0" w:type="dxa"/>
                    <w:left w:w="0" w:type="dxa"/>
                    <w:bottom w:w="0" w:type="dxa"/>
                    <w:right w:w="0" w:type="dxa"/>
                  </w:tcMar>
                  <w:vAlign w:val="center"/>
                </w:tcPr>
                <w:p w14:paraId="5813CD8B">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7A0F3C9C">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26.0</w:t>
                  </w:r>
                </w:p>
              </w:tc>
              <w:tc>
                <w:tcPr>
                  <w:tcW w:w="477" w:type="dxa"/>
                  <w:shd w:val="clear" w:color="auto" w:fill="FFFFFF"/>
                  <w:tcMar>
                    <w:top w:w="0" w:type="dxa"/>
                    <w:left w:w="0" w:type="dxa"/>
                    <w:bottom w:w="0" w:type="dxa"/>
                    <w:right w:w="0" w:type="dxa"/>
                  </w:tcMar>
                  <w:vAlign w:val="center"/>
                </w:tcPr>
                <w:p w14:paraId="0F6ACCE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16.0</w:t>
                  </w:r>
                </w:p>
              </w:tc>
              <w:tc>
                <w:tcPr>
                  <w:tcW w:w="477" w:type="dxa"/>
                  <w:shd w:val="clear" w:color="auto" w:fill="FFFFFF"/>
                  <w:tcMar>
                    <w:top w:w="0" w:type="dxa"/>
                    <w:left w:w="0" w:type="dxa"/>
                    <w:bottom w:w="0" w:type="dxa"/>
                    <w:right w:w="0" w:type="dxa"/>
                  </w:tcMar>
                  <w:vAlign w:val="center"/>
                </w:tcPr>
                <w:p w14:paraId="3DF2D0F4">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16.0</w:t>
                  </w:r>
                </w:p>
              </w:tc>
              <w:tc>
                <w:tcPr>
                  <w:tcW w:w="505" w:type="dxa"/>
                  <w:shd w:val="clear" w:color="auto" w:fill="FFFFFF"/>
                  <w:tcMar>
                    <w:top w:w="0" w:type="dxa"/>
                    <w:left w:w="0" w:type="dxa"/>
                    <w:bottom w:w="0" w:type="dxa"/>
                    <w:right w:w="0" w:type="dxa"/>
                  </w:tcMar>
                  <w:vAlign w:val="center"/>
                </w:tcPr>
                <w:p w14:paraId="58944D62">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47.2</w:t>
                  </w:r>
                </w:p>
              </w:tc>
              <w:tc>
                <w:tcPr>
                  <w:tcW w:w="505" w:type="dxa"/>
                  <w:shd w:val="clear" w:color="auto" w:fill="FFFFFF"/>
                  <w:tcMar>
                    <w:top w:w="0" w:type="dxa"/>
                    <w:left w:w="0" w:type="dxa"/>
                    <w:bottom w:w="0" w:type="dxa"/>
                    <w:right w:w="0" w:type="dxa"/>
                  </w:tcMar>
                  <w:vAlign w:val="center"/>
                </w:tcPr>
                <w:p w14:paraId="750874BE">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47.2</w:t>
                  </w:r>
                </w:p>
              </w:tc>
              <w:tc>
                <w:tcPr>
                  <w:tcW w:w="505" w:type="dxa"/>
                  <w:shd w:val="clear" w:color="auto" w:fill="FFFFFF"/>
                  <w:tcMar>
                    <w:top w:w="0" w:type="dxa"/>
                    <w:left w:w="0" w:type="dxa"/>
                    <w:bottom w:w="0" w:type="dxa"/>
                    <w:right w:w="0" w:type="dxa"/>
                  </w:tcMar>
                  <w:vAlign w:val="center"/>
                </w:tcPr>
                <w:p w14:paraId="54E0D9DE">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57.2</w:t>
                  </w:r>
                </w:p>
              </w:tc>
              <w:tc>
                <w:tcPr>
                  <w:tcW w:w="506" w:type="dxa"/>
                  <w:shd w:val="clear" w:color="auto" w:fill="FFFFFF"/>
                  <w:tcMar>
                    <w:top w:w="0" w:type="dxa"/>
                    <w:left w:w="0" w:type="dxa"/>
                    <w:bottom w:w="0" w:type="dxa"/>
                    <w:right w:w="0" w:type="dxa"/>
                  </w:tcMar>
                  <w:vAlign w:val="center"/>
                </w:tcPr>
                <w:p w14:paraId="071CB353">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57.2</w:t>
                  </w:r>
                </w:p>
              </w:tc>
              <w:tc>
                <w:tcPr>
                  <w:tcW w:w="698" w:type="dxa"/>
                  <w:shd w:val="clear" w:color="auto" w:fill="FFFFFF"/>
                  <w:tcMar>
                    <w:top w:w="0" w:type="dxa"/>
                    <w:left w:w="0" w:type="dxa"/>
                    <w:bottom w:w="0" w:type="dxa"/>
                    <w:right w:w="0" w:type="dxa"/>
                  </w:tcMar>
                  <w:vAlign w:val="center"/>
                </w:tcPr>
                <w:p w14:paraId="1AE6A926">
                  <w:pPr>
                    <w:spacing w:beforeAutospacing="0" w:afterAutospacing="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w:t>
                  </w:r>
                </w:p>
              </w:tc>
            </w:tr>
            <w:tr w14:paraId="2F5E3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5A857565">
                  <w:pPr>
                    <w:spacing w:beforeAutospacing="0" w:afterAutospacing="0"/>
                    <w:ind w:left="0" w:leftChars="0" w:right="0" w:rightChars="0"/>
                    <w:jc w:val="center"/>
                    <w:rPr>
                      <w:rFonts w:hint="default" w:ascii="Times New Roman" w:hAnsi="Times New Roman" w:eastAsia="宋体"/>
                      <w:sz w:val="21"/>
                      <w:szCs w:val="21"/>
                    </w:rPr>
                  </w:pPr>
                  <w:r>
                    <w:rPr>
                      <w:rFonts w:hint="default" w:ascii="Times New Roman" w:hAnsi="Times New Roman" w:eastAsia="宋体" w:cs="Arial"/>
                      <w:sz w:val="21"/>
                      <w:szCs w:val="21"/>
                    </w:rPr>
                    <w:t>5</w:t>
                  </w:r>
                </w:p>
              </w:tc>
              <w:tc>
                <w:tcPr>
                  <w:tcW w:w="571" w:type="dxa"/>
                  <w:shd w:val="clear" w:color="auto" w:fill="FFFFFF"/>
                  <w:tcMar>
                    <w:top w:w="0" w:type="dxa"/>
                    <w:left w:w="0" w:type="dxa"/>
                    <w:bottom w:w="0" w:type="dxa"/>
                    <w:right w:w="0" w:type="dxa"/>
                  </w:tcMar>
                  <w:vAlign w:val="center"/>
                </w:tcPr>
                <w:p w14:paraId="6F061BC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吹塑机</w:t>
                  </w:r>
                </w:p>
              </w:tc>
              <w:tc>
                <w:tcPr>
                  <w:tcW w:w="676" w:type="dxa"/>
                  <w:shd w:val="clear" w:color="auto" w:fill="FFFFFF"/>
                  <w:tcMar>
                    <w:top w:w="0" w:type="dxa"/>
                    <w:left w:w="0" w:type="dxa"/>
                    <w:bottom w:w="0" w:type="dxa"/>
                    <w:right w:w="0" w:type="dxa"/>
                  </w:tcMar>
                  <w:vAlign w:val="center"/>
                </w:tcPr>
                <w:p w14:paraId="62C03F0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80</w:t>
                  </w:r>
                </w:p>
              </w:tc>
              <w:tc>
                <w:tcPr>
                  <w:tcW w:w="586" w:type="dxa"/>
                  <w:vMerge w:val="continue"/>
                  <w:shd w:val="clear" w:color="auto" w:fill="FFFFFF"/>
                  <w:tcMar>
                    <w:top w:w="0" w:type="dxa"/>
                    <w:left w:w="0" w:type="dxa"/>
                    <w:bottom w:w="0" w:type="dxa"/>
                    <w:right w:w="0" w:type="dxa"/>
                  </w:tcMar>
                  <w:vAlign w:val="center"/>
                </w:tcPr>
                <w:p w14:paraId="1B4680CF">
                  <w:pPr>
                    <w:spacing w:beforeAutospacing="0" w:afterAutospacing="0"/>
                    <w:jc w:val="center"/>
                    <w:rPr>
                      <w:rFonts w:hint="default" w:ascii="Times New Roman" w:hAnsi="Times New Roman" w:eastAsia="宋体"/>
                      <w:sz w:val="21"/>
                      <w:szCs w:val="21"/>
                    </w:rPr>
                  </w:pPr>
                </w:p>
              </w:tc>
              <w:tc>
                <w:tcPr>
                  <w:tcW w:w="604" w:type="dxa"/>
                  <w:shd w:val="clear" w:color="auto" w:fill="FFFFFF"/>
                  <w:tcMar>
                    <w:top w:w="0" w:type="dxa"/>
                    <w:left w:w="0" w:type="dxa"/>
                    <w:bottom w:w="0" w:type="dxa"/>
                    <w:right w:w="0" w:type="dxa"/>
                  </w:tcMar>
                  <w:vAlign w:val="center"/>
                </w:tcPr>
                <w:p w14:paraId="6AC6D6A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17.1</w:t>
                  </w:r>
                </w:p>
              </w:tc>
              <w:tc>
                <w:tcPr>
                  <w:tcW w:w="604" w:type="dxa"/>
                  <w:shd w:val="clear" w:color="auto" w:fill="FFFFFF"/>
                  <w:tcMar>
                    <w:top w:w="0" w:type="dxa"/>
                    <w:left w:w="0" w:type="dxa"/>
                    <w:bottom w:w="0" w:type="dxa"/>
                    <w:right w:w="0" w:type="dxa"/>
                  </w:tcMar>
                  <w:vAlign w:val="center"/>
                </w:tcPr>
                <w:p w14:paraId="180A4AD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3.5</w:t>
                  </w:r>
                </w:p>
              </w:tc>
              <w:tc>
                <w:tcPr>
                  <w:tcW w:w="605" w:type="dxa"/>
                  <w:shd w:val="clear" w:color="auto" w:fill="FFFFFF"/>
                  <w:tcMar>
                    <w:top w:w="0" w:type="dxa"/>
                    <w:left w:w="0" w:type="dxa"/>
                    <w:bottom w:w="0" w:type="dxa"/>
                    <w:right w:w="0" w:type="dxa"/>
                  </w:tcMar>
                  <w:vAlign w:val="center"/>
                </w:tcPr>
                <w:p w14:paraId="1608D5E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433AF55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17.8</w:t>
                  </w:r>
                </w:p>
              </w:tc>
              <w:tc>
                <w:tcPr>
                  <w:tcW w:w="500" w:type="dxa"/>
                  <w:shd w:val="clear" w:color="auto" w:fill="FFFFFF"/>
                  <w:tcMar>
                    <w:top w:w="0" w:type="dxa"/>
                    <w:left w:w="0" w:type="dxa"/>
                    <w:bottom w:w="0" w:type="dxa"/>
                    <w:right w:w="0" w:type="dxa"/>
                  </w:tcMar>
                  <w:vAlign w:val="center"/>
                </w:tcPr>
                <w:p w14:paraId="79EE283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16.4</w:t>
                  </w:r>
                </w:p>
              </w:tc>
              <w:tc>
                <w:tcPr>
                  <w:tcW w:w="500" w:type="dxa"/>
                  <w:shd w:val="clear" w:color="auto" w:fill="FFFFFF"/>
                  <w:tcMar>
                    <w:top w:w="0" w:type="dxa"/>
                    <w:left w:w="0" w:type="dxa"/>
                    <w:bottom w:w="0" w:type="dxa"/>
                    <w:right w:w="0" w:type="dxa"/>
                  </w:tcMar>
                  <w:vAlign w:val="center"/>
                </w:tcPr>
                <w:p w14:paraId="32818E1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52.2</w:t>
                  </w:r>
                </w:p>
              </w:tc>
              <w:tc>
                <w:tcPr>
                  <w:tcW w:w="501" w:type="dxa"/>
                  <w:shd w:val="clear" w:color="auto" w:fill="FFFFFF"/>
                  <w:tcMar>
                    <w:top w:w="0" w:type="dxa"/>
                    <w:left w:w="0" w:type="dxa"/>
                    <w:bottom w:w="0" w:type="dxa"/>
                    <w:right w:w="0" w:type="dxa"/>
                  </w:tcMar>
                  <w:vAlign w:val="center"/>
                </w:tcPr>
                <w:p w14:paraId="3B459153">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9.9</w:t>
                  </w:r>
                </w:p>
              </w:tc>
              <w:tc>
                <w:tcPr>
                  <w:tcW w:w="494" w:type="dxa"/>
                  <w:shd w:val="clear" w:color="auto" w:fill="FFFFFF"/>
                  <w:tcMar>
                    <w:top w:w="0" w:type="dxa"/>
                    <w:left w:w="0" w:type="dxa"/>
                    <w:bottom w:w="0" w:type="dxa"/>
                    <w:right w:w="0" w:type="dxa"/>
                  </w:tcMar>
                  <w:vAlign w:val="center"/>
                </w:tcPr>
                <w:p w14:paraId="7D359A8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4" w:type="dxa"/>
                  <w:shd w:val="clear" w:color="auto" w:fill="FFFFFF"/>
                  <w:tcMar>
                    <w:top w:w="0" w:type="dxa"/>
                    <w:left w:w="0" w:type="dxa"/>
                    <w:bottom w:w="0" w:type="dxa"/>
                    <w:right w:w="0" w:type="dxa"/>
                  </w:tcMar>
                  <w:vAlign w:val="center"/>
                </w:tcPr>
                <w:p w14:paraId="2B4645D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4" w:type="dxa"/>
                  <w:shd w:val="clear" w:color="auto" w:fill="FFFFFF"/>
                  <w:tcMar>
                    <w:top w:w="0" w:type="dxa"/>
                    <w:left w:w="0" w:type="dxa"/>
                    <w:bottom w:w="0" w:type="dxa"/>
                    <w:right w:w="0" w:type="dxa"/>
                  </w:tcMar>
                  <w:vAlign w:val="center"/>
                </w:tcPr>
                <w:p w14:paraId="45C79997">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6" w:type="dxa"/>
                  <w:shd w:val="clear" w:color="auto" w:fill="FFFFFF"/>
                  <w:tcMar>
                    <w:top w:w="0" w:type="dxa"/>
                    <w:left w:w="0" w:type="dxa"/>
                    <w:bottom w:w="0" w:type="dxa"/>
                    <w:right w:w="0" w:type="dxa"/>
                  </w:tcMar>
                  <w:vAlign w:val="center"/>
                </w:tcPr>
                <w:p w14:paraId="1C9AE95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70" w:type="dxa"/>
                  <w:shd w:val="clear" w:color="auto" w:fill="FFFFFF"/>
                  <w:tcMar>
                    <w:top w:w="0" w:type="dxa"/>
                    <w:left w:w="0" w:type="dxa"/>
                    <w:bottom w:w="0" w:type="dxa"/>
                    <w:right w:w="0" w:type="dxa"/>
                  </w:tcMar>
                  <w:vAlign w:val="center"/>
                </w:tcPr>
                <w:p w14:paraId="2B994204">
                  <w:pPr>
                    <w:spacing w:beforeAutospacing="0" w:afterAutospacing="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6h</w:t>
                  </w:r>
                </w:p>
              </w:tc>
              <w:tc>
                <w:tcPr>
                  <w:tcW w:w="477" w:type="dxa"/>
                  <w:shd w:val="clear" w:color="auto" w:fill="FFFFFF"/>
                  <w:tcMar>
                    <w:top w:w="0" w:type="dxa"/>
                    <w:left w:w="0" w:type="dxa"/>
                    <w:bottom w:w="0" w:type="dxa"/>
                    <w:right w:w="0" w:type="dxa"/>
                  </w:tcMar>
                  <w:vAlign w:val="center"/>
                </w:tcPr>
                <w:p w14:paraId="5790926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FE6277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6F49CA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098E5AF8">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505" w:type="dxa"/>
                  <w:shd w:val="clear" w:color="auto" w:fill="FFFFFF"/>
                  <w:tcMar>
                    <w:top w:w="0" w:type="dxa"/>
                    <w:left w:w="0" w:type="dxa"/>
                    <w:bottom w:w="0" w:type="dxa"/>
                    <w:right w:w="0" w:type="dxa"/>
                  </w:tcMar>
                  <w:vAlign w:val="center"/>
                </w:tcPr>
                <w:p w14:paraId="2C19DB6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505" w:type="dxa"/>
                  <w:shd w:val="clear" w:color="auto" w:fill="FFFFFF"/>
                  <w:tcMar>
                    <w:top w:w="0" w:type="dxa"/>
                    <w:left w:w="0" w:type="dxa"/>
                    <w:bottom w:w="0" w:type="dxa"/>
                    <w:right w:w="0" w:type="dxa"/>
                  </w:tcMar>
                  <w:vAlign w:val="center"/>
                </w:tcPr>
                <w:p w14:paraId="4A5BA7C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505" w:type="dxa"/>
                  <w:shd w:val="clear" w:color="auto" w:fill="FFFFFF"/>
                  <w:tcMar>
                    <w:top w:w="0" w:type="dxa"/>
                    <w:left w:w="0" w:type="dxa"/>
                    <w:bottom w:w="0" w:type="dxa"/>
                    <w:right w:w="0" w:type="dxa"/>
                  </w:tcMar>
                  <w:vAlign w:val="center"/>
                </w:tcPr>
                <w:p w14:paraId="2F93BAD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52.2</w:t>
                  </w:r>
                </w:p>
              </w:tc>
              <w:tc>
                <w:tcPr>
                  <w:tcW w:w="506" w:type="dxa"/>
                  <w:shd w:val="clear" w:color="auto" w:fill="FFFFFF"/>
                  <w:tcMar>
                    <w:top w:w="0" w:type="dxa"/>
                    <w:left w:w="0" w:type="dxa"/>
                    <w:bottom w:w="0" w:type="dxa"/>
                    <w:right w:w="0" w:type="dxa"/>
                  </w:tcMar>
                  <w:vAlign w:val="center"/>
                </w:tcPr>
                <w:p w14:paraId="58F5C00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698" w:type="dxa"/>
                  <w:shd w:val="clear" w:color="auto" w:fill="FFFFFF"/>
                  <w:tcMar>
                    <w:top w:w="0" w:type="dxa"/>
                    <w:left w:w="0" w:type="dxa"/>
                    <w:bottom w:w="0" w:type="dxa"/>
                    <w:right w:w="0" w:type="dxa"/>
                  </w:tcMar>
                  <w:vAlign w:val="center"/>
                </w:tcPr>
                <w:p w14:paraId="57725FA1">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r>
            <w:tr w14:paraId="100B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7A22CB8B">
                  <w:pPr>
                    <w:spacing w:beforeAutospacing="0" w:afterAutospacing="0"/>
                    <w:ind w:left="0" w:leftChars="0" w:right="0" w:rightChars="0"/>
                    <w:jc w:val="center"/>
                    <w:rPr>
                      <w:rFonts w:hint="default" w:ascii="Times New Roman" w:hAnsi="Times New Roman" w:eastAsia="宋体"/>
                      <w:sz w:val="21"/>
                      <w:szCs w:val="21"/>
                    </w:rPr>
                  </w:pPr>
                  <w:r>
                    <w:rPr>
                      <w:rFonts w:hint="eastAsia" w:ascii="Times New Roman" w:hAnsi="Times New Roman" w:cs="Arial"/>
                      <w:sz w:val="21"/>
                      <w:szCs w:val="21"/>
                      <w:lang w:val="en-US" w:eastAsia="zh-CN"/>
                    </w:rPr>
                    <w:t>6</w:t>
                  </w:r>
                </w:p>
              </w:tc>
              <w:tc>
                <w:tcPr>
                  <w:tcW w:w="571" w:type="dxa"/>
                  <w:shd w:val="clear" w:color="auto" w:fill="FFFFFF"/>
                  <w:tcMar>
                    <w:top w:w="0" w:type="dxa"/>
                    <w:left w:w="0" w:type="dxa"/>
                    <w:bottom w:w="0" w:type="dxa"/>
                    <w:right w:w="0" w:type="dxa"/>
                  </w:tcMar>
                  <w:vAlign w:val="center"/>
                </w:tcPr>
                <w:p w14:paraId="62E3AC9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吹塑机</w:t>
                  </w:r>
                </w:p>
              </w:tc>
              <w:tc>
                <w:tcPr>
                  <w:tcW w:w="676" w:type="dxa"/>
                  <w:shd w:val="clear" w:color="auto" w:fill="FFFFFF"/>
                  <w:tcMar>
                    <w:top w:w="0" w:type="dxa"/>
                    <w:left w:w="0" w:type="dxa"/>
                    <w:bottom w:w="0" w:type="dxa"/>
                    <w:right w:w="0" w:type="dxa"/>
                  </w:tcMar>
                  <w:vAlign w:val="center"/>
                </w:tcPr>
                <w:p w14:paraId="09C85567">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80</w:t>
                  </w:r>
                </w:p>
              </w:tc>
              <w:tc>
                <w:tcPr>
                  <w:tcW w:w="586" w:type="dxa"/>
                  <w:vMerge w:val="continue"/>
                  <w:shd w:val="clear" w:color="auto" w:fill="FFFFFF"/>
                  <w:tcMar>
                    <w:top w:w="0" w:type="dxa"/>
                    <w:left w:w="0" w:type="dxa"/>
                    <w:bottom w:w="0" w:type="dxa"/>
                    <w:right w:w="0" w:type="dxa"/>
                  </w:tcMar>
                  <w:vAlign w:val="center"/>
                </w:tcPr>
                <w:p w14:paraId="1FEA9ED7">
                  <w:pPr>
                    <w:spacing w:beforeAutospacing="0" w:afterAutospacing="0"/>
                    <w:jc w:val="center"/>
                    <w:rPr>
                      <w:rFonts w:hint="default" w:ascii="Times New Roman" w:hAnsi="Times New Roman" w:eastAsia="宋体"/>
                      <w:sz w:val="21"/>
                      <w:szCs w:val="21"/>
                    </w:rPr>
                  </w:pPr>
                </w:p>
              </w:tc>
              <w:tc>
                <w:tcPr>
                  <w:tcW w:w="604" w:type="dxa"/>
                  <w:shd w:val="clear" w:color="auto" w:fill="FFFFFF"/>
                  <w:tcMar>
                    <w:top w:w="0" w:type="dxa"/>
                    <w:left w:w="0" w:type="dxa"/>
                    <w:bottom w:w="0" w:type="dxa"/>
                    <w:right w:w="0" w:type="dxa"/>
                  </w:tcMar>
                  <w:vAlign w:val="center"/>
                </w:tcPr>
                <w:p w14:paraId="07269A6D">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17.1</w:t>
                  </w:r>
                </w:p>
              </w:tc>
              <w:tc>
                <w:tcPr>
                  <w:tcW w:w="604" w:type="dxa"/>
                  <w:shd w:val="clear" w:color="auto" w:fill="FFFFFF"/>
                  <w:tcMar>
                    <w:top w:w="0" w:type="dxa"/>
                    <w:left w:w="0" w:type="dxa"/>
                    <w:bottom w:w="0" w:type="dxa"/>
                    <w:right w:w="0" w:type="dxa"/>
                  </w:tcMar>
                  <w:vAlign w:val="center"/>
                </w:tcPr>
                <w:p w14:paraId="67B587F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-2.2</w:t>
                  </w:r>
                </w:p>
              </w:tc>
              <w:tc>
                <w:tcPr>
                  <w:tcW w:w="605" w:type="dxa"/>
                  <w:shd w:val="clear" w:color="auto" w:fill="FFFFFF"/>
                  <w:tcMar>
                    <w:top w:w="0" w:type="dxa"/>
                    <w:left w:w="0" w:type="dxa"/>
                    <w:bottom w:w="0" w:type="dxa"/>
                    <w:right w:w="0" w:type="dxa"/>
                  </w:tcMar>
                  <w:vAlign w:val="center"/>
                </w:tcPr>
                <w:p w14:paraId="57E02BF7">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62D3A463">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17.8</w:t>
                  </w:r>
                </w:p>
              </w:tc>
              <w:tc>
                <w:tcPr>
                  <w:tcW w:w="500" w:type="dxa"/>
                  <w:shd w:val="clear" w:color="auto" w:fill="FFFFFF"/>
                  <w:tcMar>
                    <w:top w:w="0" w:type="dxa"/>
                    <w:left w:w="0" w:type="dxa"/>
                    <w:bottom w:w="0" w:type="dxa"/>
                    <w:right w:w="0" w:type="dxa"/>
                  </w:tcMar>
                  <w:vAlign w:val="center"/>
                </w:tcPr>
                <w:p w14:paraId="5FA6902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10.7</w:t>
                  </w:r>
                </w:p>
              </w:tc>
              <w:tc>
                <w:tcPr>
                  <w:tcW w:w="500" w:type="dxa"/>
                  <w:shd w:val="clear" w:color="auto" w:fill="FFFFFF"/>
                  <w:tcMar>
                    <w:top w:w="0" w:type="dxa"/>
                    <w:left w:w="0" w:type="dxa"/>
                    <w:bottom w:w="0" w:type="dxa"/>
                    <w:right w:w="0" w:type="dxa"/>
                  </w:tcMar>
                  <w:vAlign w:val="center"/>
                </w:tcPr>
                <w:p w14:paraId="4FE9442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52.3</w:t>
                  </w:r>
                </w:p>
              </w:tc>
              <w:tc>
                <w:tcPr>
                  <w:tcW w:w="501" w:type="dxa"/>
                  <w:shd w:val="clear" w:color="auto" w:fill="FFFFFF"/>
                  <w:tcMar>
                    <w:top w:w="0" w:type="dxa"/>
                    <w:left w:w="0" w:type="dxa"/>
                    <w:bottom w:w="0" w:type="dxa"/>
                    <w:right w:w="0" w:type="dxa"/>
                  </w:tcMar>
                  <w:vAlign w:val="center"/>
                </w:tcPr>
                <w:p w14:paraId="6FD4B60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15.6</w:t>
                  </w:r>
                </w:p>
              </w:tc>
              <w:tc>
                <w:tcPr>
                  <w:tcW w:w="494" w:type="dxa"/>
                  <w:shd w:val="clear" w:color="auto" w:fill="FFFFFF"/>
                  <w:tcMar>
                    <w:top w:w="0" w:type="dxa"/>
                    <w:left w:w="0" w:type="dxa"/>
                    <w:bottom w:w="0" w:type="dxa"/>
                    <w:right w:w="0" w:type="dxa"/>
                  </w:tcMar>
                  <w:vAlign w:val="center"/>
                </w:tcPr>
                <w:p w14:paraId="632B50E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4" w:type="dxa"/>
                  <w:shd w:val="clear" w:color="auto" w:fill="FFFFFF"/>
                  <w:tcMar>
                    <w:top w:w="0" w:type="dxa"/>
                    <w:left w:w="0" w:type="dxa"/>
                    <w:bottom w:w="0" w:type="dxa"/>
                    <w:right w:w="0" w:type="dxa"/>
                  </w:tcMar>
                  <w:vAlign w:val="center"/>
                </w:tcPr>
                <w:p w14:paraId="07A9A6E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4" w:type="dxa"/>
                  <w:shd w:val="clear" w:color="auto" w:fill="FFFFFF"/>
                  <w:tcMar>
                    <w:top w:w="0" w:type="dxa"/>
                    <w:left w:w="0" w:type="dxa"/>
                    <w:bottom w:w="0" w:type="dxa"/>
                    <w:right w:w="0" w:type="dxa"/>
                  </w:tcMar>
                  <w:vAlign w:val="center"/>
                </w:tcPr>
                <w:p w14:paraId="244D0A71">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96" w:type="dxa"/>
                  <w:shd w:val="clear" w:color="auto" w:fill="FFFFFF"/>
                  <w:tcMar>
                    <w:top w:w="0" w:type="dxa"/>
                    <w:left w:w="0" w:type="dxa"/>
                    <w:bottom w:w="0" w:type="dxa"/>
                    <w:right w:w="0" w:type="dxa"/>
                  </w:tcMar>
                  <w:vAlign w:val="center"/>
                </w:tcPr>
                <w:p w14:paraId="738375E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68.2</w:t>
                  </w:r>
                </w:p>
              </w:tc>
              <w:tc>
                <w:tcPr>
                  <w:tcW w:w="470" w:type="dxa"/>
                  <w:shd w:val="clear" w:color="auto" w:fill="FFFFFF"/>
                  <w:tcMar>
                    <w:top w:w="0" w:type="dxa"/>
                    <w:left w:w="0" w:type="dxa"/>
                    <w:bottom w:w="0" w:type="dxa"/>
                    <w:right w:w="0" w:type="dxa"/>
                  </w:tcMar>
                  <w:vAlign w:val="center"/>
                </w:tcPr>
                <w:p w14:paraId="512F2E51">
                  <w:pPr>
                    <w:spacing w:beforeAutospacing="0" w:afterAutospacing="0"/>
                    <w:ind w:left="0" w:leftChars="0" w:right="0" w:rightChars="0"/>
                    <w:jc w:val="center"/>
                    <w:rPr>
                      <w:rFonts w:hint="default" w:ascii="Times New Roman" w:hAnsi="Times New Roman" w:eastAsia="宋体"/>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6h</w:t>
                  </w:r>
                </w:p>
              </w:tc>
              <w:tc>
                <w:tcPr>
                  <w:tcW w:w="477" w:type="dxa"/>
                  <w:shd w:val="clear" w:color="auto" w:fill="FFFFFF"/>
                  <w:tcMar>
                    <w:top w:w="0" w:type="dxa"/>
                    <w:left w:w="0" w:type="dxa"/>
                    <w:bottom w:w="0" w:type="dxa"/>
                    <w:right w:w="0" w:type="dxa"/>
                  </w:tcMar>
                  <w:vAlign w:val="center"/>
                </w:tcPr>
                <w:p w14:paraId="2777FA6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2D606CD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74FE24B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5C44AA0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505" w:type="dxa"/>
                  <w:shd w:val="clear" w:color="auto" w:fill="FFFFFF"/>
                  <w:tcMar>
                    <w:top w:w="0" w:type="dxa"/>
                    <w:left w:w="0" w:type="dxa"/>
                    <w:bottom w:w="0" w:type="dxa"/>
                    <w:right w:w="0" w:type="dxa"/>
                  </w:tcMar>
                  <w:vAlign w:val="center"/>
                </w:tcPr>
                <w:p w14:paraId="45E1C4A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505" w:type="dxa"/>
                  <w:shd w:val="clear" w:color="auto" w:fill="FFFFFF"/>
                  <w:tcMar>
                    <w:top w:w="0" w:type="dxa"/>
                    <w:left w:w="0" w:type="dxa"/>
                    <w:bottom w:w="0" w:type="dxa"/>
                    <w:right w:w="0" w:type="dxa"/>
                  </w:tcMar>
                  <w:vAlign w:val="center"/>
                </w:tcPr>
                <w:p w14:paraId="0CF7BFC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505" w:type="dxa"/>
                  <w:shd w:val="clear" w:color="auto" w:fill="FFFFFF"/>
                  <w:tcMar>
                    <w:top w:w="0" w:type="dxa"/>
                    <w:left w:w="0" w:type="dxa"/>
                    <w:bottom w:w="0" w:type="dxa"/>
                    <w:right w:w="0" w:type="dxa"/>
                  </w:tcMar>
                  <w:vAlign w:val="center"/>
                </w:tcPr>
                <w:p w14:paraId="7E412CA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52.2</w:t>
                  </w:r>
                </w:p>
              </w:tc>
              <w:tc>
                <w:tcPr>
                  <w:tcW w:w="506" w:type="dxa"/>
                  <w:shd w:val="clear" w:color="auto" w:fill="FFFFFF"/>
                  <w:tcMar>
                    <w:top w:w="0" w:type="dxa"/>
                    <w:left w:w="0" w:type="dxa"/>
                    <w:bottom w:w="0" w:type="dxa"/>
                    <w:right w:w="0" w:type="dxa"/>
                  </w:tcMar>
                  <w:vAlign w:val="center"/>
                </w:tcPr>
                <w:p w14:paraId="589F566A">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42.2</w:t>
                  </w:r>
                </w:p>
              </w:tc>
              <w:tc>
                <w:tcPr>
                  <w:tcW w:w="698" w:type="dxa"/>
                  <w:shd w:val="clear" w:color="auto" w:fill="FFFFFF"/>
                  <w:tcMar>
                    <w:top w:w="0" w:type="dxa"/>
                    <w:left w:w="0" w:type="dxa"/>
                    <w:bottom w:w="0" w:type="dxa"/>
                    <w:right w:w="0" w:type="dxa"/>
                  </w:tcMar>
                  <w:vAlign w:val="center"/>
                </w:tcPr>
                <w:p w14:paraId="6460D883">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r>
            <w:tr w14:paraId="4F6F6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49C47F23">
                  <w:pPr>
                    <w:spacing w:beforeAutospacing="0" w:afterAutospacing="0"/>
                    <w:jc w:val="center"/>
                    <w:rPr>
                      <w:rFonts w:hint="eastAsia" w:ascii="Times New Roman" w:hAnsi="Times New Roman" w:eastAsia="宋体"/>
                      <w:sz w:val="21"/>
                      <w:szCs w:val="21"/>
                      <w:lang w:eastAsia="zh-CN"/>
                    </w:rPr>
                  </w:pPr>
                  <w:r>
                    <w:rPr>
                      <w:rFonts w:hint="eastAsia" w:ascii="Times New Roman" w:hAnsi="Times New Roman" w:cs="Arial"/>
                      <w:sz w:val="21"/>
                      <w:szCs w:val="21"/>
                      <w:lang w:val="en-US" w:eastAsia="zh-CN"/>
                    </w:rPr>
                    <w:t>7</w:t>
                  </w:r>
                </w:p>
              </w:tc>
              <w:tc>
                <w:tcPr>
                  <w:tcW w:w="571" w:type="dxa"/>
                  <w:shd w:val="clear" w:color="auto" w:fill="FFFFFF"/>
                  <w:tcMar>
                    <w:top w:w="0" w:type="dxa"/>
                    <w:left w:w="0" w:type="dxa"/>
                    <w:bottom w:w="0" w:type="dxa"/>
                    <w:right w:w="0" w:type="dxa"/>
                  </w:tcMar>
                  <w:vAlign w:val="center"/>
                </w:tcPr>
                <w:p w14:paraId="0646165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空压机</w:t>
                  </w:r>
                </w:p>
              </w:tc>
              <w:tc>
                <w:tcPr>
                  <w:tcW w:w="676" w:type="dxa"/>
                  <w:shd w:val="clear" w:color="auto" w:fill="FFFFFF"/>
                  <w:tcMar>
                    <w:top w:w="0" w:type="dxa"/>
                    <w:left w:w="0" w:type="dxa"/>
                    <w:bottom w:w="0" w:type="dxa"/>
                    <w:right w:w="0" w:type="dxa"/>
                  </w:tcMar>
                  <w:vAlign w:val="center"/>
                </w:tcPr>
                <w:p w14:paraId="777D521C">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75</w:t>
                  </w:r>
                </w:p>
              </w:tc>
              <w:tc>
                <w:tcPr>
                  <w:tcW w:w="586" w:type="dxa"/>
                  <w:vMerge w:val="continue"/>
                  <w:shd w:val="clear" w:color="auto" w:fill="FFFFFF"/>
                  <w:tcMar>
                    <w:top w:w="0" w:type="dxa"/>
                    <w:left w:w="0" w:type="dxa"/>
                    <w:bottom w:w="0" w:type="dxa"/>
                    <w:right w:w="0" w:type="dxa"/>
                  </w:tcMar>
                  <w:vAlign w:val="center"/>
                </w:tcPr>
                <w:p w14:paraId="2C259375">
                  <w:pPr>
                    <w:spacing w:beforeAutospacing="0" w:afterAutospacing="0"/>
                    <w:jc w:val="center"/>
                    <w:rPr>
                      <w:rFonts w:hint="eastAsia" w:ascii="Times New Roman" w:hAnsi="Times New Roman" w:eastAsia="宋体"/>
                      <w:sz w:val="21"/>
                      <w:szCs w:val="21"/>
                      <w:lang w:val="en-US" w:eastAsia="zh-CN"/>
                    </w:rPr>
                  </w:pPr>
                </w:p>
              </w:tc>
              <w:tc>
                <w:tcPr>
                  <w:tcW w:w="604" w:type="dxa"/>
                  <w:shd w:val="clear" w:color="auto" w:fill="FFFFFF"/>
                  <w:tcMar>
                    <w:top w:w="0" w:type="dxa"/>
                    <w:left w:w="0" w:type="dxa"/>
                    <w:bottom w:w="0" w:type="dxa"/>
                    <w:right w:w="0" w:type="dxa"/>
                  </w:tcMar>
                  <w:vAlign w:val="center"/>
                </w:tcPr>
                <w:p w14:paraId="1A4F903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30.9</w:t>
                  </w:r>
                </w:p>
              </w:tc>
              <w:tc>
                <w:tcPr>
                  <w:tcW w:w="604" w:type="dxa"/>
                  <w:shd w:val="clear" w:color="auto" w:fill="FFFFFF"/>
                  <w:tcMar>
                    <w:top w:w="0" w:type="dxa"/>
                    <w:left w:w="0" w:type="dxa"/>
                    <w:bottom w:w="0" w:type="dxa"/>
                    <w:right w:w="0" w:type="dxa"/>
                  </w:tcMar>
                  <w:vAlign w:val="center"/>
                </w:tcPr>
                <w:p w14:paraId="007227A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0</w:t>
                  </w:r>
                </w:p>
              </w:tc>
              <w:tc>
                <w:tcPr>
                  <w:tcW w:w="605" w:type="dxa"/>
                  <w:shd w:val="clear" w:color="auto" w:fill="FFFFFF"/>
                  <w:tcMar>
                    <w:top w:w="0" w:type="dxa"/>
                    <w:left w:w="0" w:type="dxa"/>
                    <w:bottom w:w="0" w:type="dxa"/>
                    <w:right w:w="0" w:type="dxa"/>
                  </w:tcMar>
                  <w:vAlign w:val="center"/>
                </w:tcPr>
                <w:p w14:paraId="6F7E8D4E">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5884E156">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4.0</w:t>
                  </w:r>
                </w:p>
              </w:tc>
              <w:tc>
                <w:tcPr>
                  <w:tcW w:w="500" w:type="dxa"/>
                  <w:shd w:val="clear" w:color="auto" w:fill="FFFFFF"/>
                  <w:tcMar>
                    <w:top w:w="0" w:type="dxa"/>
                    <w:left w:w="0" w:type="dxa"/>
                    <w:bottom w:w="0" w:type="dxa"/>
                    <w:right w:w="0" w:type="dxa"/>
                  </w:tcMar>
                  <w:vAlign w:val="center"/>
                </w:tcPr>
                <w:p w14:paraId="31FCE6C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12.9</w:t>
                  </w:r>
                </w:p>
              </w:tc>
              <w:tc>
                <w:tcPr>
                  <w:tcW w:w="500" w:type="dxa"/>
                  <w:shd w:val="clear" w:color="auto" w:fill="FFFFFF"/>
                  <w:tcMar>
                    <w:top w:w="0" w:type="dxa"/>
                    <w:left w:w="0" w:type="dxa"/>
                    <w:bottom w:w="0" w:type="dxa"/>
                    <w:right w:w="0" w:type="dxa"/>
                  </w:tcMar>
                  <w:vAlign w:val="center"/>
                </w:tcPr>
                <w:p w14:paraId="57D55559">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66.0</w:t>
                  </w:r>
                </w:p>
              </w:tc>
              <w:tc>
                <w:tcPr>
                  <w:tcW w:w="501" w:type="dxa"/>
                  <w:shd w:val="clear" w:color="auto" w:fill="FFFFFF"/>
                  <w:tcMar>
                    <w:top w:w="0" w:type="dxa"/>
                    <w:left w:w="0" w:type="dxa"/>
                    <w:bottom w:w="0" w:type="dxa"/>
                    <w:right w:w="0" w:type="dxa"/>
                  </w:tcMar>
                  <w:vAlign w:val="center"/>
                </w:tcPr>
                <w:p w14:paraId="722BD60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13.4</w:t>
                  </w:r>
                </w:p>
              </w:tc>
              <w:tc>
                <w:tcPr>
                  <w:tcW w:w="494" w:type="dxa"/>
                  <w:shd w:val="clear" w:color="auto" w:fill="FFFFFF"/>
                  <w:tcMar>
                    <w:top w:w="0" w:type="dxa"/>
                    <w:left w:w="0" w:type="dxa"/>
                    <w:bottom w:w="0" w:type="dxa"/>
                    <w:right w:w="0" w:type="dxa"/>
                  </w:tcMar>
                  <w:vAlign w:val="center"/>
                </w:tcPr>
                <w:p w14:paraId="7EA62585">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63.5</w:t>
                  </w:r>
                </w:p>
              </w:tc>
              <w:tc>
                <w:tcPr>
                  <w:tcW w:w="494" w:type="dxa"/>
                  <w:shd w:val="clear" w:color="auto" w:fill="FFFFFF"/>
                  <w:tcMar>
                    <w:top w:w="0" w:type="dxa"/>
                    <w:left w:w="0" w:type="dxa"/>
                    <w:bottom w:w="0" w:type="dxa"/>
                    <w:right w:w="0" w:type="dxa"/>
                  </w:tcMar>
                  <w:vAlign w:val="center"/>
                </w:tcPr>
                <w:p w14:paraId="66796868">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63.2</w:t>
                  </w:r>
                </w:p>
              </w:tc>
              <w:tc>
                <w:tcPr>
                  <w:tcW w:w="494" w:type="dxa"/>
                  <w:shd w:val="clear" w:color="auto" w:fill="FFFFFF"/>
                  <w:tcMar>
                    <w:top w:w="0" w:type="dxa"/>
                    <w:left w:w="0" w:type="dxa"/>
                    <w:bottom w:w="0" w:type="dxa"/>
                    <w:right w:w="0" w:type="dxa"/>
                  </w:tcMar>
                  <w:vAlign w:val="center"/>
                </w:tcPr>
                <w:p w14:paraId="06740331">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63.2</w:t>
                  </w:r>
                </w:p>
              </w:tc>
              <w:tc>
                <w:tcPr>
                  <w:tcW w:w="496" w:type="dxa"/>
                  <w:shd w:val="clear" w:color="auto" w:fill="FFFFFF"/>
                  <w:tcMar>
                    <w:top w:w="0" w:type="dxa"/>
                    <w:left w:w="0" w:type="dxa"/>
                    <w:bottom w:w="0" w:type="dxa"/>
                    <w:right w:w="0" w:type="dxa"/>
                  </w:tcMar>
                  <w:vAlign w:val="center"/>
                </w:tcPr>
                <w:p w14:paraId="6A7E7B8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63.2</w:t>
                  </w:r>
                </w:p>
              </w:tc>
              <w:tc>
                <w:tcPr>
                  <w:tcW w:w="470" w:type="dxa"/>
                  <w:shd w:val="clear" w:color="auto" w:fill="FFFFFF"/>
                  <w:tcMar>
                    <w:top w:w="0" w:type="dxa"/>
                    <w:left w:w="0" w:type="dxa"/>
                    <w:bottom w:w="0" w:type="dxa"/>
                    <w:right w:w="0" w:type="dxa"/>
                  </w:tcMar>
                  <w:vAlign w:val="center"/>
                </w:tcPr>
                <w:p w14:paraId="711A22A4">
                  <w:pPr>
                    <w:spacing w:beforeAutospacing="0" w:afterAutospacing="0"/>
                    <w:ind w:left="0" w:leftChars="0" w:right="0" w:rightChars="0"/>
                    <w:jc w:val="center"/>
                    <w:rPr>
                      <w:rFonts w:hint="default" w:ascii="Times New Roman" w:hAnsi="Times New Roman" w:eastAsia="宋体"/>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6h</w:t>
                  </w:r>
                </w:p>
              </w:tc>
              <w:tc>
                <w:tcPr>
                  <w:tcW w:w="477" w:type="dxa"/>
                  <w:shd w:val="clear" w:color="auto" w:fill="FFFFFF"/>
                  <w:tcMar>
                    <w:top w:w="0" w:type="dxa"/>
                    <w:left w:w="0" w:type="dxa"/>
                    <w:bottom w:w="0" w:type="dxa"/>
                    <w:right w:w="0" w:type="dxa"/>
                  </w:tcMar>
                  <w:vAlign w:val="center"/>
                </w:tcPr>
                <w:p w14:paraId="4364D1F0">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435D84B">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35E8FE2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63D287B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26.0</w:t>
                  </w:r>
                </w:p>
              </w:tc>
              <w:tc>
                <w:tcPr>
                  <w:tcW w:w="505" w:type="dxa"/>
                  <w:shd w:val="clear" w:color="auto" w:fill="FFFFFF"/>
                  <w:tcMar>
                    <w:top w:w="0" w:type="dxa"/>
                    <w:left w:w="0" w:type="dxa"/>
                    <w:bottom w:w="0" w:type="dxa"/>
                    <w:right w:w="0" w:type="dxa"/>
                  </w:tcMar>
                  <w:vAlign w:val="center"/>
                </w:tcPr>
                <w:p w14:paraId="705B9911">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37.5</w:t>
                  </w:r>
                </w:p>
              </w:tc>
              <w:tc>
                <w:tcPr>
                  <w:tcW w:w="505" w:type="dxa"/>
                  <w:shd w:val="clear" w:color="auto" w:fill="FFFFFF"/>
                  <w:tcMar>
                    <w:top w:w="0" w:type="dxa"/>
                    <w:left w:w="0" w:type="dxa"/>
                    <w:bottom w:w="0" w:type="dxa"/>
                    <w:right w:w="0" w:type="dxa"/>
                  </w:tcMar>
                  <w:vAlign w:val="center"/>
                </w:tcPr>
                <w:p w14:paraId="6DA2F9F4">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37.2</w:t>
                  </w:r>
                </w:p>
              </w:tc>
              <w:tc>
                <w:tcPr>
                  <w:tcW w:w="505" w:type="dxa"/>
                  <w:shd w:val="clear" w:color="auto" w:fill="FFFFFF"/>
                  <w:tcMar>
                    <w:top w:w="0" w:type="dxa"/>
                    <w:left w:w="0" w:type="dxa"/>
                    <w:bottom w:w="0" w:type="dxa"/>
                    <w:right w:w="0" w:type="dxa"/>
                  </w:tcMar>
                  <w:vAlign w:val="center"/>
                </w:tcPr>
                <w:p w14:paraId="1CCA172F">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47.2</w:t>
                  </w:r>
                </w:p>
              </w:tc>
              <w:tc>
                <w:tcPr>
                  <w:tcW w:w="506" w:type="dxa"/>
                  <w:shd w:val="clear" w:color="auto" w:fill="FFFFFF"/>
                  <w:tcMar>
                    <w:top w:w="0" w:type="dxa"/>
                    <w:left w:w="0" w:type="dxa"/>
                    <w:bottom w:w="0" w:type="dxa"/>
                    <w:right w:w="0" w:type="dxa"/>
                  </w:tcMar>
                  <w:vAlign w:val="center"/>
                </w:tcPr>
                <w:p w14:paraId="71FDE538">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37.2</w:t>
                  </w:r>
                </w:p>
              </w:tc>
              <w:tc>
                <w:tcPr>
                  <w:tcW w:w="698" w:type="dxa"/>
                  <w:shd w:val="clear" w:color="auto" w:fill="FFFFFF"/>
                  <w:tcMar>
                    <w:top w:w="0" w:type="dxa"/>
                    <w:left w:w="0" w:type="dxa"/>
                    <w:bottom w:w="0" w:type="dxa"/>
                    <w:right w:w="0" w:type="dxa"/>
                  </w:tcMar>
                  <w:vAlign w:val="center"/>
                </w:tcPr>
                <w:p w14:paraId="02D4EB92">
                  <w:pPr>
                    <w:spacing w:beforeAutospacing="0" w:afterAutospacing="0"/>
                    <w:jc w:val="center"/>
                    <w:rPr>
                      <w:rFonts w:hint="default" w:ascii="Times New Roman" w:hAnsi="Times New Roman" w:eastAsia="宋体"/>
                      <w:sz w:val="21"/>
                      <w:szCs w:val="21"/>
                    </w:rPr>
                  </w:pPr>
                  <w:r>
                    <w:rPr>
                      <w:rFonts w:hint="default" w:ascii="Times New Roman" w:hAnsi="Times New Roman" w:eastAsia="宋体" w:cs="Arial"/>
                      <w:sz w:val="21"/>
                      <w:szCs w:val="21"/>
                    </w:rPr>
                    <w:t>1</w:t>
                  </w:r>
                </w:p>
              </w:tc>
            </w:tr>
            <w:tr w14:paraId="4080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423" w:type="dxa"/>
                  <w:shd w:val="clear" w:color="auto" w:fill="FFFFFF"/>
                  <w:tcMar>
                    <w:top w:w="0" w:type="dxa"/>
                    <w:left w:w="0" w:type="dxa"/>
                    <w:bottom w:w="0" w:type="dxa"/>
                    <w:right w:w="0" w:type="dxa"/>
                  </w:tcMar>
                  <w:vAlign w:val="center"/>
                </w:tcPr>
                <w:p w14:paraId="656F2AA4">
                  <w:pPr>
                    <w:spacing w:beforeAutospacing="0" w:afterAutospacing="0"/>
                    <w:jc w:val="center"/>
                    <w:rPr>
                      <w:rFonts w:hint="eastAsia" w:ascii="Times New Roman" w:hAnsi="Times New Roman" w:eastAsia="宋体" w:cs="Arial"/>
                      <w:sz w:val="21"/>
                      <w:szCs w:val="21"/>
                      <w:lang w:val="en-US" w:eastAsia="zh-CN"/>
                    </w:rPr>
                  </w:pPr>
                  <w:r>
                    <w:rPr>
                      <w:rFonts w:hint="eastAsia" w:ascii="Times New Roman" w:hAnsi="Times New Roman" w:cs="Arial"/>
                      <w:sz w:val="21"/>
                      <w:szCs w:val="21"/>
                      <w:lang w:val="en-US" w:eastAsia="zh-CN"/>
                    </w:rPr>
                    <w:t>8</w:t>
                  </w:r>
                </w:p>
              </w:tc>
              <w:tc>
                <w:tcPr>
                  <w:tcW w:w="571" w:type="dxa"/>
                  <w:shd w:val="clear" w:color="auto" w:fill="FFFFFF"/>
                  <w:tcMar>
                    <w:top w:w="0" w:type="dxa"/>
                    <w:left w:w="0" w:type="dxa"/>
                    <w:bottom w:w="0" w:type="dxa"/>
                    <w:right w:w="0" w:type="dxa"/>
                  </w:tcMar>
                  <w:vAlign w:val="center"/>
                </w:tcPr>
                <w:p w14:paraId="56819429">
                  <w:pPr>
                    <w:spacing w:beforeAutospacing="0" w:afterAutospacing="0"/>
                    <w:jc w:val="center"/>
                    <w:rPr>
                      <w:rFonts w:hint="eastAsia" w:ascii="Times New Roman" w:hAnsi="Times New Roman" w:eastAsia="宋体" w:cs="Arial"/>
                      <w:sz w:val="21"/>
                      <w:szCs w:val="21"/>
                      <w:lang w:val="en-US" w:eastAsia="zh-CN"/>
                    </w:rPr>
                  </w:pPr>
                  <w:r>
                    <w:rPr>
                      <w:rFonts w:hint="eastAsia" w:ascii="Times New Roman" w:hAnsi="Times New Roman" w:cs="Arial"/>
                      <w:sz w:val="21"/>
                      <w:szCs w:val="21"/>
                      <w:lang w:val="en-US" w:eastAsia="zh-CN"/>
                    </w:rPr>
                    <w:t>风机</w:t>
                  </w:r>
                </w:p>
              </w:tc>
              <w:tc>
                <w:tcPr>
                  <w:tcW w:w="676" w:type="dxa"/>
                  <w:shd w:val="clear" w:color="auto" w:fill="FFFFFF"/>
                  <w:tcMar>
                    <w:top w:w="0" w:type="dxa"/>
                    <w:left w:w="0" w:type="dxa"/>
                    <w:bottom w:w="0" w:type="dxa"/>
                    <w:right w:w="0" w:type="dxa"/>
                  </w:tcMar>
                  <w:vAlign w:val="center"/>
                </w:tcPr>
                <w:p w14:paraId="208F2A03">
                  <w:pPr>
                    <w:spacing w:beforeAutospacing="0" w:afterAutospacing="0"/>
                    <w:jc w:val="center"/>
                    <w:rPr>
                      <w:rFonts w:hint="default" w:ascii="Times New Roman" w:hAnsi="Times New Roman" w:eastAsia="宋体" w:cs="Arial"/>
                      <w:sz w:val="21"/>
                      <w:szCs w:val="21"/>
                      <w:lang w:val="en-US" w:eastAsia="zh-CN"/>
                    </w:rPr>
                  </w:pPr>
                  <w:r>
                    <w:rPr>
                      <w:rFonts w:hint="eastAsia" w:ascii="Times New Roman" w:hAnsi="Times New Roman" w:cs="Arial"/>
                      <w:sz w:val="21"/>
                      <w:szCs w:val="21"/>
                      <w:lang w:val="en-US" w:eastAsia="zh-CN"/>
                    </w:rPr>
                    <w:t>75</w:t>
                  </w:r>
                </w:p>
              </w:tc>
              <w:tc>
                <w:tcPr>
                  <w:tcW w:w="586" w:type="dxa"/>
                  <w:vMerge w:val="continue"/>
                  <w:shd w:val="clear" w:color="auto" w:fill="FFFFFF"/>
                  <w:tcMar>
                    <w:top w:w="0" w:type="dxa"/>
                    <w:left w:w="0" w:type="dxa"/>
                    <w:bottom w:w="0" w:type="dxa"/>
                    <w:right w:w="0" w:type="dxa"/>
                  </w:tcMar>
                  <w:vAlign w:val="center"/>
                </w:tcPr>
                <w:p w14:paraId="78F0E224">
                  <w:pPr>
                    <w:spacing w:beforeAutospacing="0" w:afterAutospacing="0"/>
                    <w:jc w:val="center"/>
                    <w:rPr>
                      <w:rFonts w:hint="eastAsia" w:ascii="Times New Roman" w:hAnsi="Times New Roman" w:eastAsia="宋体"/>
                      <w:sz w:val="21"/>
                      <w:szCs w:val="21"/>
                      <w:lang w:val="en-US" w:eastAsia="zh-CN"/>
                    </w:rPr>
                  </w:pPr>
                </w:p>
              </w:tc>
              <w:tc>
                <w:tcPr>
                  <w:tcW w:w="604" w:type="dxa"/>
                  <w:shd w:val="clear" w:color="auto" w:fill="FFFFFF"/>
                  <w:tcMar>
                    <w:top w:w="0" w:type="dxa"/>
                    <w:left w:w="0" w:type="dxa"/>
                    <w:bottom w:w="0" w:type="dxa"/>
                    <w:right w:w="0" w:type="dxa"/>
                  </w:tcMar>
                  <w:vAlign w:val="center"/>
                </w:tcPr>
                <w:p w14:paraId="0470B976">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32.4</w:t>
                  </w:r>
                </w:p>
              </w:tc>
              <w:tc>
                <w:tcPr>
                  <w:tcW w:w="604" w:type="dxa"/>
                  <w:shd w:val="clear" w:color="auto" w:fill="FFFFFF"/>
                  <w:tcMar>
                    <w:top w:w="0" w:type="dxa"/>
                    <w:left w:w="0" w:type="dxa"/>
                    <w:bottom w:w="0" w:type="dxa"/>
                    <w:right w:w="0" w:type="dxa"/>
                  </w:tcMar>
                  <w:vAlign w:val="center"/>
                </w:tcPr>
                <w:p w14:paraId="4AA512BC">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4.3</w:t>
                  </w:r>
                </w:p>
              </w:tc>
              <w:tc>
                <w:tcPr>
                  <w:tcW w:w="605" w:type="dxa"/>
                  <w:shd w:val="clear" w:color="auto" w:fill="FFFFFF"/>
                  <w:tcMar>
                    <w:top w:w="0" w:type="dxa"/>
                    <w:left w:w="0" w:type="dxa"/>
                    <w:bottom w:w="0" w:type="dxa"/>
                    <w:right w:w="0" w:type="dxa"/>
                  </w:tcMar>
                  <w:vAlign w:val="center"/>
                </w:tcPr>
                <w:p w14:paraId="7BDA36D8">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1.2</w:t>
                  </w:r>
                </w:p>
              </w:tc>
              <w:tc>
                <w:tcPr>
                  <w:tcW w:w="500" w:type="dxa"/>
                  <w:shd w:val="clear" w:color="auto" w:fill="FFFFFF"/>
                  <w:tcMar>
                    <w:top w:w="0" w:type="dxa"/>
                    <w:left w:w="0" w:type="dxa"/>
                    <w:bottom w:w="0" w:type="dxa"/>
                    <w:right w:w="0" w:type="dxa"/>
                  </w:tcMar>
                  <w:vAlign w:val="center"/>
                </w:tcPr>
                <w:p w14:paraId="1B290E08">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2.5</w:t>
                  </w:r>
                </w:p>
              </w:tc>
              <w:tc>
                <w:tcPr>
                  <w:tcW w:w="500" w:type="dxa"/>
                  <w:shd w:val="clear" w:color="auto" w:fill="FFFFFF"/>
                  <w:tcMar>
                    <w:top w:w="0" w:type="dxa"/>
                    <w:left w:w="0" w:type="dxa"/>
                    <w:bottom w:w="0" w:type="dxa"/>
                    <w:right w:w="0" w:type="dxa"/>
                  </w:tcMar>
                  <w:vAlign w:val="center"/>
                </w:tcPr>
                <w:p w14:paraId="3B481E58">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17.2</w:t>
                  </w:r>
                </w:p>
              </w:tc>
              <w:tc>
                <w:tcPr>
                  <w:tcW w:w="500" w:type="dxa"/>
                  <w:shd w:val="clear" w:color="auto" w:fill="FFFFFF"/>
                  <w:tcMar>
                    <w:top w:w="0" w:type="dxa"/>
                    <w:left w:w="0" w:type="dxa"/>
                    <w:bottom w:w="0" w:type="dxa"/>
                    <w:right w:w="0" w:type="dxa"/>
                  </w:tcMar>
                  <w:vAlign w:val="center"/>
                </w:tcPr>
                <w:p w14:paraId="571B7E09">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67.6</w:t>
                  </w:r>
                </w:p>
              </w:tc>
              <w:tc>
                <w:tcPr>
                  <w:tcW w:w="501" w:type="dxa"/>
                  <w:shd w:val="clear" w:color="auto" w:fill="FFFFFF"/>
                  <w:tcMar>
                    <w:top w:w="0" w:type="dxa"/>
                    <w:left w:w="0" w:type="dxa"/>
                    <w:bottom w:w="0" w:type="dxa"/>
                    <w:right w:w="0" w:type="dxa"/>
                  </w:tcMar>
                  <w:vAlign w:val="center"/>
                </w:tcPr>
                <w:p w14:paraId="683A5460">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9.1</w:t>
                  </w:r>
                </w:p>
              </w:tc>
              <w:tc>
                <w:tcPr>
                  <w:tcW w:w="494" w:type="dxa"/>
                  <w:shd w:val="clear" w:color="auto" w:fill="FFFFFF"/>
                  <w:tcMar>
                    <w:top w:w="0" w:type="dxa"/>
                    <w:left w:w="0" w:type="dxa"/>
                    <w:bottom w:w="0" w:type="dxa"/>
                    <w:right w:w="0" w:type="dxa"/>
                  </w:tcMar>
                  <w:vAlign w:val="center"/>
                </w:tcPr>
                <w:p w14:paraId="2176C20D">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63.9</w:t>
                  </w:r>
                </w:p>
              </w:tc>
              <w:tc>
                <w:tcPr>
                  <w:tcW w:w="494" w:type="dxa"/>
                  <w:shd w:val="clear" w:color="auto" w:fill="FFFFFF"/>
                  <w:tcMar>
                    <w:top w:w="0" w:type="dxa"/>
                    <w:left w:w="0" w:type="dxa"/>
                    <w:bottom w:w="0" w:type="dxa"/>
                    <w:right w:w="0" w:type="dxa"/>
                  </w:tcMar>
                  <w:vAlign w:val="center"/>
                </w:tcPr>
                <w:p w14:paraId="53349A65">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63.2</w:t>
                  </w:r>
                </w:p>
              </w:tc>
              <w:tc>
                <w:tcPr>
                  <w:tcW w:w="494" w:type="dxa"/>
                  <w:shd w:val="clear" w:color="auto" w:fill="FFFFFF"/>
                  <w:tcMar>
                    <w:top w:w="0" w:type="dxa"/>
                    <w:left w:w="0" w:type="dxa"/>
                    <w:bottom w:w="0" w:type="dxa"/>
                    <w:right w:w="0" w:type="dxa"/>
                  </w:tcMar>
                  <w:vAlign w:val="center"/>
                </w:tcPr>
                <w:p w14:paraId="6A156260">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63.2</w:t>
                  </w:r>
                </w:p>
              </w:tc>
              <w:tc>
                <w:tcPr>
                  <w:tcW w:w="496" w:type="dxa"/>
                  <w:shd w:val="clear" w:color="auto" w:fill="FFFFFF"/>
                  <w:tcMar>
                    <w:top w:w="0" w:type="dxa"/>
                    <w:left w:w="0" w:type="dxa"/>
                    <w:bottom w:w="0" w:type="dxa"/>
                    <w:right w:w="0" w:type="dxa"/>
                  </w:tcMar>
                  <w:vAlign w:val="center"/>
                </w:tcPr>
                <w:p w14:paraId="1E0AC503">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63.2</w:t>
                  </w:r>
                </w:p>
              </w:tc>
              <w:tc>
                <w:tcPr>
                  <w:tcW w:w="470" w:type="dxa"/>
                  <w:shd w:val="clear" w:color="auto" w:fill="FFFFFF"/>
                  <w:tcMar>
                    <w:top w:w="0" w:type="dxa"/>
                    <w:left w:w="0" w:type="dxa"/>
                    <w:bottom w:w="0" w:type="dxa"/>
                    <w:right w:w="0" w:type="dxa"/>
                  </w:tcMar>
                  <w:vAlign w:val="center"/>
                </w:tcPr>
                <w:p w14:paraId="64C152BF">
                  <w:pPr>
                    <w:spacing w:beforeAutospacing="0" w:afterAutospacing="0"/>
                    <w:ind w:left="0" w:leftChars="0" w:right="0" w:rightChars="0"/>
                    <w:jc w:val="center"/>
                    <w:rPr>
                      <w:rFonts w:hint="default" w:ascii="Times New Roman" w:hAnsi="Times New Roman" w:eastAsia="宋体" w:cs="Arial"/>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6h</w:t>
                  </w:r>
                </w:p>
              </w:tc>
              <w:tc>
                <w:tcPr>
                  <w:tcW w:w="477" w:type="dxa"/>
                  <w:shd w:val="clear" w:color="auto" w:fill="FFFFFF"/>
                  <w:tcMar>
                    <w:top w:w="0" w:type="dxa"/>
                    <w:left w:w="0" w:type="dxa"/>
                    <w:bottom w:w="0" w:type="dxa"/>
                    <w:right w:w="0" w:type="dxa"/>
                  </w:tcMar>
                  <w:vAlign w:val="center"/>
                </w:tcPr>
                <w:p w14:paraId="24394BB0">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08A65898">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26.0</w:t>
                  </w:r>
                </w:p>
              </w:tc>
              <w:tc>
                <w:tcPr>
                  <w:tcW w:w="477" w:type="dxa"/>
                  <w:shd w:val="clear" w:color="auto" w:fill="FFFFFF"/>
                  <w:tcMar>
                    <w:top w:w="0" w:type="dxa"/>
                    <w:left w:w="0" w:type="dxa"/>
                    <w:bottom w:w="0" w:type="dxa"/>
                    <w:right w:w="0" w:type="dxa"/>
                  </w:tcMar>
                  <w:vAlign w:val="center"/>
                </w:tcPr>
                <w:p w14:paraId="4F6CA0E4">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16.0</w:t>
                  </w:r>
                </w:p>
              </w:tc>
              <w:tc>
                <w:tcPr>
                  <w:tcW w:w="477" w:type="dxa"/>
                  <w:shd w:val="clear" w:color="auto" w:fill="FFFFFF"/>
                  <w:tcMar>
                    <w:top w:w="0" w:type="dxa"/>
                    <w:left w:w="0" w:type="dxa"/>
                    <w:bottom w:w="0" w:type="dxa"/>
                    <w:right w:w="0" w:type="dxa"/>
                  </w:tcMar>
                  <w:vAlign w:val="center"/>
                </w:tcPr>
                <w:p w14:paraId="7861459A">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16.0</w:t>
                  </w:r>
                </w:p>
              </w:tc>
              <w:tc>
                <w:tcPr>
                  <w:tcW w:w="505" w:type="dxa"/>
                  <w:shd w:val="clear" w:color="auto" w:fill="FFFFFF"/>
                  <w:tcMar>
                    <w:top w:w="0" w:type="dxa"/>
                    <w:left w:w="0" w:type="dxa"/>
                    <w:bottom w:w="0" w:type="dxa"/>
                    <w:right w:w="0" w:type="dxa"/>
                  </w:tcMar>
                  <w:vAlign w:val="center"/>
                </w:tcPr>
                <w:p w14:paraId="6F444DB0">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37.9</w:t>
                  </w:r>
                </w:p>
              </w:tc>
              <w:tc>
                <w:tcPr>
                  <w:tcW w:w="505" w:type="dxa"/>
                  <w:shd w:val="clear" w:color="auto" w:fill="FFFFFF"/>
                  <w:tcMar>
                    <w:top w:w="0" w:type="dxa"/>
                    <w:left w:w="0" w:type="dxa"/>
                    <w:bottom w:w="0" w:type="dxa"/>
                    <w:right w:w="0" w:type="dxa"/>
                  </w:tcMar>
                  <w:vAlign w:val="center"/>
                </w:tcPr>
                <w:p w14:paraId="14968BD3">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37.2</w:t>
                  </w:r>
                </w:p>
              </w:tc>
              <w:tc>
                <w:tcPr>
                  <w:tcW w:w="505" w:type="dxa"/>
                  <w:shd w:val="clear" w:color="auto" w:fill="FFFFFF"/>
                  <w:tcMar>
                    <w:top w:w="0" w:type="dxa"/>
                    <w:left w:w="0" w:type="dxa"/>
                    <w:bottom w:w="0" w:type="dxa"/>
                    <w:right w:w="0" w:type="dxa"/>
                  </w:tcMar>
                  <w:vAlign w:val="center"/>
                </w:tcPr>
                <w:p w14:paraId="327B504E">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47.2</w:t>
                  </w:r>
                </w:p>
              </w:tc>
              <w:tc>
                <w:tcPr>
                  <w:tcW w:w="506" w:type="dxa"/>
                  <w:shd w:val="clear" w:color="auto" w:fill="FFFFFF"/>
                  <w:tcMar>
                    <w:top w:w="0" w:type="dxa"/>
                    <w:left w:w="0" w:type="dxa"/>
                    <w:bottom w:w="0" w:type="dxa"/>
                    <w:right w:w="0" w:type="dxa"/>
                  </w:tcMar>
                  <w:vAlign w:val="center"/>
                </w:tcPr>
                <w:p w14:paraId="7065C8A9">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47.2</w:t>
                  </w:r>
                </w:p>
              </w:tc>
              <w:tc>
                <w:tcPr>
                  <w:tcW w:w="698" w:type="dxa"/>
                  <w:shd w:val="clear" w:color="auto" w:fill="FFFFFF"/>
                  <w:tcMar>
                    <w:top w:w="0" w:type="dxa"/>
                    <w:left w:w="0" w:type="dxa"/>
                    <w:bottom w:w="0" w:type="dxa"/>
                    <w:right w:w="0" w:type="dxa"/>
                  </w:tcMar>
                  <w:vAlign w:val="center"/>
                </w:tcPr>
                <w:p w14:paraId="3065B7E4">
                  <w:pPr>
                    <w:spacing w:beforeAutospacing="0" w:afterAutospacing="0"/>
                    <w:jc w:val="center"/>
                    <w:rPr>
                      <w:rFonts w:hint="default" w:ascii="Times New Roman" w:hAnsi="Times New Roman" w:eastAsia="宋体" w:cs="Arial"/>
                      <w:sz w:val="21"/>
                      <w:szCs w:val="21"/>
                    </w:rPr>
                  </w:pPr>
                  <w:r>
                    <w:rPr>
                      <w:rFonts w:hint="default" w:ascii="Times New Roman" w:hAnsi="Times New Roman" w:eastAsia="宋体" w:cs="Arial"/>
                      <w:sz w:val="21"/>
                      <w:szCs w:val="21"/>
                    </w:rPr>
                    <w:t>1</w:t>
                  </w:r>
                </w:p>
              </w:tc>
            </w:tr>
          </w:tbl>
          <w:p w14:paraId="520C9AC8">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宋体"/>
                <w:sz w:val="24"/>
                <w:szCs w:val="24"/>
                <w:lang w:val="en-US" w:eastAsia="zh-CN"/>
              </w:rPr>
            </w:pPr>
            <w:r>
              <w:rPr>
                <w:rFonts w:hint="eastAsia" w:ascii="Times New Roman" w:hAnsi="Times New Roman" w:cs="宋体"/>
                <w:sz w:val="24"/>
                <w:szCs w:val="24"/>
                <w:lang w:val="en-US" w:eastAsia="zh-CN"/>
              </w:rPr>
              <w:t>注：表中坐标以厂界中心为坐标原点，正东向为</w:t>
            </w:r>
            <w:r>
              <w:rPr>
                <w:rFonts w:hint="default" w:ascii="Times New Roman" w:hAnsi="Times New Roman" w:cs="宋体"/>
                <w:sz w:val="24"/>
                <w:szCs w:val="24"/>
                <w:lang w:val="en-US" w:eastAsia="zh-CN"/>
              </w:rPr>
              <w:t>X</w:t>
            </w:r>
            <w:r>
              <w:rPr>
                <w:rFonts w:hint="eastAsia" w:ascii="Times New Roman" w:hAnsi="Times New Roman" w:cs="宋体"/>
                <w:sz w:val="24"/>
                <w:szCs w:val="24"/>
                <w:lang w:val="en-US" w:eastAsia="zh-CN"/>
              </w:rPr>
              <w:t>轴正方向，正北向为</w:t>
            </w:r>
            <w:r>
              <w:rPr>
                <w:rFonts w:hint="default" w:ascii="Times New Roman" w:hAnsi="Times New Roman" w:cs="宋体"/>
                <w:sz w:val="24"/>
                <w:szCs w:val="24"/>
                <w:lang w:val="en-US" w:eastAsia="zh-CN"/>
              </w:rPr>
              <w:t>Y</w:t>
            </w:r>
            <w:r>
              <w:rPr>
                <w:rFonts w:hint="eastAsia" w:ascii="Times New Roman" w:hAnsi="Times New Roman" w:cs="宋体"/>
                <w:sz w:val="24"/>
                <w:szCs w:val="24"/>
                <w:lang w:val="en-US" w:eastAsia="zh-CN"/>
              </w:rPr>
              <w:t>轴正方向。</w:t>
            </w:r>
          </w:p>
          <w:p w14:paraId="72026945">
            <w:pPr>
              <w:spacing w:beforeAutospacing="0" w:afterAutospacing="0"/>
              <w:rPr>
                <w:rFonts w:hint="default"/>
              </w:rPr>
            </w:pPr>
          </w:p>
        </w:tc>
      </w:tr>
    </w:tbl>
    <w:p w14:paraId="4EF6D52F">
      <w:pPr>
        <w:sectPr>
          <w:pgSz w:w="16840" w:h="11910" w:orient="landscape"/>
          <w:pgMar w:top="1587" w:right="1701" w:bottom="1587" w:left="1984" w:header="850" w:footer="1134" w:gutter="0"/>
          <w:pgBorders>
            <w:top w:val="none" w:sz="0" w:space="0"/>
            <w:left w:val="none" w:sz="0" w:space="0"/>
            <w:bottom w:val="none" w:sz="0" w:space="0"/>
            <w:right w:val="none" w:sz="0" w:space="0"/>
          </w:pgBorders>
          <w:pgNumType w:fmt="numberInDash"/>
          <w:cols w:space="720" w:num="1"/>
        </w:sectPr>
      </w:pPr>
    </w:p>
    <w:tbl>
      <w:tblPr>
        <w:tblStyle w:val="23"/>
        <w:tblW w:w="9057"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7"/>
        <w:gridCol w:w="8250"/>
      </w:tblGrid>
      <w:tr w14:paraId="6D0899F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24" w:hRule="atLeast"/>
        </w:trPr>
        <w:tc>
          <w:tcPr>
            <w:tcW w:w="807" w:type="dxa"/>
            <w:tcBorders>
              <w:top w:val="single" w:color="000000" w:sz="4" w:space="0"/>
              <w:right w:val="single" w:color="000000" w:sz="4" w:space="0"/>
            </w:tcBorders>
            <w:vAlign w:val="center"/>
          </w:tcPr>
          <w:p w14:paraId="5711428F">
            <w:pPr>
              <w:pStyle w:val="44"/>
              <w:widowControl w:val="0"/>
              <w:wordWrap/>
              <w:autoSpaceDE w:val="0"/>
              <w:adjustRightInd/>
              <w:snapToGrid/>
              <w:spacing w:before="0" w:beforeAutospacing="0" w:afterAutospacing="0" w:line="400" w:lineRule="exact"/>
              <w:ind w:left="0" w:right="0"/>
              <w:jc w:val="center"/>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运营期环境影响和保护措施</w:t>
            </w:r>
          </w:p>
        </w:tc>
        <w:tc>
          <w:tcPr>
            <w:tcW w:w="8250" w:type="dxa"/>
            <w:tcBorders>
              <w:top w:val="single" w:color="000000" w:sz="4" w:space="0"/>
              <w:left w:val="single" w:color="000000" w:sz="4" w:space="0"/>
            </w:tcBorders>
            <w:vAlign w:val="center"/>
          </w:tcPr>
          <w:p w14:paraId="0C931369">
            <w:pPr>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rPr>
              <w:t>根据《环境影响评价技术导则 声环境》（HJ2.4-2021）利用模型对本项目厂界噪声进行预测。项目噪声预测见下表（源强计算以最大值计算）经预测，项目高噪设备贡献值结果见下表。</w:t>
            </w:r>
          </w:p>
          <w:p w14:paraId="00034197">
            <w:pPr>
              <w:widowControl w:val="0"/>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Times New Roman"/>
                <w:b w:val="0"/>
                <w:bCs w:val="0"/>
                <w:sz w:val="24"/>
                <w:szCs w:val="24"/>
                <w:lang w:val="en-US" w:eastAsia="zh-CN" w:bidi="zh-CN"/>
              </w:rPr>
            </w:pPr>
            <w:r>
              <w:rPr>
                <w:rFonts w:hint="default" w:ascii="Times New Roman" w:hAnsi="Times New Roman" w:eastAsia="黑体" w:cs="Times New Roman"/>
                <w:b w:val="0"/>
                <w:bCs w:val="0"/>
                <w:sz w:val="24"/>
                <w:szCs w:val="24"/>
                <w:lang w:val="en-US" w:eastAsia="zh-CN" w:bidi="zh-CN"/>
              </w:rPr>
              <w:t>表</w:t>
            </w:r>
            <w:r>
              <w:rPr>
                <w:rFonts w:hint="eastAsia" w:ascii="Times New Roman" w:hAnsi="Times New Roman" w:eastAsia="黑体" w:cs="Times New Roman"/>
                <w:b w:val="0"/>
                <w:bCs w:val="0"/>
                <w:sz w:val="24"/>
                <w:szCs w:val="24"/>
                <w:lang w:val="en-US" w:eastAsia="zh-CN" w:bidi="zh-CN"/>
              </w:rPr>
              <w:t>4-16  厂界噪声贡献值预测结果  单位：dB（A）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777"/>
              <w:gridCol w:w="777"/>
              <w:gridCol w:w="777"/>
              <w:gridCol w:w="959"/>
              <w:gridCol w:w="1364"/>
              <w:gridCol w:w="1365"/>
              <w:gridCol w:w="1145"/>
            </w:tblGrid>
            <w:tr w14:paraId="73A44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exact"/>
                <w:jc w:val="center"/>
              </w:trPr>
              <w:tc>
                <w:tcPr>
                  <w:tcW w:w="1061" w:type="dxa"/>
                  <w:vMerge w:val="restart"/>
                  <w:vAlign w:val="center"/>
                </w:tcPr>
                <w:p w14:paraId="5E0435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b/>
                      <w:sz w:val="21"/>
                      <w:szCs w:val="21"/>
                    </w:rPr>
                    <w:t>预测方位</w:t>
                  </w:r>
                </w:p>
              </w:tc>
              <w:tc>
                <w:tcPr>
                  <w:tcW w:w="2331" w:type="dxa"/>
                  <w:gridSpan w:val="3"/>
                  <w:vAlign w:val="center"/>
                </w:tcPr>
                <w:p w14:paraId="5A1B831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最大值点空间相对位置/m</w:t>
                  </w:r>
                </w:p>
              </w:tc>
              <w:tc>
                <w:tcPr>
                  <w:tcW w:w="959" w:type="dxa"/>
                  <w:vMerge w:val="restart"/>
                  <w:vAlign w:val="center"/>
                </w:tcPr>
                <w:p w14:paraId="5D5AC02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时段</w:t>
                  </w:r>
                </w:p>
              </w:tc>
              <w:tc>
                <w:tcPr>
                  <w:tcW w:w="1364" w:type="dxa"/>
                  <w:vMerge w:val="restart"/>
                  <w:vAlign w:val="center"/>
                </w:tcPr>
                <w:p w14:paraId="745F7B8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贡献值（dB(A)）</w:t>
                  </w:r>
                </w:p>
              </w:tc>
              <w:tc>
                <w:tcPr>
                  <w:tcW w:w="1365" w:type="dxa"/>
                  <w:vMerge w:val="restart"/>
                  <w:vAlign w:val="center"/>
                </w:tcPr>
                <w:p w14:paraId="5BC0408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标准限值（dB(A)）</w:t>
                  </w:r>
                </w:p>
              </w:tc>
              <w:tc>
                <w:tcPr>
                  <w:tcW w:w="1145" w:type="dxa"/>
                  <w:vMerge w:val="restart"/>
                  <w:vAlign w:val="center"/>
                </w:tcPr>
                <w:p w14:paraId="46EB12E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lang w:val="en-US" w:eastAsia="zh-CN"/>
                      <w14:textFill>
                        <w14:solidFill>
                          <w14:schemeClr w14:val="tx1"/>
                        </w14:solidFill>
                      </w14:textFill>
                    </w:rPr>
                    <w:t>达标情况</w:t>
                  </w:r>
                </w:p>
              </w:tc>
            </w:tr>
            <w:tr w14:paraId="13AA8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061" w:type="dxa"/>
                  <w:vMerge w:val="continue"/>
                  <w:shd w:val="clear" w:color="auto" w:fill="FFFFFF"/>
                  <w:vAlign w:val="center"/>
                </w:tcPr>
                <w:p w14:paraId="326BD0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p>
              </w:tc>
              <w:tc>
                <w:tcPr>
                  <w:tcW w:w="777" w:type="dxa"/>
                  <w:shd w:val="clear" w:color="auto" w:fill="FFFFFF"/>
                  <w:vAlign w:val="center"/>
                </w:tcPr>
                <w:p w14:paraId="351C99F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X</w:t>
                  </w:r>
                </w:p>
              </w:tc>
              <w:tc>
                <w:tcPr>
                  <w:tcW w:w="777" w:type="dxa"/>
                  <w:shd w:val="clear" w:color="auto" w:fill="FFFFFF"/>
                  <w:vAlign w:val="center"/>
                </w:tcPr>
                <w:p w14:paraId="1889BB0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Y</w:t>
                  </w:r>
                </w:p>
              </w:tc>
              <w:tc>
                <w:tcPr>
                  <w:tcW w:w="777" w:type="dxa"/>
                  <w:shd w:val="clear" w:color="auto" w:fill="FFFFFF"/>
                  <w:vAlign w:val="center"/>
                </w:tcPr>
                <w:p w14:paraId="14BE670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Z</w:t>
                  </w:r>
                </w:p>
              </w:tc>
              <w:tc>
                <w:tcPr>
                  <w:tcW w:w="959" w:type="dxa"/>
                  <w:vMerge w:val="continue"/>
                  <w:shd w:val="clear" w:color="auto" w:fill="FFFFFF"/>
                  <w:vAlign w:val="center"/>
                </w:tcPr>
                <w:p w14:paraId="5AA0F72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p>
              </w:tc>
              <w:tc>
                <w:tcPr>
                  <w:tcW w:w="1364" w:type="dxa"/>
                  <w:vMerge w:val="continue"/>
                  <w:shd w:val="clear" w:color="auto" w:fill="FFFFFF"/>
                  <w:vAlign w:val="center"/>
                </w:tcPr>
                <w:p w14:paraId="4E70316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p>
              </w:tc>
              <w:tc>
                <w:tcPr>
                  <w:tcW w:w="1365" w:type="dxa"/>
                  <w:vMerge w:val="continue"/>
                  <w:shd w:val="clear" w:color="auto" w:fill="FFFFFF"/>
                  <w:vAlign w:val="center"/>
                </w:tcPr>
                <w:p w14:paraId="6AD3FC7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p>
              </w:tc>
              <w:tc>
                <w:tcPr>
                  <w:tcW w:w="1145" w:type="dxa"/>
                  <w:vMerge w:val="continue"/>
                  <w:shd w:val="clear" w:color="auto" w:fill="FFFFFF"/>
                  <w:vAlign w:val="center"/>
                </w:tcPr>
                <w:p w14:paraId="720ABDC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default" w:ascii="Times New Roman" w:hAnsi="Times New Roman" w:cs="Times New Roman" w:eastAsiaTheme="minorEastAsia"/>
                      <w:sz w:val="21"/>
                      <w:szCs w:val="21"/>
                    </w:rPr>
                  </w:pPr>
                </w:p>
              </w:tc>
            </w:tr>
            <w:tr w14:paraId="7A52C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45" w:hRule="exact"/>
                <w:jc w:val="center"/>
              </w:trPr>
              <w:tc>
                <w:tcPr>
                  <w:tcW w:w="1061" w:type="dxa"/>
                  <w:shd w:val="clear" w:color="auto" w:fill="FFFFFF"/>
                  <w:vAlign w:val="center"/>
                </w:tcPr>
                <w:p w14:paraId="032CD21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东侧</w:t>
                  </w:r>
                </w:p>
              </w:tc>
              <w:tc>
                <w:tcPr>
                  <w:tcW w:w="777" w:type="dxa"/>
                  <w:shd w:val="clear" w:color="auto" w:fill="FFFFFF"/>
                  <w:vAlign w:val="center"/>
                </w:tcPr>
                <w:p w14:paraId="1BD1860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36</w:t>
                  </w:r>
                </w:p>
              </w:tc>
              <w:tc>
                <w:tcPr>
                  <w:tcW w:w="777" w:type="dxa"/>
                  <w:shd w:val="clear" w:color="auto" w:fill="FFFFFF"/>
                  <w:vAlign w:val="center"/>
                </w:tcPr>
                <w:p w14:paraId="1FB837A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-1.1</w:t>
                  </w:r>
                </w:p>
              </w:tc>
              <w:tc>
                <w:tcPr>
                  <w:tcW w:w="777" w:type="dxa"/>
                  <w:shd w:val="clear" w:color="auto" w:fill="FFFFFF"/>
                  <w:vAlign w:val="center"/>
                </w:tcPr>
                <w:p w14:paraId="7B8A1DA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w:t>
                  </w:r>
                </w:p>
              </w:tc>
              <w:tc>
                <w:tcPr>
                  <w:tcW w:w="959" w:type="dxa"/>
                  <w:shd w:val="clear" w:color="auto" w:fill="FFFFFF"/>
                  <w:vAlign w:val="center"/>
                </w:tcPr>
                <w:p w14:paraId="2CAA96D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昼间</w:t>
                  </w:r>
                </w:p>
              </w:tc>
              <w:tc>
                <w:tcPr>
                  <w:tcW w:w="1364" w:type="dxa"/>
                  <w:shd w:val="clear" w:color="auto" w:fill="FFFFFF"/>
                  <w:vAlign w:val="center"/>
                </w:tcPr>
                <w:p w14:paraId="5068542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47.7</w:t>
                  </w:r>
                </w:p>
              </w:tc>
              <w:tc>
                <w:tcPr>
                  <w:tcW w:w="1365" w:type="dxa"/>
                  <w:shd w:val="clear" w:color="auto" w:fill="FFFFFF"/>
                  <w:vAlign w:val="center"/>
                </w:tcPr>
                <w:p w14:paraId="7CC55F3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w:t>
                  </w:r>
                </w:p>
              </w:tc>
              <w:tc>
                <w:tcPr>
                  <w:tcW w:w="1145" w:type="dxa"/>
                  <w:shd w:val="clear" w:color="auto" w:fill="FFFFFF"/>
                  <w:vAlign w:val="center"/>
                </w:tcPr>
                <w:p w14:paraId="56E9301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达标</w:t>
                  </w:r>
                </w:p>
              </w:tc>
            </w:tr>
            <w:tr w14:paraId="4956E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restart"/>
                  <w:shd w:val="clear" w:color="auto" w:fill="FFFFFF"/>
                  <w:vAlign w:val="center"/>
                </w:tcPr>
                <w:p w14:paraId="13B0629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南侧</w:t>
                  </w:r>
                </w:p>
              </w:tc>
              <w:tc>
                <w:tcPr>
                  <w:tcW w:w="777" w:type="dxa"/>
                  <w:vMerge w:val="restart"/>
                  <w:shd w:val="clear" w:color="auto" w:fill="FFFFFF"/>
                  <w:vAlign w:val="center"/>
                </w:tcPr>
                <w:p w14:paraId="3DB9A5B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24</w:t>
                  </w:r>
                </w:p>
              </w:tc>
              <w:tc>
                <w:tcPr>
                  <w:tcW w:w="777" w:type="dxa"/>
                  <w:vMerge w:val="restart"/>
                  <w:shd w:val="clear" w:color="auto" w:fill="FFFFFF"/>
                  <w:vAlign w:val="center"/>
                </w:tcPr>
                <w:p w14:paraId="46BDF7F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-13.9</w:t>
                  </w:r>
                </w:p>
              </w:tc>
              <w:tc>
                <w:tcPr>
                  <w:tcW w:w="777" w:type="dxa"/>
                  <w:vMerge w:val="restart"/>
                  <w:shd w:val="clear" w:color="auto" w:fill="FFFFFF"/>
                  <w:vAlign w:val="center"/>
                </w:tcPr>
                <w:p w14:paraId="02CB205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w:t>
                  </w:r>
                </w:p>
              </w:tc>
              <w:tc>
                <w:tcPr>
                  <w:tcW w:w="959" w:type="dxa"/>
                  <w:vMerge w:val="restart"/>
                  <w:shd w:val="clear" w:color="auto" w:fill="FFFFFF"/>
                  <w:vAlign w:val="center"/>
                </w:tcPr>
                <w:p w14:paraId="6869864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昼间</w:t>
                  </w:r>
                </w:p>
              </w:tc>
              <w:tc>
                <w:tcPr>
                  <w:tcW w:w="1364" w:type="dxa"/>
                  <w:vMerge w:val="restart"/>
                  <w:shd w:val="clear" w:color="auto" w:fill="FFFFFF"/>
                  <w:vAlign w:val="center"/>
                </w:tcPr>
                <w:p w14:paraId="53B2DA3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48.2</w:t>
                  </w:r>
                </w:p>
              </w:tc>
              <w:tc>
                <w:tcPr>
                  <w:tcW w:w="1365" w:type="dxa"/>
                  <w:vMerge w:val="restart"/>
                  <w:shd w:val="clear" w:color="auto" w:fill="FFFFFF"/>
                  <w:vAlign w:val="center"/>
                </w:tcPr>
                <w:p w14:paraId="7F51614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w:t>
                  </w:r>
                </w:p>
              </w:tc>
              <w:tc>
                <w:tcPr>
                  <w:tcW w:w="1145" w:type="dxa"/>
                  <w:vMerge w:val="restart"/>
                  <w:shd w:val="clear" w:color="auto" w:fill="FFFFFF"/>
                  <w:vAlign w:val="center"/>
                </w:tcPr>
                <w:p w14:paraId="573E78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达标</w:t>
                  </w:r>
                </w:p>
              </w:tc>
            </w:tr>
            <w:tr w14:paraId="6044F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continue"/>
                  <w:shd w:val="clear" w:color="auto" w:fill="FFFFFF"/>
                  <w:vAlign w:val="center"/>
                </w:tcPr>
                <w:p w14:paraId="67BFF3D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777" w:type="dxa"/>
                  <w:vMerge w:val="continue"/>
                  <w:shd w:val="clear" w:color="auto" w:fill="FFFFFF"/>
                  <w:vAlign w:val="center"/>
                </w:tcPr>
                <w:p w14:paraId="3302DBB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77" w:type="dxa"/>
                  <w:vMerge w:val="continue"/>
                  <w:shd w:val="clear" w:color="auto" w:fill="FFFFFF"/>
                  <w:vAlign w:val="center"/>
                </w:tcPr>
                <w:p w14:paraId="54D4C9DE">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77" w:type="dxa"/>
                  <w:vMerge w:val="continue"/>
                  <w:shd w:val="clear" w:color="auto" w:fill="FFFFFF"/>
                  <w:vAlign w:val="center"/>
                </w:tcPr>
                <w:p w14:paraId="55CD8AA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59" w:type="dxa"/>
                  <w:vMerge w:val="continue"/>
                  <w:shd w:val="clear" w:color="auto" w:fill="FFFFFF"/>
                  <w:vAlign w:val="center"/>
                </w:tcPr>
                <w:p w14:paraId="7166BFB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64" w:type="dxa"/>
                  <w:vMerge w:val="continue"/>
                  <w:shd w:val="clear" w:color="auto" w:fill="FFFFFF"/>
                  <w:vAlign w:val="center"/>
                </w:tcPr>
                <w:p w14:paraId="7B7A64A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65" w:type="dxa"/>
                  <w:vMerge w:val="continue"/>
                  <w:shd w:val="clear" w:color="auto" w:fill="FFFFFF"/>
                  <w:vAlign w:val="center"/>
                </w:tcPr>
                <w:p w14:paraId="128D808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145" w:type="dxa"/>
                  <w:vMerge w:val="continue"/>
                  <w:shd w:val="clear" w:color="auto" w:fill="FFFFFF"/>
                  <w:vAlign w:val="center"/>
                </w:tcPr>
                <w:p w14:paraId="416FE4A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208D3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restart"/>
                  <w:shd w:val="clear" w:color="auto" w:fill="FFFFFF"/>
                  <w:vAlign w:val="center"/>
                </w:tcPr>
                <w:p w14:paraId="1E2E005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西侧</w:t>
                  </w:r>
                </w:p>
              </w:tc>
              <w:tc>
                <w:tcPr>
                  <w:tcW w:w="777" w:type="dxa"/>
                  <w:vMerge w:val="restart"/>
                  <w:shd w:val="clear" w:color="auto" w:fill="FFFFFF"/>
                  <w:vAlign w:val="center"/>
                </w:tcPr>
                <w:p w14:paraId="291DD6C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-36</w:t>
                  </w:r>
                </w:p>
              </w:tc>
              <w:tc>
                <w:tcPr>
                  <w:tcW w:w="777" w:type="dxa"/>
                  <w:vMerge w:val="restart"/>
                  <w:shd w:val="clear" w:color="auto" w:fill="FFFFFF"/>
                  <w:vAlign w:val="center"/>
                </w:tcPr>
                <w:p w14:paraId="6E6E86C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-13.9</w:t>
                  </w:r>
                </w:p>
              </w:tc>
              <w:tc>
                <w:tcPr>
                  <w:tcW w:w="777" w:type="dxa"/>
                  <w:vMerge w:val="restart"/>
                  <w:shd w:val="clear" w:color="auto" w:fill="FFFFFF"/>
                  <w:vAlign w:val="center"/>
                </w:tcPr>
                <w:p w14:paraId="122A2EA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w:t>
                  </w:r>
                </w:p>
              </w:tc>
              <w:tc>
                <w:tcPr>
                  <w:tcW w:w="959" w:type="dxa"/>
                  <w:vMerge w:val="restart"/>
                  <w:shd w:val="clear" w:color="auto" w:fill="FFFFFF"/>
                  <w:vAlign w:val="center"/>
                </w:tcPr>
                <w:p w14:paraId="1E8439E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昼间</w:t>
                  </w:r>
                </w:p>
              </w:tc>
              <w:tc>
                <w:tcPr>
                  <w:tcW w:w="1364" w:type="dxa"/>
                  <w:vMerge w:val="restart"/>
                  <w:shd w:val="clear" w:color="auto" w:fill="FFFFFF"/>
                  <w:vAlign w:val="center"/>
                </w:tcPr>
                <w:p w14:paraId="34A526F7">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37.9</w:t>
                  </w:r>
                </w:p>
              </w:tc>
              <w:tc>
                <w:tcPr>
                  <w:tcW w:w="1365" w:type="dxa"/>
                  <w:vMerge w:val="restart"/>
                  <w:shd w:val="clear" w:color="auto" w:fill="FFFFFF"/>
                  <w:vAlign w:val="center"/>
                </w:tcPr>
                <w:p w14:paraId="1D2A43F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w:t>
                  </w:r>
                </w:p>
              </w:tc>
              <w:tc>
                <w:tcPr>
                  <w:tcW w:w="1145" w:type="dxa"/>
                  <w:vMerge w:val="restart"/>
                  <w:shd w:val="clear" w:color="auto" w:fill="FFFFFF"/>
                  <w:vAlign w:val="center"/>
                </w:tcPr>
                <w:p w14:paraId="491C64E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达标</w:t>
                  </w:r>
                </w:p>
              </w:tc>
            </w:tr>
            <w:tr w14:paraId="4C8BF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continue"/>
                  <w:shd w:val="clear" w:color="auto" w:fill="FFFFFF"/>
                  <w:vAlign w:val="center"/>
                </w:tcPr>
                <w:p w14:paraId="7CEC20D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777" w:type="dxa"/>
                  <w:vMerge w:val="continue"/>
                  <w:shd w:val="clear" w:color="auto" w:fill="FFFFFF"/>
                  <w:vAlign w:val="center"/>
                </w:tcPr>
                <w:p w14:paraId="5D54DA3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77" w:type="dxa"/>
                  <w:vMerge w:val="continue"/>
                  <w:shd w:val="clear" w:color="auto" w:fill="FFFFFF"/>
                  <w:vAlign w:val="center"/>
                </w:tcPr>
                <w:p w14:paraId="6ABF41C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777" w:type="dxa"/>
                  <w:vMerge w:val="continue"/>
                  <w:shd w:val="clear" w:color="auto" w:fill="FFFFFF"/>
                  <w:vAlign w:val="center"/>
                </w:tcPr>
                <w:p w14:paraId="772E92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59" w:type="dxa"/>
                  <w:vMerge w:val="continue"/>
                  <w:shd w:val="clear" w:color="auto" w:fill="FFFFFF"/>
                  <w:vAlign w:val="center"/>
                </w:tcPr>
                <w:p w14:paraId="703FEEB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64" w:type="dxa"/>
                  <w:vMerge w:val="continue"/>
                  <w:shd w:val="clear" w:color="auto" w:fill="FFFFFF"/>
                  <w:vAlign w:val="center"/>
                </w:tcPr>
                <w:p w14:paraId="78DFB5E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365" w:type="dxa"/>
                  <w:vMerge w:val="continue"/>
                  <w:shd w:val="clear" w:color="auto" w:fill="FFFFFF"/>
                  <w:vAlign w:val="center"/>
                </w:tcPr>
                <w:p w14:paraId="223418F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145" w:type="dxa"/>
                  <w:vMerge w:val="continue"/>
                  <w:shd w:val="clear" w:color="auto" w:fill="FFFFFF"/>
                  <w:vAlign w:val="center"/>
                </w:tcPr>
                <w:p w14:paraId="4A8D6FC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299B7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restart"/>
                  <w:shd w:val="clear" w:color="auto" w:fill="FFFFFF"/>
                  <w:vAlign w:val="center"/>
                </w:tcPr>
                <w:p w14:paraId="4B3B6CF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北侧</w:t>
                  </w:r>
                </w:p>
              </w:tc>
              <w:tc>
                <w:tcPr>
                  <w:tcW w:w="777" w:type="dxa"/>
                  <w:vMerge w:val="restart"/>
                  <w:shd w:val="clear" w:color="auto" w:fill="FFFFFF"/>
                  <w:vAlign w:val="center"/>
                </w:tcPr>
                <w:p w14:paraId="6FC294B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36</w:t>
                  </w:r>
                </w:p>
              </w:tc>
              <w:tc>
                <w:tcPr>
                  <w:tcW w:w="777" w:type="dxa"/>
                  <w:vMerge w:val="restart"/>
                  <w:shd w:val="clear" w:color="auto" w:fill="FFFFFF"/>
                  <w:vAlign w:val="center"/>
                </w:tcPr>
                <w:p w14:paraId="15130B2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13.9</w:t>
                  </w:r>
                </w:p>
              </w:tc>
              <w:tc>
                <w:tcPr>
                  <w:tcW w:w="777" w:type="dxa"/>
                  <w:vMerge w:val="restart"/>
                  <w:shd w:val="clear" w:color="auto" w:fill="FFFFFF"/>
                  <w:vAlign w:val="center"/>
                </w:tcPr>
                <w:p w14:paraId="076C8A1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w:t>
                  </w:r>
                </w:p>
              </w:tc>
              <w:tc>
                <w:tcPr>
                  <w:tcW w:w="959" w:type="dxa"/>
                  <w:vMerge w:val="restart"/>
                  <w:shd w:val="clear" w:color="auto" w:fill="FFFFFF"/>
                  <w:vAlign w:val="center"/>
                </w:tcPr>
                <w:p w14:paraId="201BEF8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昼间</w:t>
                  </w:r>
                </w:p>
              </w:tc>
              <w:tc>
                <w:tcPr>
                  <w:tcW w:w="1364" w:type="dxa"/>
                  <w:vMerge w:val="restart"/>
                  <w:shd w:val="clear" w:color="auto" w:fill="FFFFFF"/>
                  <w:vAlign w:val="center"/>
                </w:tcPr>
                <w:p w14:paraId="0DE265D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42.3</w:t>
                  </w:r>
                </w:p>
              </w:tc>
              <w:tc>
                <w:tcPr>
                  <w:tcW w:w="1365" w:type="dxa"/>
                  <w:vMerge w:val="restart"/>
                  <w:shd w:val="clear" w:color="auto" w:fill="FFFFFF"/>
                  <w:vAlign w:val="center"/>
                </w:tcPr>
                <w:p w14:paraId="5EF7C61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w:t>
                  </w:r>
                </w:p>
              </w:tc>
              <w:tc>
                <w:tcPr>
                  <w:tcW w:w="1145" w:type="dxa"/>
                  <w:vMerge w:val="restart"/>
                  <w:shd w:val="clear" w:color="auto" w:fill="FFFFFF"/>
                  <w:vAlign w:val="center"/>
                </w:tcPr>
                <w:p w14:paraId="13E0A38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达标</w:t>
                  </w:r>
                </w:p>
              </w:tc>
            </w:tr>
            <w:tr w14:paraId="20B72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2" w:hRule="atLeast"/>
                <w:jc w:val="center"/>
              </w:trPr>
              <w:tc>
                <w:tcPr>
                  <w:tcW w:w="1061" w:type="dxa"/>
                  <w:vMerge w:val="continue"/>
                  <w:shd w:val="clear" w:color="auto" w:fill="FFFFFF"/>
                  <w:vAlign w:val="center"/>
                </w:tcPr>
                <w:p w14:paraId="46DC451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777" w:type="dxa"/>
                  <w:vMerge w:val="continue"/>
                  <w:shd w:val="clear" w:color="auto" w:fill="FFFFFF"/>
                  <w:vAlign w:val="center"/>
                </w:tcPr>
                <w:p w14:paraId="437170E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777" w:type="dxa"/>
                  <w:vMerge w:val="continue"/>
                  <w:shd w:val="clear" w:color="auto" w:fill="FFFFFF"/>
                  <w:vAlign w:val="center"/>
                </w:tcPr>
                <w:p w14:paraId="0FA08B0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777" w:type="dxa"/>
                  <w:vMerge w:val="continue"/>
                  <w:shd w:val="clear" w:color="auto" w:fill="FFFFFF"/>
                  <w:vAlign w:val="center"/>
                </w:tcPr>
                <w:p w14:paraId="3F8E6FDD">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959" w:type="dxa"/>
                  <w:vMerge w:val="continue"/>
                  <w:shd w:val="clear" w:color="auto" w:fill="FFFFFF"/>
                  <w:vAlign w:val="center"/>
                </w:tcPr>
                <w:p w14:paraId="5714D8A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1364" w:type="dxa"/>
                  <w:vMerge w:val="continue"/>
                  <w:shd w:val="clear" w:color="auto" w:fill="FFFFFF"/>
                  <w:vAlign w:val="center"/>
                </w:tcPr>
                <w:p w14:paraId="5DA459D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1365" w:type="dxa"/>
                  <w:vMerge w:val="continue"/>
                  <w:shd w:val="clear" w:color="auto" w:fill="FFFFFF"/>
                  <w:vAlign w:val="center"/>
                </w:tcPr>
                <w:p w14:paraId="05EE38D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1145" w:type="dxa"/>
                  <w:vMerge w:val="continue"/>
                  <w:shd w:val="clear" w:color="auto" w:fill="FFFFFF"/>
                  <w:vAlign w:val="center"/>
                </w:tcPr>
                <w:p w14:paraId="7419A74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r>
          </w:tbl>
          <w:p w14:paraId="7983EA51">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宋体"/>
                <w:color w:val="000000" w:themeColor="text1"/>
                <w:sz w:val="24"/>
                <w:szCs w:val="24"/>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项目为一班制生产，生产时间为日间。经预测，项目建成后四周厂界均能达到《工业企业厂界环境噪声排放标准》（GB12348-2008）3类标准要求，本项目50m范围内无敏感点，因此本项目对周围声环境影响较小。</w:t>
            </w:r>
          </w:p>
          <w:p w14:paraId="69ADA410">
            <w:pPr>
              <w:widowControl w:val="0"/>
              <w:wordWrap/>
              <w:autoSpaceDE w:val="0"/>
              <w:autoSpaceDN w:val="0"/>
              <w:adjustRightInd/>
              <w:snapToGrid/>
              <w:spacing w:beforeAutospacing="0" w:afterAutospacing="0" w:line="520" w:lineRule="exact"/>
              <w:ind w:right="0" w:firstLine="480" w:firstLineChars="200"/>
              <w:jc w:val="both"/>
              <w:textAlignment w:val="auto"/>
              <w:rPr>
                <w:rFonts w:hint="eastAsia" w:ascii="Times New Roman" w:hAnsi="Times New Roman" w:cs="宋体"/>
                <w:color w:val="000000" w:themeColor="text1"/>
                <w:sz w:val="24"/>
                <w:szCs w:val="24"/>
                <w:lang w:val="en-US" w:eastAsia="zh-CN"/>
                <w14:textFill>
                  <w14:solidFill>
                    <w14:schemeClr w14:val="tx1"/>
                  </w14:solidFill>
                </w14:textFill>
              </w:rPr>
            </w:pPr>
            <w:r>
              <w:rPr>
                <w:rFonts w:hint="eastAsia" w:ascii="Times New Roman" w:hAnsi="Times New Roman" w:cs="宋体"/>
                <w:color w:val="000000" w:themeColor="text1"/>
                <w:sz w:val="24"/>
                <w:szCs w:val="24"/>
                <w:lang w:val="en-US" w:eastAsia="zh-CN"/>
                <w14:textFill>
                  <w14:solidFill>
                    <w14:schemeClr w14:val="tx1"/>
                  </w14:solidFill>
                </w14:textFill>
              </w:rPr>
              <w:t>根据《排污许可证申请与核发技术规范 工业噪声》（</w:t>
            </w:r>
            <w:r>
              <w:rPr>
                <w:rFonts w:hint="eastAsia" w:ascii="Times New Roman" w:hAnsi="Times New Roman" w:cs="宋体"/>
                <w:color w:val="000000" w:themeColor="text1"/>
                <w:sz w:val="24"/>
                <w:szCs w:val="24"/>
                <w:lang w:val="en-US" w:eastAsia="zh-CN"/>
                <w14:textFill>
                  <w14:solidFill>
                    <w14:schemeClr w14:val="tx1"/>
                  </w14:solidFill>
                </w14:textFill>
              </w:rPr>
              <w:fldChar w:fldCharType="begin"/>
            </w:r>
            <w:r>
              <w:rPr>
                <w:rFonts w:hint="eastAsia" w:ascii="Times New Roman" w:hAnsi="Times New Roman" w:cs="宋体"/>
                <w:color w:val="000000" w:themeColor="text1"/>
                <w:sz w:val="24"/>
                <w:szCs w:val="24"/>
                <w:lang w:val="en-US" w:eastAsia="zh-CN"/>
                <w14:textFill>
                  <w14:solidFill>
                    <w14:schemeClr w14:val="tx1"/>
                  </w14:solidFill>
                </w14:textFill>
              </w:rPr>
              <w:instrText xml:space="preserve"> HYPERLINK "https://www.mee.gov.cn/ywgz/fgbz/bz/bzwb/pwxk/202308/W020230919349861394526.pdf" </w:instrText>
            </w:r>
            <w:r>
              <w:rPr>
                <w:rFonts w:hint="eastAsia" w:ascii="Times New Roman" w:hAnsi="Times New Roman" w:cs="宋体"/>
                <w:color w:val="000000" w:themeColor="text1"/>
                <w:sz w:val="24"/>
                <w:szCs w:val="24"/>
                <w:lang w:val="en-US" w:eastAsia="zh-CN"/>
                <w14:textFill>
                  <w14:solidFill>
                    <w14:schemeClr w14:val="tx1"/>
                  </w14:solidFill>
                </w14:textFill>
              </w:rPr>
              <w:fldChar w:fldCharType="separate"/>
            </w:r>
            <w:r>
              <w:rPr>
                <w:rFonts w:hint="eastAsia" w:ascii="Times New Roman" w:hAnsi="Times New Roman" w:cs="宋体"/>
                <w:color w:val="000000" w:themeColor="text1"/>
                <w:sz w:val="24"/>
                <w:szCs w:val="24"/>
                <w:lang w:val="en-US" w:eastAsia="zh-CN"/>
                <w14:textFill>
                  <w14:solidFill>
                    <w14:schemeClr w14:val="tx1"/>
                  </w14:solidFill>
                </w14:textFill>
              </w:rPr>
              <w:t>HJ 1301—2023</w:t>
            </w:r>
            <w:r>
              <w:rPr>
                <w:rFonts w:hint="eastAsia" w:ascii="Times New Roman" w:hAnsi="Times New Roman" w:cs="宋体"/>
                <w:color w:val="000000" w:themeColor="text1"/>
                <w:sz w:val="24"/>
                <w:szCs w:val="24"/>
                <w:lang w:val="en-US" w:eastAsia="zh-CN"/>
                <w14:textFill>
                  <w14:solidFill>
                    <w14:schemeClr w14:val="tx1"/>
                  </w14:solidFill>
                </w14:textFill>
              </w:rPr>
              <w:fldChar w:fldCharType="end"/>
            </w:r>
            <w:r>
              <w:rPr>
                <w:rFonts w:hint="eastAsia" w:ascii="Times New Roman" w:hAnsi="Times New Roman" w:cs="宋体"/>
                <w:color w:val="000000" w:themeColor="text1"/>
                <w:sz w:val="24"/>
                <w:szCs w:val="24"/>
                <w:lang w:val="en-US" w:eastAsia="zh-CN"/>
                <w14:textFill>
                  <w14:solidFill>
                    <w14:schemeClr w14:val="tx1"/>
                  </w14:solidFill>
                </w14:textFill>
              </w:rPr>
              <w:t>），本项目噪声自行监测方案见下表：</w:t>
            </w:r>
          </w:p>
          <w:p w14:paraId="5228B77C">
            <w:pPr>
              <w:widowControl w:val="0"/>
              <w:wordWrap/>
              <w:autoSpaceDE w:val="0"/>
              <w:autoSpaceDN w:val="0"/>
              <w:adjustRightInd/>
              <w:snapToGrid/>
              <w:spacing w:beforeAutospacing="0" w:afterAutospacing="0" w:line="520" w:lineRule="exact"/>
              <w:ind w:firstLine="0" w:firstLineChars="0"/>
              <w:jc w:val="center"/>
              <w:textAlignment w:val="auto"/>
              <w:rPr>
                <w:rFonts w:hint="eastAsia" w:ascii="Times New Roman" w:hAnsi="Times New Roman" w:eastAsia="黑体" w:cs="Times New Roman"/>
                <w:b w:val="0"/>
                <w:bCs w:val="0"/>
                <w:sz w:val="24"/>
                <w:szCs w:val="24"/>
                <w:lang w:val="en-US" w:eastAsia="zh-CN" w:bidi="zh-CN"/>
              </w:rPr>
            </w:pPr>
            <w:r>
              <w:rPr>
                <w:rFonts w:hint="default" w:ascii="Times New Roman" w:hAnsi="Times New Roman" w:eastAsia="黑体" w:cs="Times New Roman"/>
                <w:b w:val="0"/>
                <w:bCs w:val="0"/>
                <w:sz w:val="24"/>
                <w:szCs w:val="24"/>
                <w:lang w:val="en-US" w:eastAsia="zh-CN" w:bidi="zh-CN"/>
              </w:rPr>
              <w:t>表</w:t>
            </w:r>
            <w:r>
              <w:rPr>
                <w:rFonts w:hint="eastAsia" w:ascii="Times New Roman" w:hAnsi="Times New Roman" w:eastAsia="黑体" w:cs="Times New Roman"/>
                <w:b w:val="0"/>
                <w:bCs w:val="0"/>
                <w:sz w:val="24"/>
                <w:szCs w:val="24"/>
                <w:lang w:val="en-US" w:eastAsia="zh-CN" w:bidi="zh-CN"/>
              </w:rPr>
              <w:t>4-17  噪声监测计划表</w:t>
            </w:r>
          </w:p>
          <w:tbl>
            <w:tblPr>
              <w:tblStyle w:val="24"/>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1214"/>
              <w:gridCol w:w="2075"/>
              <w:gridCol w:w="1847"/>
              <w:gridCol w:w="3089"/>
            </w:tblGrid>
            <w:tr w14:paraId="37A209D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restart"/>
                  <w:tcBorders>
                    <w:tl2br w:val="nil"/>
                    <w:tr2bl w:val="nil"/>
                  </w:tcBorders>
                  <w:vAlign w:val="center"/>
                </w:tcPr>
                <w:p w14:paraId="74BB6257">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项目</w:t>
                  </w:r>
                </w:p>
              </w:tc>
              <w:tc>
                <w:tcPr>
                  <w:tcW w:w="3922" w:type="dxa"/>
                  <w:gridSpan w:val="2"/>
                  <w:tcBorders>
                    <w:tl2br w:val="nil"/>
                    <w:tr2bl w:val="nil"/>
                  </w:tcBorders>
                  <w:vAlign w:val="center"/>
                </w:tcPr>
                <w:p w14:paraId="283A9E7D">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监测要求</w:t>
                  </w:r>
                </w:p>
              </w:tc>
              <w:tc>
                <w:tcPr>
                  <w:tcW w:w="3089" w:type="dxa"/>
                  <w:vMerge w:val="restart"/>
                  <w:tcBorders>
                    <w:tl2br w:val="nil"/>
                    <w:tr2bl w:val="nil"/>
                  </w:tcBorders>
                  <w:vAlign w:val="center"/>
                </w:tcPr>
                <w:p w14:paraId="6893EE24">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执行标准</w:t>
                  </w:r>
                </w:p>
              </w:tc>
            </w:tr>
            <w:tr w14:paraId="11B4BD4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785A3B60">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5" w:type="dxa"/>
                  <w:tcBorders>
                    <w:tl2br w:val="nil"/>
                    <w:tr2bl w:val="nil"/>
                  </w:tcBorders>
                  <w:vAlign w:val="center"/>
                </w:tcPr>
                <w:p w14:paraId="3D6A0056">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监测点位</w:t>
                  </w:r>
                </w:p>
              </w:tc>
              <w:tc>
                <w:tcPr>
                  <w:tcW w:w="1847" w:type="dxa"/>
                  <w:tcBorders>
                    <w:tl2br w:val="nil"/>
                    <w:tr2bl w:val="nil"/>
                  </w:tcBorders>
                  <w:vAlign w:val="center"/>
                </w:tcPr>
                <w:p w14:paraId="433F2F4A">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r>
                    <w:rPr>
                      <w:rFonts w:hint="eastAsia" w:ascii="Times New Roman" w:hAnsi="Times New Roman" w:cs="Times New Roman"/>
                      <w:b/>
                      <w:bCs/>
                      <w:sz w:val="21"/>
                      <w:szCs w:val="21"/>
                      <w:u w:val="none"/>
                      <w:lang w:val="en-US" w:eastAsia="zh-CN" w:bidi="zh-CN"/>
                    </w:rPr>
                    <w:t>监测频次</w:t>
                  </w:r>
                </w:p>
              </w:tc>
              <w:tc>
                <w:tcPr>
                  <w:tcW w:w="3089" w:type="dxa"/>
                  <w:vMerge w:val="continue"/>
                  <w:tcBorders>
                    <w:tl2br w:val="nil"/>
                    <w:tr2bl w:val="nil"/>
                  </w:tcBorders>
                  <w:vAlign w:val="center"/>
                </w:tcPr>
                <w:p w14:paraId="26BBC885">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14:paraId="5D3E4D92">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restart"/>
                  <w:tcBorders>
                    <w:tl2br w:val="nil"/>
                    <w:tr2bl w:val="nil"/>
                  </w:tcBorders>
                  <w:vAlign w:val="center"/>
                </w:tcPr>
                <w:p w14:paraId="6BBD042F">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sz w:val="21"/>
                      <w:szCs w:val="21"/>
                      <w:u w:val="none"/>
                      <w:lang w:val="en-US" w:eastAsia="zh-CN" w:bidi="zh-CN"/>
                    </w:rPr>
                  </w:pPr>
                  <w:r>
                    <w:rPr>
                      <w:rFonts w:hint="eastAsia" w:ascii="Times New Roman" w:hAnsi="Times New Roman" w:cs="Times New Roman"/>
                      <w:b w:val="0"/>
                      <w:bCs w:val="0"/>
                      <w:sz w:val="21"/>
                      <w:szCs w:val="21"/>
                      <w:u w:val="none"/>
                      <w:lang w:val="en-US" w:eastAsia="zh-CN" w:bidi="zh-CN"/>
                    </w:rPr>
                    <w:t>厂界噪声</w:t>
                  </w:r>
                </w:p>
              </w:tc>
              <w:tc>
                <w:tcPr>
                  <w:tcW w:w="2075" w:type="dxa"/>
                  <w:tcBorders>
                    <w:tl2br w:val="nil"/>
                    <w:tr2bl w:val="nil"/>
                  </w:tcBorders>
                  <w:vAlign w:val="center"/>
                </w:tcPr>
                <w:p w14:paraId="06816AFB">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val="0"/>
                      <w:bCs w:val="0"/>
                      <w:sz w:val="21"/>
                      <w:szCs w:val="21"/>
                      <w:u w:val="none"/>
                      <w:lang w:val="en-US" w:eastAsia="zh-CN" w:bidi="zh-CN"/>
                    </w:rPr>
                  </w:pPr>
                  <w:r>
                    <w:rPr>
                      <w:rFonts w:hint="default" w:ascii="Times New Roman" w:hAnsi="Times New Roman" w:eastAsia="宋体"/>
                      <w:b w:val="0"/>
                      <w:bCs w:val="0"/>
                      <w:color w:val="000000"/>
                      <w:sz w:val="21"/>
                      <w:szCs w:val="21"/>
                      <w:u w:val="none"/>
                    </w:rPr>
                    <w:t>东厂界</w:t>
                  </w:r>
                </w:p>
              </w:tc>
              <w:tc>
                <w:tcPr>
                  <w:tcW w:w="1847" w:type="dxa"/>
                  <w:vMerge w:val="restart"/>
                  <w:tcBorders>
                    <w:tl2br w:val="nil"/>
                    <w:tr2bl w:val="nil"/>
                  </w:tcBorders>
                  <w:vAlign w:val="center"/>
                </w:tcPr>
                <w:p w14:paraId="5E74DDCE">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val="0"/>
                      <w:bCs w:val="0"/>
                      <w:sz w:val="21"/>
                      <w:szCs w:val="21"/>
                      <w:u w:val="none"/>
                      <w:lang w:val="en-US" w:eastAsia="zh-CN" w:bidi="zh-CN"/>
                    </w:rPr>
                  </w:pPr>
                  <w:r>
                    <w:rPr>
                      <w:rFonts w:hint="eastAsia" w:ascii="Times New Roman" w:hAnsi="Times New Roman" w:cs="Times New Roman"/>
                      <w:b w:val="0"/>
                      <w:bCs w:val="0"/>
                      <w:sz w:val="21"/>
                      <w:szCs w:val="21"/>
                      <w:u w:val="none"/>
                      <w:lang w:val="en-US" w:eastAsia="zh-CN" w:bidi="zh-CN"/>
                    </w:rPr>
                    <w:t>1次/季度</w:t>
                  </w:r>
                </w:p>
              </w:tc>
              <w:tc>
                <w:tcPr>
                  <w:tcW w:w="3089" w:type="dxa"/>
                  <w:vMerge w:val="restart"/>
                  <w:tcBorders>
                    <w:tl2br w:val="nil"/>
                    <w:tr2bl w:val="nil"/>
                  </w:tcBorders>
                  <w:vAlign w:val="center"/>
                </w:tcPr>
                <w:p w14:paraId="459D7C0C">
                  <w:pPr>
                    <w:pStyle w:val="44"/>
                    <w:widowControl w:val="0"/>
                    <w:numPr>
                      <w:ilvl w:val="0"/>
                      <w:numId w:val="0"/>
                    </w:numPr>
                    <w:wordWrap/>
                    <w:autoSpaceDE w:val="0"/>
                    <w:adjustRightInd/>
                    <w:snapToGrid/>
                    <w:spacing w:before="0" w:beforeAutospacing="0" w:afterAutospacing="0" w:line="360" w:lineRule="exact"/>
                    <w:ind w:right="0"/>
                    <w:jc w:val="both"/>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lang w:val="en-US" w:eastAsia="zh-CN"/>
                    </w:rPr>
                    <w:t>《工业企业厂界环境噪声排放标准》（GB12348-2008）3类标准</w:t>
                  </w:r>
                </w:p>
              </w:tc>
            </w:tr>
            <w:tr w14:paraId="34DC059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3109C031">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5" w:type="dxa"/>
                  <w:tcBorders>
                    <w:tl2br w:val="nil"/>
                    <w:tr2bl w:val="nil"/>
                  </w:tcBorders>
                  <w:vAlign w:val="center"/>
                </w:tcPr>
                <w:p w14:paraId="0ED98FFE">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西厂界</w:t>
                  </w:r>
                </w:p>
              </w:tc>
              <w:tc>
                <w:tcPr>
                  <w:tcW w:w="1847" w:type="dxa"/>
                  <w:vMerge w:val="continue"/>
                  <w:tcBorders>
                    <w:tl2br w:val="nil"/>
                    <w:tr2bl w:val="nil"/>
                  </w:tcBorders>
                  <w:vAlign w:val="center"/>
                </w:tcPr>
                <w:p w14:paraId="28FE63A8">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9" w:type="dxa"/>
                  <w:vMerge w:val="continue"/>
                  <w:tcBorders>
                    <w:tl2br w:val="nil"/>
                    <w:tr2bl w:val="nil"/>
                  </w:tcBorders>
                  <w:vAlign w:val="center"/>
                </w:tcPr>
                <w:p w14:paraId="1116B2D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14:paraId="0A326778">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07F8B886">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5" w:type="dxa"/>
                  <w:tcBorders>
                    <w:tl2br w:val="nil"/>
                    <w:tr2bl w:val="nil"/>
                  </w:tcBorders>
                  <w:vAlign w:val="center"/>
                </w:tcPr>
                <w:p w14:paraId="2F3A539D">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南厂界</w:t>
                  </w:r>
                </w:p>
              </w:tc>
              <w:tc>
                <w:tcPr>
                  <w:tcW w:w="1847" w:type="dxa"/>
                  <w:vMerge w:val="continue"/>
                  <w:tcBorders>
                    <w:tl2br w:val="nil"/>
                    <w:tr2bl w:val="nil"/>
                  </w:tcBorders>
                  <w:vAlign w:val="center"/>
                </w:tcPr>
                <w:p w14:paraId="3508C083">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9" w:type="dxa"/>
                  <w:vMerge w:val="continue"/>
                  <w:tcBorders>
                    <w:tl2br w:val="nil"/>
                    <w:tr2bl w:val="nil"/>
                  </w:tcBorders>
                  <w:vAlign w:val="center"/>
                </w:tcPr>
                <w:p w14:paraId="6A51D06F">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r w14:paraId="5BD8BC0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214" w:type="dxa"/>
                  <w:vMerge w:val="continue"/>
                  <w:tcBorders>
                    <w:tl2br w:val="nil"/>
                    <w:tr2bl w:val="nil"/>
                  </w:tcBorders>
                  <w:vAlign w:val="center"/>
                </w:tcPr>
                <w:p w14:paraId="28257E2E">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2075" w:type="dxa"/>
                  <w:tcBorders>
                    <w:tl2br w:val="nil"/>
                    <w:tr2bl w:val="nil"/>
                  </w:tcBorders>
                  <w:vAlign w:val="center"/>
                </w:tcPr>
                <w:p w14:paraId="411E773F">
                  <w:pPr>
                    <w:widowControl w:val="0"/>
                    <w:wordWrap/>
                    <w:autoSpaceDE w:val="0"/>
                    <w:adjustRightInd/>
                    <w:snapToGrid/>
                    <w:spacing w:beforeAutospacing="0" w:afterAutospacing="0" w:line="360" w:lineRule="exact"/>
                    <w:ind w:left="0" w:leftChars="0" w:right="0"/>
                    <w:jc w:val="center"/>
                    <w:textAlignment w:val="auto"/>
                    <w:rPr>
                      <w:rFonts w:hint="eastAsia" w:ascii="Times New Roman" w:hAnsi="Times New Roman" w:cs="Times New Roman"/>
                      <w:b/>
                      <w:bCs/>
                      <w:sz w:val="21"/>
                      <w:szCs w:val="21"/>
                      <w:u w:val="none"/>
                      <w:lang w:val="en-US" w:eastAsia="zh-CN" w:bidi="zh-CN"/>
                    </w:rPr>
                  </w:pPr>
                  <w:r>
                    <w:rPr>
                      <w:rFonts w:hint="default" w:ascii="Times New Roman" w:hAnsi="Times New Roman" w:eastAsia="宋体"/>
                      <w:color w:val="000000"/>
                      <w:sz w:val="21"/>
                      <w:szCs w:val="21"/>
                      <w:u w:val="none"/>
                    </w:rPr>
                    <w:t>北厂界</w:t>
                  </w:r>
                </w:p>
              </w:tc>
              <w:tc>
                <w:tcPr>
                  <w:tcW w:w="1847" w:type="dxa"/>
                  <w:vMerge w:val="continue"/>
                  <w:tcBorders>
                    <w:tl2br w:val="nil"/>
                    <w:tr2bl w:val="nil"/>
                  </w:tcBorders>
                  <w:vAlign w:val="center"/>
                </w:tcPr>
                <w:p w14:paraId="4178626C">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c>
                <w:tcPr>
                  <w:tcW w:w="3089" w:type="dxa"/>
                  <w:vMerge w:val="continue"/>
                  <w:tcBorders>
                    <w:tl2br w:val="nil"/>
                    <w:tr2bl w:val="nil"/>
                  </w:tcBorders>
                  <w:vAlign w:val="center"/>
                </w:tcPr>
                <w:p w14:paraId="70B5644A">
                  <w:pPr>
                    <w:pStyle w:val="44"/>
                    <w:widowControl w:val="0"/>
                    <w:numPr>
                      <w:ilvl w:val="0"/>
                      <w:numId w:val="0"/>
                    </w:numPr>
                    <w:wordWrap/>
                    <w:autoSpaceDE w:val="0"/>
                    <w:adjustRightInd/>
                    <w:snapToGrid/>
                    <w:spacing w:before="0" w:beforeAutospacing="0" w:afterAutospacing="0" w:line="360" w:lineRule="exact"/>
                    <w:ind w:right="0"/>
                    <w:jc w:val="center"/>
                    <w:textAlignment w:val="auto"/>
                    <w:rPr>
                      <w:rFonts w:hint="eastAsia" w:ascii="Times New Roman" w:hAnsi="Times New Roman" w:cs="Times New Roman"/>
                      <w:b/>
                      <w:bCs/>
                      <w:sz w:val="21"/>
                      <w:szCs w:val="21"/>
                      <w:u w:val="none"/>
                      <w:lang w:val="en-US" w:eastAsia="zh-CN" w:bidi="zh-CN"/>
                    </w:rPr>
                  </w:pPr>
                </w:p>
              </w:tc>
            </w:tr>
          </w:tbl>
          <w:p w14:paraId="5C4B141D">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sz w:val="24"/>
                <w:szCs w:val="24"/>
                <w:u w:val="none"/>
                <w:lang w:val="en-US" w:eastAsia="zh-CN" w:bidi="zh-CN"/>
              </w:rPr>
            </w:pPr>
            <w:r>
              <w:rPr>
                <w:rFonts w:hint="eastAsia" w:ascii="Times New Roman" w:hAnsi="Times New Roman" w:cs="Times New Roman"/>
                <w:b/>
                <w:bCs/>
                <w:sz w:val="24"/>
                <w:szCs w:val="24"/>
                <w:u w:val="none"/>
                <w:lang w:val="en-US" w:eastAsia="zh-CN" w:bidi="zh-CN"/>
              </w:rPr>
              <w:t>五、固体废物</w:t>
            </w:r>
          </w:p>
          <w:p w14:paraId="6A930C13">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cs="Times New Roman"/>
                <w:b/>
                <w:bCs/>
                <w:color w:val="000000"/>
                <w:sz w:val="24"/>
                <w:szCs w:val="24"/>
                <w:u w:val="none"/>
                <w:lang w:val="en-US" w:eastAsia="zh-CN" w:bidi="zh-CN"/>
              </w:rPr>
            </w:pPr>
            <w:r>
              <w:rPr>
                <w:rFonts w:hint="eastAsia" w:ascii="Times New Roman" w:hAnsi="Times New Roman" w:cs="Times New Roman"/>
                <w:b/>
                <w:bCs/>
                <w:color w:val="000000"/>
                <w:sz w:val="24"/>
                <w:szCs w:val="24"/>
                <w:u w:val="none"/>
                <w:lang w:val="en-US" w:eastAsia="zh-CN" w:bidi="zh-CN"/>
              </w:rPr>
              <w:t>（一）固废属性判定</w:t>
            </w:r>
          </w:p>
          <w:p w14:paraId="138E761C">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sz w:val="24"/>
                <w:szCs w:val="24"/>
                <w:u w:val="none"/>
                <w:lang w:val="en-US" w:eastAsia="zh-CN" w:bidi="zh-CN"/>
              </w:rPr>
              <w:t>本项目产生的固体废</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物主要为员工的生活垃圾、废包装、</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废活性炭、废化妆瓶</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14:paraId="0B65ECD3">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①</w:t>
            </w:r>
            <w:r>
              <w:rPr>
                <w:rFonts w:hint="eastAsia" w:ascii="Times New Roman" w:hAnsi="Times New Roman" w:eastAsia="宋体" w:cs="Times New Roman"/>
                <w:b w:val="0"/>
                <w:bCs w:val="0"/>
                <w:color w:val="000000"/>
                <w:sz w:val="24"/>
                <w:szCs w:val="24"/>
                <w:u w:val="none"/>
                <w:lang w:val="en-US" w:eastAsia="zh-CN" w:bidi="zh-CN"/>
              </w:rPr>
              <w:t>生活垃圾</w:t>
            </w:r>
          </w:p>
          <w:p w14:paraId="195EF3AB">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项目</w:t>
            </w:r>
            <w:r>
              <w:rPr>
                <w:rFonts w:hint="default" w:ascii="Times New Roman" w:hAnsi="Times New Roman" w:eastAsia="宋体" w:cs="Times New Roman"/>
                <w:b w:val="0"/>
                <w:bCs w:val="0"/>
                <w:color w:val="000000"/>
                <w:sz w:val="24"/>
                <w:szCs w:val="24"/>
                <w:u w:val="none"/>
                <w:lang w:val="en-US" w:eastAsia="zh-CN" w:bidi="zh-CN"/>
              </w:rPr>
              <w:t>职工人数约</w:t>
            </w:r>
            <w:r>
              <w:rPr>
                <w:rFonts w:hint="eastAsia" w:ascii="Times New Roman" w:hAnsi="Times New Roman" w:cs="Times New Roman"/>
                <w:b w:val="0"/>
                <w:bCs w:val="0"/>
                <w:color w:val="000000"/>
                <w:sz w:val="24"/>
                <w:szCs w:val="24"/>
                <w:u w:val="none"/>
                <w:lang w:val="en-US" w:eastAsia="zh-CN" w:bidi="zh-CN"/>
              </w:rPr>
              <w:t>15</w:t>
            </w:r>
            <w:r>
              <w:rPr>
                <w:rFonts w:hint="default" w:ascii="Times New Roman" w:hAnsi="Times New Roman" w:eastAsia="宋体" w:cs="Times New Roman"/>
                <w:b w:val="0"/>
                <w:bCs w:val="0"/>
                <w:color w:val="000000"/>
                <w:sz w:val="24"/>
                <w:szCs w:val="24"/>
                <w:u w:val="none"/>
                <w:lang w:val="en-US" w:eastAsia="zh-CN" w:bidi="zh-CN"/>
              </w:rPr>
              <w:t>人，以人均日产生生活垃圾0.5kg/d计，年产生生活垃圾</w:t>
            </w:r>
            <w:r>
              <w:rPr>
                <w:rFonts w:hint="eastAsia" w:ascii="Times New Roman" w:hAnsi="Times New Roman" w:cs="Times New Roman"/>
                <w:b w:val="0"/>
                <w:bCs w:val="0"/>
                <w:color w:val="000000"/>
                <w:sz w:val="24"/>
                <w:szCs w:val="24"/>
                <w:u w:val="none"/>
                <w:lang w:val="en-US" w:eastAsia="zh-CN" w:bidi="zh-CN"/>
              </w:rPr>
              <w:t>2.25</w:t>
            </w:r>
            <w:r>
              <w:rPr>
                <w:rFonts w:hint="default" w:ascii="Times New Roman" w:hAnsi="Times New Roman" w:eastAsia="宋体" w:cs="Times New Roman"/>
                <w:b w:val="0"/>
                <w:bCs w:val="0"/>
                <w:color w:val="000000"/>
                <w:sz w:val="24"/>
                <w:szCs w:val="24"/>
                <w:u w:val="none"/>
                <w:lang w:val="en-US" w:eastAsia="zh-CN" w:bidi="zh-CN"/>
              </w:rPr>
              <w:t>t</w:t>
            </w:r>
            <w:r>
              <w:rPr>
                <w:rFonts w:hint="eastAsia" w:ascii="Times New Roman" w:hAnsi="Times New Roman" w:eastAsia="宋体" w:cs="Times New Roman"/>
                <w:b w:val="0"/>
                <w:bCs w:val="0"/>
                <w:color w:val="000000"/>
                <w:sz w:val="24"/>
                <w:szCs w:val="24"/>
                <w:u w:val="none"/>
                <w:lang w:val="en-US" w:eastAsia="zh-CN" w:bidi="zh-CN"/>
              </w:rPr>
              <w:t>/a。</w:t>
            </w:r>
          </w:p>
          <w:p w14:paraId="7674155C">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②</w:t>
            </w:r>
            <w:r>
              <w:rPr>
                <w:rFonts w:hint="eastAsia" w:ascii="Times New Roman" w:hAnsi="Times New Roman" w:cs="Times New Roman"/>
                <w:b w:val="0"/>
                <w:bCs w:val="0"/>
                <w:color w:val="000000"/>
                <w:sz w:val="24"/>
                <w:szCs w:val="24"/>
                <w:u w:val="none"/>
                <w:lang w:val="en-US" w:eastAsia="zh-CN" w:bidi="zh-CN"/>
              </w:rPr>
              <w:t>废包装袋</w:t>
            </w:r>
          </w:p>
          <w:p w14:paraId="5833E64C">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根据企业提供资料，废包装袋产生量为0.1t/a，收集后</w:t>
            </w:r>
            <w:r>
              <w:rPr>
                <w:rFonts w:hint="eastAsia" w:ascii="Times New Roman" w:hAnsi="Times New Roman" w:cs="Times New Roman"/>
                <w:b w:val="0"/>
                <w:bCs w:val="0"/>
                <w:color w:val="000000"/>
                <w:sz w:val="24"/>
                <w:szCs w:val="24"/>
                <w:u w:val="none"/>
                <w:lang w:val="en-US" w:eastAsia="zh-CN" w:bidi="zh-CN"/>
              </w:rPr>
              <w:t>一般固废间暂存后</w:t>
            </w:r>
            <w:r>
              <w:rPr>
                <w:rFonts w:hint="eastAsia" w:ascii="Times New Roman" w:hAnsi="Times New Roman" w:eastAsia="宋体" w:cs="Times New Roman"/>
                <w:b w:val="0"/>
                <w:bCs w:val="0"/>
                <w:color w:val="000000"/>
                <w:sz w:val="24"/>
                <w:szCs w:val="24"/>
                <w:u w:val="none"/>
                <w:lang w:val="en-US" w:eastAsia="zh-CN" w:bidi="zh-CN"/>
              </w:rPr>
              <w:t>外售综合利用。</w:t>
            </w:r>
          </w:p>
          <w:p w14:paraId="37ADD31A">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default" w:ascii="Times New Roman" w:hAnsi="Times New Roman" w:eastAsia="宋体" w:cs="Times New Roman"/>
                <w:b w:val="0"/>
                <w:bCs w:val="0"/>
                <w:color w:val="000000"/>
                <w:sz w:val="24"/>
                <w:szCs w:val="24"/>
                <w:u w:val="none"/>
                <w:lang w:val="en-US" w:eastAsia="zh-CN" w:bidi="zh-CN"/>
              </w:rPr>
              <w:t>③</w:t>
            </w:r>
            <w:r>
              <w:rPr>
                <w:rFonts w:hint="eastAsia" w:ascii="Times New Roman" w:hAnsi="Times New Roman" w:cs="Times New Roman"/>
                <w:b w:val="0"/>
                <w:bCs w:val="0"/>
                <w:color w:val="000000"/>
                <w:sz w:val="24"/>
                <w:szCs w:val="24"/>
                <w:u w:val="none"/>
                <w:lang w:val="en-US" w:eastAsia="zh-CN" w:bidi="zh-CN"/>
              </w:rPr>
              <w:t>废活性炭</w:t>
            </w:r>
          </w:p>
          <w:p w14:paraId="36F9E855">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废活性炭：VOCs环保治理设备产生废活性炭，根据工程分析，活性炭吸附装置处理的VOCs量为</w:t>
            </w:r>
            <w:r>
              <w:rPr>
                <w:rFonts w:hint="eastAsia" w:ascii="Times New Roman" w:hAnsi="Times New Roman" w:cs="Times New Roman"/>
                <w:b w:val="0"/>
                <w:bCs w:val="0"/>
                <w:color w:val="000000"/>
                <w:sz w:val="24"/>
                <w:szCs w:val="24"/>
                <w:u w:val="none"/>
                <w:lang w:val="en-US" w:eastAsia="zh-CN" w:bidi="zh-CN"/>
              </w:rPr>
              <w:t>0.0151</w:t>
            </w:r>
            <w:r>
              <w:rPr>
                <w:rFonts w:hint="eastAsia" w:ascii="Times New Roman" w:hAnsi="Times New Roman" w:eastAsia="宋体" w:cs="Times New Roman"/>
                <w:b w:val="0"/>
                <w:bCs w:val="0"/>
                <w:color w:val="000000"/>
                <w:sz w:val="24"/>
                <w:szCs w:val="24"/>
                <w:u w:val="none"/>
                <w:lang w:val="en-US" w:eastAsia="zh-CN" w:bidi="zh-CN"/>
              </w:rPr>
              <w:t>t/a，按照1kg活性炭吸附0.30kg非甲烷总烃计。</w:t>
            </w:r>
          </w:p>
          <w:p w14:paraId="5BA60DB7">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废活性炭产生量=活性炭吸附装置处理量+废活性炭质量=</w:t>
            </w:r>
            <w:r>
              <w:rPr>
                <w:rFonts w:hint="eastAsia" w:ascii="Times New Roman" w:hAnsi="Times New Roman" w:cs="Times New Roman"/>
                <w:b w:val="0"/>
                <w:bCs w:val="0"/>
                <w:color w:val="000000"/>
                <w:sz w:val="24"/>
                <w:szCs w:val="24"/>
                <w:u w:val="none"/>
                <w:lang w:val="en-US" w:eastAsia="zh-CN" w:bidi="zh-CN"/>
              </w:rPr>
              <w:t>0.0151</w:t>
            </w:r>
            <w:r>
              <w:rPr>
                <w:rFonts w:hint="eastAsia" w:ascii="Times New Roman" w:hAnsi="Times New Roman" w:eastAsia="宋体" w:cs="Times New Roman"/>
                <w:b w:val="0"/>
                <w:bCs w:val="0"/>
                <w:color w:val="000000"/>
                <w:sz w:val="24"/>
                <w:szCs w:val="24"/>
                <w:u w:val="none"/>
                <w:lang w:val="en-US" w:eastAsia="zh-CN" w:bidi="zh-CN"/>
              </w:rPr>
              <w:t>+</w:t>
            </w:r>
            <w:r>
              <w:rPr>
                <w:rFonts w:hint="eastAsia" w:ascii="Times New Roman" w:hAnsi="Times New Roman" w:cs="Times New Roman"/>
                <w:b w:val="0"/>
                <w:bCs w:val="0"/>
                <w:color w:val="000000"/>
                <w:sz w:val="24"/>
                <w:szCs w:val="24"/>
                <w:u w:val="none"/>
                <w:lang w:val="en-US" w:eastAsia="zh-CN" w:bidi="zh-CN"/>
              </w:rPr>
              <w:t>0.0151</w:t>
            </w:r>
            <w:r>
              <w:rPr>
                <w:rFonts w:hint="eastAsia" w:ascii="Times New Roman" w:hAnsi="Times New Roman" w:eastAsia="宋体" w:cs="Times New Roman"/>
                <w:b w:val="0"/>
                <w:bCs w:val="0"/>
                <w:color w:val="000000"/>
                <w:sz w:val="24"/>
                <w:szCs w:val="24"/>
                <w:u w:val="none"/>
                <w:lang w:val="en-US" w:eastAsia="zh-CN" w:bidi="zh-CN"/>
              </w:rPr>
              <w:t>/0.30=</w:t>
            </w:r>
            <w:r>
              <w:rPr>
                <w:rFonts w:hint="eastAsia" w:ascii="Times New Roman" w:hAnsi="Times New Roman" w:cs="Times New Roman"/>
                <w:b w:val="0"/>
                <w:bCs w:val="0"/>
                <w:color w:val="000000"/>
                <w:sz w:val="24"/>
                <w:szCs w:val="24"/>
                <w:u w:val="none"/>
                <w:lang w:val="en-US" w:eastAsia="zh-CN" w:bidi="zh-CN"/>
              </w:rPr>
              <w:t>0.0654</w:t>
            </w:r>
            <w:r>
              <w:rPr>
                <w:rFonts w:hint="eastAsia" w:ascii="Times New Roman" w:hAnsi="Times New Roman" w:eastAsia="宋体" w:cs="Times New Roman"/>
                <w:b w:val="0"/>
                <w:bCs w:val="0"/>
                <w:color w:val="000000"/>
                <w:sz w:val="24"/>
                <w:szCs w:val="24"/>
                <w:u w:val="none"/>
                <w:lang w:val="en-US" w:eastAsia="zh-CN" w:bidi="zh-CN"/>
              </w:rPr>
              <w:t>t/a。根据《国家危险废物名录》（2025年版），废活性炭属于危险废物，危废编号为HW49，废物代码900-039-49，收集后交由有资质的危废单位处理。</w:t>
            </w:r>
          </w:p>
          <w:p w14:paraId="22A9B6CD">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宋体" w:hAnsi="宋体" w:eastAsia="宋体" w:cs="宋体"/>
                <w:b w:val="0"/>
                <w:bCs w:val="0"/>
                <w:color w:val="000000" w:themeColor="text1"/>
                <w:sz w:val="24"/>
                <w:szCs w:val="24"/>
                <w:u w:val="no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lang w:val="en-US" w:eastAsia="zh-CN" w:bidi="zh-CN"/>
                <w14:textFill>
                  <w14:solidFill>
                    <w14:schemeClr w14:val="tx1"/>
                  </w14:solidFill>
                </w14:textFill>
              </w:rPr>
              <w:t>④废化妆瓶</w:t>
            </w:r>
          </w:p>
          <w:p w14:paraId="3AD4CE17">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化妆工序使用水性</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，每瓶</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约1kg，项目使用</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约为5种，根据企业提供资料，</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使用量较少，</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年使用10kg</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《国家危险废物名录（2025年版）》中HW49其他废物-900-041-49规定的危险废物为含有或者沾染毒性、感染性危险废物的废弃的包装物、容器、过滤吸附介质。水性化妆颜料</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主要成分为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水、</w:t>
            </w:r>
            <w:r>
              <w:rPr>
                <w:rFonts w:hint="eastAsia" w:ascii="Times New Roman" w:hAnsi="Times New Roman" w:eastAsia="宋体" w:cs="Times New Roman"/>
                <w:bCs/>
                <w:color w:val="000000" w:themeColor="text1"/>
                <w:kern w:val="0"/>
                <w:sz w:val="24"/>
                <w:szCs w:val="24"/>
                <w:u w:val="none" w:color="auto"/>
                <w:lang w:val="zh-CN" w:eastAsia="zh-CN" w:bidi="zh-CN"/>
                <w14:textFill>
                  <w14:solidFill>
                    <w14:schemeClr w14:val="tx1"/>
                  </w14:solidFill>
                </w14:textFill>
              </w:rPr>
              <w:t>丙烯酸酯、甲基丙烯酸酯和丙烯酸</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，其中</w:t>
            </w:r>
            <w:r>
              <w:rPr>
                <w:rFonts w:hint="eastAsia" w:ascii="Times New Roman" w:hAnsi="Times New Roman" w:eastAsia="宋体" w:cs="Times New Roman"/>
                <w:bCs/>
                <w:color w:val="000000" w:themeColor="text1"/>
                <w:kern w:val="0"/>
                <w:sz w:val="24"/>
                <w:szCs w:val="24"/>
                <w:u w:val="none" w:color="auto"/>
                <w:lang w:val="zh-CN" w:eastAsia="zh-CN" w:bidi="zh-CN"/>
                <w14:textFill>
                  <w14:solidFill>
                    <w14:schemeClr w14:val="tx1"/>
                  </w14:solidFill>
                </w14:textFill>
              </w:rPr>
              <w:t>丙烯酸酯、甲基丙烯酸酯和丙烯酸</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均不属于毒性、感染性物质，因此</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废</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化妆瓶不属于危险废物。瓶重约30g，则废化妆瓶产生量为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0.3</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kg/a</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w:t>
            </w:r>
          </w:p>
          <w:p w14:paraId="3DB9A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eastAsia" w:ascii="Times New Roman" w:hAnsi="Times New Roman" w:eastAsia="宋体" w:cs="宋体"/>
                <w:bCs/>
                <w:sz w:val="24"/>
                <w:u w:val="none"/>
                <w:lang w:val="en-US" w:eastAsia="zh-CN"/>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本项目危险废物暂存间贮存面积约为</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10</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，危险废物分</w:t>
            </w:r>
            <w:r>
              <w:rPr>
                <w:rFonts w:hint="eastAsia" w:ascii="Times New Roman" w:hAnsi="Times New Roman" w:eastAsia="宋体" w:cs="Times New Roman"/>
                <w:b w:val="0"/>
                <w:bCs w:val="0"/>
                <w:color w:val="000000"/>
                <w:sz w:val="24"/>
                <w:szCs w:val="24"/>
                <w:u w:val="none"/>
                <w:lang w:val="en-US" w:eastAsia="zh-CN" w:bidi="zh-CN"/>
              </w:rPr>
              <w:t>类储存，使用桶装，运转周期、贮存期为每1年一次。按每平方存放1t固体废物计，本项目固体废物贮存场所的面积足以满足贮存要求。</w:t>
            </w:r>
          </w:p>
          <w:p w14:paraId="10F581C2">
            <w:pPr>
              <w:keepNext w:val="0"/>
              <w:keepLines w:val="0"/>
              <w:pageBreakBefore w:val="0"/>
              <w:widowControl w:val="0"/>
              <w:suppressLineNumbers w:val="0"/>
              <w:kinsoku/>
              <w:wordWrap/>
              <w:overflowPunct/>
              <w:topLinePunct w:val="0"/>
              <w:autoSpaceDE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项目危险废物产生及</w:t>
            </w:r>
            <w:r>
              <w:rPr>
                <w:rFonts w:hint="eastAsia" w:ascii="Times New Roman" w:hAnsi="Times New Roman" w:cs="宋体"/>
                <w:bCs/>
                <w:sz w:val="24"/>
                <w:u w:val="none"/>
                <w:lang w:val="en-US" w:eastAsia="zh-CN"/>
              </w:rPr>
              <w:t>处置</w:t>
            </w:r>
            <w:r>
              <w:rPr>
                <w:rFonts w:hint="eastAsia" w:ascii="Times New Roman" w:hAnsi="Times New Roman" w:eastAsia="宋体" w:cs="宋体"/>
                <w:bCs/>
                <w:sz w:val="24"/>
                <w:u w:val="none"/>
                <w:lang w:val="en-US" w:eastAsia="zh-CN"/>
              </w:rPr>
              <w:t>情况见表</w:t>
            </w:r>
            <w:r>
              <w:rPr>
                <w:rFonts w:hint="eastAsia" w:ascii="Times New Roman" w:hAnsi="Times New Roman" w:cs="宋体"/>
                <w:bCs/>
                <w:sz w:val="24"/>
                <w:u w:val="none"/>
                <w:lang w:val="en-US" w:eastAsia="zh-CN"/>
              </w:rPr>
              <w:t>4-18</w:t>
            </w:r>
            <w:r>
              <w:rPr>
                <w:rFonts w:hint="eastAsia" w:ascii="Times New Roman" w:hAnsi="Times New Roman" w:eastAsia="宋体" w:cs="宋体"/>
                <w:bCs/>
                <w:sz w:val="24"/>
                <w:u w:val="none"/>
                <w:lang w:val="en-US" w:eastAsia="zh-CN"/>
              </w:rPr>
              <w:t>，项目危废储存场所基本情况见表</w:t>
            </w:r>
            <w:r>
              <w:rPr>
                <w:rFonts w:hint="eastAsia" w:ascii="Times New Roman" w:hAnsi="Times New Roman" w:cs="宋体"/>
                <w:bCs/>
                <w:sz w:val="24"/>
                <w:u w:val="none"/>
                <w:lang w:val="en-US" w:eastAsia="zh-CN"/>
              </w:rPr>
              <w:t>4-19</w:t>
            </w:r>
            <w:r>
              <w:rPr>
                <w:rFonts w:hint="eastAsia" w:ascii="Times New Roman" w:hAnsi="Times New Roman" w:eastAsia="宋体" w:cs="宋体"/>
                <w:bCs/>
                <w:sz w:val="24"/>
                <w:u w:val="none"/>
                <w:lang w:val="en-US" w:eastAsia="zh-CN"/>
              </w:rPr>
              <w:t>。</w:t>
            </w:r>
          </w:p>
          <w:p w14:paraId="25C77A89">
            <w:pPr>
              <w:widowControl w:val="0"/>
              <w:wordWrap/>
              <w:adjustRightInd/>
              <w:snapToGrid/>
              <w:spacing w:before="0" w:beforeAutospacing="0" w:after="0" w:afterAutospacing="0" w:line="520" w:lineRule="exact"/>
              <w:ind w:left="0" w:right="0" w:firstLine="480" w:firstLineChars="200"/>
              <w:jc w:val="center"/>
              <w:textAlignment w:val="baseline"/>
              <w:rPr>
                <w:rFonts w:hint="eastAsia"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4-18</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项目危险废物产生及处置情况一览表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955"/>
              <w:gridCol w:w="1130"/>
              <w:gridCol w:w="570"/>
              <w:gridCol w:w="960"/>
              <w:gridCol w:w="980"/>
              <w:gridCol w:w="1040"/>
              <w:gridCol w:w="800"/>
              <w:gridCol w:w="1318"/>
            </w:tblGrid>
            <w:tr w14:paraId="2A2D0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5" w:type="pct"/>
                  <w:vAlign w:val="center"/>
                </w:tcPr>
                <w:p w14:paraId="52DB0F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eastAsia" w:ascii="Times New Roman" w:hAnsi="Times New Roman" w:eastAsia="宋体" w:cs="Times New Roman"/>
                      <w:b/>
                      <w:bCs/>
                      <w:color w:val="auto"/>
                      <w:kern w:val="0"/>
                      <w:sz w:val="21"/>
                      <w:szCs w:val="21"/>
                      <w:highlight w:val="none"/>
                      <w:u w:val="none"/>
                      <w:lang w:val="en-US" w:eastAsia="zh-CN" w:bidi="ar-SA"/>
                    </w:rPr>
                    <w:t>序号</w:t>
                  </w:r>
                </w:p>
              </w:tc>
              <w:tc>
                <w:tcPr>
                  <w:tcW w:w="580" w:type="pct"/>
                  <w:vAlign w:val="center"/>
                </w:tcPr>
                <w:p w14:paraId="02B1DE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u w:val="none"/>
                      <w:lang w:val="en-US" w:eastAsia="zh-CN" w:bidi="ar-SA"/>
                      <w14:textFill>
                        <w14:solidFill>
                          <w14:schemeClr w14:val="tx1"/>
                        </w14:solidFill>
                      </w14:textFill>
                    </w:rPr>
                    <w:t>危废名称</w:t>
                  </w:r>
                </w:p>
              </w:tc>
              <w:tc>
                <w:tcPr>
                  <w:tcW w:w="687" w:type="pct"/>
                  <w:vAlign w:val="center"/>
                </w:tcPr>
                <w:p w14:paraId="32937B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u w:val="none"/>
                      <w:lang w:val="en-US" w:eastAsia="zh-CN" w:bidi="ar-SA"/>
                      <w14:textFill>
                        <w14:solidFill>
                          <w14:schemeClr w14:val="tx1"/>
                        </w14:solidFill>
                      </w14:textFill>
                    </w:rPr>
                    <w:t>产生量（</w:t>
                  </w:r>
                  <w:r>
                    <w:rPr>
                      <w:rFonts w:hint="eastAsia" w:ascii="Times New Roman" w:hAnsi="Times New Roman" w:cs="Times New Roman"/>
                      <w:b/>
                      <w:bCs/>
                      <w:color w:val="000000" w:themeColor="text1"/>
                      <w:kern w:val="0"/>
                      <w:sz w:val="21"/>
                      <w:szCs w:val="21"/>
                      <w:highlight w:val="none"/>
                      <w:u w:val="none"/>
                      <w:lang w:val="en-US" w:eastAsia="zh-CN" w:bidi="ar-SA"/>
                      <w14:textFill>
                        <w14:solidFill>
                          <w14:schemeClr w14:val="tx1"/>
                        </w14:solidFill>
                      </w14:textFill>
                    </w:rPr>
                    <w:t>t/a</w:t>
                  </w:r>
                  <w:r>
                    <w:rPr>
                      <w:rFonts w:hint="eastAsia" w:ascii="Times New Roman" w:hAnsi="Times New Roman" w:eastAsia="宋体" w:cs="Times New Roman"/>
                      <w:b/>
                      <w:bCs/>
                      <w:color w:val="000000" w:themeColor="text1"/>
                      <w:kern w:val="0"/>
                      <w:sz w:val="21"/>
                      <w:szCs w:val="21"/>
                      <w:highlight w:val="none"/>
                      <w:u w:val="none"/>
                      <w:lang w:val="en-US" w:eastAsia="zh-CN" w:bidi="ar-SA"/>
                      <w14:textFill>
                        <w14:solidFill>
                          <w14:schemeClr w14:val="tx1"/>
                        </w14:solidFill>
                      </w14:textFill>
                    </w:rPr>
                    <w:t>）</w:t>
                  </w:r>
                </w:p>
              </w:tc>
              <w:tc>
                <w:tcPr>
                  <w:tcW w:w="346" w:type="pct"/>
                  <w:vAlign w:val="center"/>
                </w:tcPr>
                <w:p w14:paraId="60DD47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b/>
                      <w:bCs/>
                      <w:color w:val="auto"/>
                      <w:kern w:val="0"/>
                      <w:sz w:val="21"/>
                      <w:szCs w:val="21"/>
                      <w:highlight w:val="none"/>
                      <w:u w:val="none"/>
                      <w:lang w:val="en-US" w:eastAsia="zh-CN" w:bidi="ar-SA"/>
                    </w:rPr>
                  </w:pPr>
                  <w:r>
                    <w:rPr>
                      <w:rFonts w:hint="eastAsia" w:ascii="Times New Roman" w:hAnsi="Times New Roman" w:eastAsia="宋体" w:cs="Times New Roman"/>
                      <w:b/>
                      <w:bCs/>
                      <w:color w:val="auto"/>
                      <w:kern w:val="0"/>
                      <w:sz w:val="21"/>
                      <w:szCs w:val="21"/>
                      <w:highlight w:val="none"/>
                      <w:u w:val="none"/>
                      <w:lang w:val="en-US" w:eastAsia="zh-CN" w:bidi="ar-SA"/>
                    </w:rPr>
                    <w:t>形态</w:t>
                  </w:r>
                </w:p>
              </w:tc>
              <w:tc>
                <w:tcPr>
                  <w:tcW w:w="583" w:type="pct"/>
                  <w:vAlign w:val="center"/>
                </w:tcPr>
                <w:p w14:paraId="3FB5C7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主要成分</w:t>
                  </w:r>
                </w:p>
              </w:tc>
              <w:tc>
                <w:tcPr>
                  <w:tcW w:w="595" w:type="pct"/>
                  <w:vAlign w:val="center"/>
                </w:tcPr>
                <w:p w14:paraId="2BC16B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有害成分</w:t>
                  </w:r>
                </w:p>
              </w:tc>
              <w:tc>
                <w:tcPr>
                  <w:tcW w:w="632" w:type="pct"/>
                  <w:vAlign w:val="center"/>
                </w:tcPr>
                <w:p w14:paraId="318F8F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产废周期</w:t>
                  </w:r>
                </w:p>
              </w:tc>
              <w:tc>
                <w:tcPr>
                  <w:tcW w:w="486" w:type="pct"/>
                  <w:vAlign w:val="center"/>
                </w:tcPr>
                <w:p w14:paraId="50BAF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危险特性</w:t>
                  </w:r>
                </w:p>
              </w:tc>
              <w:tc>
                <w:tcPr>
                  <w:tcW w:w="801" w:type="pct"/>
                  <w:vAlign w:val="center"/>
                </w:tcPr>
                <w:p w14:paraId="31ED69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污染防治措施</w:t>
                  </w:r>
                </w:p>
              </w:tc>
            </w:tr>
            <w:tr w14:paraId="3C842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5" w:type="pct"/>
                  <w:vMerge w:val="restart"/>
                  <w:vAlign w:val="center"/>
                </w:tcPr>
                <w:p w14:paraId="64349E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cs="Times New Roman"/>
                      <w:b w:val="0"/>
                      <w:bCs w:val="0"/>
                      <w:color w:val="auto"/>
                      <w:kern w:val="0"/>
                      <w:sz w:val="21"/>
                      <w:szCs w:val="21"/>
                      <w:highlight w:val="none"/>
                      <w:u w:val="none"/>
                      <w:lang w:val="en-US" w:eastAsia="zh-CN" w:bidi="ar-SA"/>
                    </w:rPr>
                    <w:t>1</w:t>
                  </w:r>
                </w:p>
              </w:tc>
              <w:tc>
                <w:tcPr>
                  <w:tcW w:w="580" w:type="pct"/>
                  <w:vMerge w:val="restart"/>
                  <w:vAlign w:val="center"/>
                </w:tcPr>
                <w:p w14:paraId="5456E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废活性炭</w:t>
                  </w:r>
                </w:p>
              </w:tc>
              <w:tc>
                <w:tcPr>
                  <w:tcW w:w="687" w:type="pct"/>
                  <w:vMerge w:val="restart"/>
                  <w:vAlign w:val="center"/>
                </w:tcPr>
                <w:p w14:paraId="2B9259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cs="Times New Roman"/>
                      <w:b w:val="0"/>
                      <w:bCs w:val="0"/>
                      <w:color w:val="auto"/>
                      <w:kern w:val="0"/>
                      <w:sz w:val="21"/>
                      <w:szCs w:val="21"/>
                      <w:highlight w:val="none"/>
                      <w:u w:val="none"/>
                      <w:lang w:val="en-US" w:eastAsia="zh-CN" w:bidi="ar-SA"/>
                    </w:rPr>
                    <w:t>0.0654</w:t>
                  </w:r>
                </w:p>
              </w:tc>
              <w:tc>
                <w:tcPr>
                  <w:tcW w:w="346" w:type="pct"/>
                  <w:vMerge w:val="restart"/>
                  <w:vAlign w:val="center"/>
                </w:tcPr>
                <w:p w14:paraId="7F7FC3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固态</w:t>
                  </w:r>
                </w:p>
              </w:tc>
              <w:tc>
                <w:tcPr>
                  <w:tcW w:w="583" w:type="pct"/>
                  <w:vMerge w:val="restart"/>
                  <w:vAlign w:val="center"/>
                </w:tcPr>
                <w:p w14:paraId="496723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活性炭、有机废气</w:t>
                  </w:r>
                </w:p>
              </w:tc>
              <w:tc>
                <w:tcPr>
                  <w:tcW w:w="595" w:type="pct"/>
                  <w:vMerge w:val="restart"/>
                  <w:vAlign w:val="center"/>
                </w:tcPr>
                <w:p w14:paraId="1F518B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有机废气</w:t>
                  </w:r>
                </w:p>
              </w:tc>
              <w:tc>
                <w:tcPr>
                  <w:tcW w:w="632" w:type="pct"/>
                  <w:vMerge w:val="restart"/>
                  <w:vAlign w:val="center"/>
                </w:tcPr>
                <w:p w14:paraId="0FE5AA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auto"/>
                      <w:kern w:val="0"/>
                      <w:sz w:val="21"/>
                      <w:szCs w:val="21"/>
                      <w:highlight w:val="none"/>
                      <w:u w:val="none"/>
                      <w:lang w:val="en-US" w:eastAsia="zh-CN" w:bidi="ar-SA"/>
                    </w:rPr>
                    <w:t>1年</w:t>
                  </w:r>
                </w:p>
              </w:tc>
              <w:tc>
                <w:tcPr>
                  <w:tcW w:w="486" w:type="pct"/>
                  <w:vMerge w:val="restart"/>
                  <w:vAlign w:val="center"/>
                </w:tcPr>
                <w:p w14:paraId="1B8C44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auto"/>
                      <w:kern w:val="0"/>
                      <w:sz w:val="21"/>
                      <w:szCs w:val="21"/>
                      <w:highlight w:val="none"/>
                      <w:u w:val="none"/>
                      <w:lang w:val="en-US" w:eastAsia="zh-CN" w:bidi="ar-SA"/>
                    </w:rPr>
                    <w:t>T</w:t>
                  </w:r>
                </w:p>
              </w:tc>
              <w:tc>
                <w:tcPr>
                  <w:tcW w:w="801" w:type="pct"/>
                  <w:vMerge w:val="restart"/>
                  <w:vAlign w:val="center"/>
                </w:tcPr>
                <w:p w14:paraId="00DEA6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auto"/>
                      <w:kern w:val="0"/>
                      <w:sz w:val="21"/>
                      <w:szCs w:val="21"/>
                      <w:highlight w:val="none"/>
                      <w:u w:val="none"/>
                      <w:lang w:val="en-US" w:eastAsia="zh-CN" w:bidi="ar-SA"/>
                    </w:rPr>
                    <w:t>危废</w:t>
                  </w:r>
                  <w:r>
                    <w:rPr>
                      <w:rFonts w:hint="eastAsia" w:ascii="Times New Roman" w:hAnsi="Times New Roman" w:cs="Times New Roman"/>
                      <w:b w:val="0"/>
                      <w:bCs w:val="0"/>
                      <w:color w:val="auto"/>
                      <w:kern w:val="0"/>
                      <w:sz w:val="21"/>
                      <w:szCs w:val="21"/>
                      <w:highlight w:val="none"/>
                      <w:u w:val="none"/>
                      <w:lang w:val="en-US" w:eastAsia="zh-CN" w:bidi="ar-SA"/>
                    </w:rPr>
                    <w:t>贮存库</w:t>
                  </w:r>
                  <w:r>
                    <w:rPr>
                      <w:rFonts w:hint="default" w:ascii="Times New Roman" w:hAnsi="Times New Roman" w:eastAsia="宋体" w:cs="Times New Roman"/>
                      <w:b w:val="0"/>
                      <w:bCs w:val="0"/>
                      <w:color w:val="auto"/>
                      <w:kern w:val="0"/>
                      <w:sz w:val="21"/>
                      <w:szCs w:val="21"/>
                      <w:highlight w:val="none"/>
                      <w:u w:val="none"/>
                      <w:lang w:val="en-US" w:eastAsia="zh-CN" w:bidi="ar-SA"/>
                    </w:rPr>
                    <w:t>暂存定期交由有资质单位处理</w:t>
                  </w:r>
                </w:p>
              </w:tc>
            </w:tr>
            <w:tr w14:paraId="266F9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5" w:type="pct"/>
                  <w:vMerge w:val="continue"/>
                  <w:vAlign w:val="center"/>
                </w:tcPr>
                <w:p w14:paraId="60F9B7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cs="Times New Roman"/>
                      <w:b w:val="0"/>
                      <w:bCs w:val="0"/>
                      <w:color w:val="auto"/>
                      <w:kern w:val="0"/>
                      <w:sz w:val="21"/>
                      <w:szCs w:val="21"/>
                      <w:highlight w:val="none"/>
                      <w:u w:val="none"/>
                      <w:lang w:val="en-US" w:eastAsia="zh-CN" w:bidi="ar-SA"/>
                    </w:rPr>
                  </w:pPr>
                </w:p>
              </w:tc>
              <w:tc>
                <w:tcPr>
                  <w:tcW w:w="580" w:type="pct"/>
                  <w:vMerge w:val="continue"/>
                  <w:vAlign w:val="center"/>
                </w:tcPr>
                <w:p w14:paraId="5FD2E3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687" w:type="pct"/>
                  <w:vMerge w:val="continue"/>
                  <w:vAlign w:val="center"/>
                </w:tcPr>
                <w:p w14:paraId="19260C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p>
              </w:tc>
              <w:tc>
                <w:tcPr>
                  <w:tcW w:w="346" w:type="pct"/>
                  <w:vMerge w:val="continue"/>
                  <w:vAlign w:val="center"/>
                </w:tcPr>
                <w:p w14:paraId="3AB9FC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583" w:type="pct"/>
                  <w:vMerge w:val="continue"/>
                  <w:vAlign w:val="center"/>
                </w:tcPr>
                <w:p w14:paraId="6ACFF2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595" w:type="pct"/>
                  <w:vMerge w:val="continue"/>
                  <w:vAlign w:val="center"/>
                </w:tcPr>
                <w:p w14:paraId="63B18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632" w:type="pct"/>
                  <w:vMerge w:val="continue"/>
                  <w:vAlign w:val="center"/>
                </w:tcPr>
                <w:p w14:paraId="743873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486" w:type="pct"/>
                  <w:vMerge w:val="continue"/>
                  <w:vAlign w:val="center"/>
                </w:tcPr>
                <w:p w14:paraId="686F52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c>
                <w:tcPr>
                  <w:tcW w:w="801" w:type="pct"/>
                  <w:vMerge w:val="continue"/>
                  <w:vAlign w:val="center"/>
                </w:tcPr>
                <w:p w14:paraId="1D4748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p>
              </w:tc>
            </w:tr>
          </w:tbl>
          <w:p w14:paraId="023A00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center"/>
              <w:textAlignment w:val="baseline"/>
              <w:rPr>
                <w:rFonts w:hint="default" w:ascii="Times New Roman" w:hAnsi="Times New Roman" w:eastAsia="黑体" w:cs="Times New Roman"/>
                <w:b w:val="0"/>
                <w:bCs w:val="0"/>
                <w:color w:val="auto"/>
                <w:kern w:val="0"/>
                <w:sz w:val="24"/>
                <w:szCs w:val="22"/>
                <w:highlight w:val="none"/>
                <w:lang w:val="en-US" w:eastAsia="zh-CN" w:bidi="ar-SA"/>
              </w:rPr>
            </w:pPr>
            <w:r>
              <w:rPr>
                <w:rFonts w:hint="default" w:ascii="Times New Roman" w:hAnsi="Times New Roman" w:eastAsia="黑体" w:cs="Times New Roman"/>
                <w:b w:val="0"/>
                <w:bCs w:val="0"/>
                <w:color w:val="auto"/>
                <w:kern w:val="0"/>
                <w:sz w:val="24"/>
                <w:szCs w:val="22"/>
                <w:highlight w:val="none"/>
                <w:lang w:val="en-US" w:eastAsia="zh-CN" w:bidi="ar-SA"/>
              </w:rPr>
              <w:t>表</w:t>
            </w:r>
            <w:r>
              <w:rPr>
                <w:rFonts w:hint="eastAsia" w:ascii="Times New Roman" w:hAnsi="Times New Roman" w:eastAsia="黑体" w:cs="Times New Roman"/>
                <w:b w:val="0"/>
                <w:bCs w:val="0"/>
                <w:color w:val="auto"/>
                <w:kern w:val="0"/>
                <w:sz w:val="24"/>
                <w:szCs w:val="22"/>
                <w:highlight w:val="none"/>
                <w:lang w:val="en-US" w:eastAsia="zh-CN" w:bidi="ar-SA"/>
              </w:rPr>
              <w:t>4-19</w:t>
            </w:r>
            <w:r>
              <w:rPr>
                <w:rFonts w:hint="default" w:ascii="Times New Roman" w:hAnsi="Times New Roman" w:eastAsia="黑体" w:cs="Times New Roman"/>
                <w:b w:val="0"/>
                <w:bCs w:val="0"/>
                <w:color w:val="auto"/>
                <w:kern w:val="0"/>
                <w:sz w:val="24"/>
                <w:szCs w:val="22"/>
                <w:highlight w:val="none"/>
                <w:lang w:val="en-US" w:eastAsia="zh-CN" w:bidi="ar-SA"/>
              </w:rPr>
              <w:t xml:space="preserve">  危废储存场所基本情况表</w:t>
            </w:r>
          </w:p>
          <w:tbl>
            <w:tblPr>
              <w:tblStyle w:val="23"/>
              <w:tblW w:w="7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44"/>
              <w:gridCol w:w="882"/>
              <w:gridCol w:w="1459"/>
              <w:gridCol w:w="853"/>
              <w:gridCol w:w="928"/>
              <w:gridCol w:w="829"/>
              <w:gridCol w:w="514"/>
              <w:gridCol w:w="904"/>
              <w:gridCol w:w="1172"/>
            </w:tblGrid>
            <w:tr w14:paraId="31193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44" w:type="dxa"/>
                  <w:tcBorders>
                    <w:tl2br w:val="nil"/>
                    <w:tr2bl w:val="nil"/>
                  </w:tcBorders>
                  <w:noWrap w:val="0"/>
                  <w:vAlign w:val="center"/>
                </w:tcPr>
                <w:p w14:paraId="299A0511">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序号</w:t>
                  </w:r>
                </w:p>
              </w:tc>
              <w:tc>
                <w:tcPr>
                  <w:tcW w:w="882" w:type="dxa"/>
                  <w:tcBorders>
                    <w:tl2br w:val="nil"/>
                    <w:tr2bl w:val="nil"/>
                  </w:tcBorders>
                  <w:noWrap w:val="0"/>
                  <w:vAlign w:val="center"/>
                </w:tcPr>
                <w:p w14:paraId="19607513">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贮存场所名称</w:t>
                  </w:r>
                </w:p>
              </w:tc>
              <w:tc>
                <w:tcPr>
                  <w:tcW w:w="1459" w:type="dxa"/>
                  <w:tcBorders>
                    <w:tl2br w:val="nil"/>
                    <w:tr2bl w:val="nil"/>
                  </w:tcBorders>
                  <w:noWrap w:val="0"/>
                  <w:vAlign w:val="center"/>
                </w:tcPr>
                <w:p w14:paraId="00045DBD">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危险废物名称</w:t>
                  </w:r>
                </w:p>
              </w:tc>
              <w:tc>
                <w:tcPr>
                  <w:tcW w:w="853" w:type="dxa"/>
                  <w:tcBorders>
                    <w:tl2br w:val="nil"/>
                    <w:tr2bl w:val="nil"/>
                  </w:tcBorders>
                  <w:noWrap w:val="0"/>
                  <w:vAlign w:val="center"/>
                </w:tcPr>
                <w:p w14:paraId="1DD5D4D3">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危险废物类别</w:t>
                  </w:r>
                </w:p>
              </w:tc>
              <w:tc>
                <w:tcPr>
                  <w:tcW w:w="928" w:type="dxa"/>
                  <w:tcBorders>
                    <w:tl2br w:val="nil"/>
                    <w:tr2bl w:val="nil"/>
                  </w:tcBorders>
                  <w:noWrap w:val="0"/>
                  <w:vAlign w:val="center"/>
                </w:tcPr>
                <w:p w14:paraId="1DDCFD62">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危险废物代码</w:t>
                  </w:r>
                </w:p>
              </w:tc>
              <w:tc>
                <w:tcPr>
                  <w:tcW w:w="829" w:type="dxa"/>
                  <w:tcBorders>
                    <w:tl2br w:val="nil"/>
                    <w:tr2bl w:val="nil"/>
                  </w:tcBorders>
                  <w:noWrap w:val="0"/>
                  <w:vAlign w:val="center"/>
                </w:tcPr>
                <w:p w14:paraId="1592CBDB">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位置</w:t>
                  </w:r>
                </w:p>
              </w:tc>
              <w:tc>
                <w:tcPr>
                  <w:tcW w:w="514" w:type="dxa"/>
                  <w:tcBorders>
                    <w:tl2br w:val="nil"/>
                    <w:tr2bl w:val="nil"/>
                  </w:tcBorders>
                  <w:noWrap w:val="0"/>
                  <w:vAlign w:val="center"/>
                </w:tcPr>
                <w:p w14:paraId="34969824">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占地面积</w:t>
                  </w:r>
                </w:p>
              </w:tc>
              <w:tc>
                <w:tcPr>
                  <w:tcW w:w="904" w:type="dxa"/>
                  <w:tcBorders>
                    <w:tl2br w:val="nil"/>
                    <w:tr2bl w:val="nil"/>
                  </w:tcBorders>
                  <w:noWrap w:val="0"/>
                  <w:vAlign w:val="center"/>
                </w:tcPr>
                <w:p w14:paraId="561FF286">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储存能力（t/a）</w:t>
                  </w:r>
                </w:p>
              </w:tc>
              <w:tc>
                <w:tcPr>
                  <w:tcW w:w="1172" w:type="dxa"/>
                  <w:tcBorders>
                    <w:tl2br w:val="nil"/>
                    <w:tr2bl w:val="nil"/>
                  </w:tcBorders>
                  <w:noWrap w:val="0"/>
                  <w:vAlign w:val="center"/>
                </w:tcPr>
                <w:p w14:paraId="744729D9">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储存周期</w:t>
                  </w:r>
                </w:p>
              </w:tc>
            </w:tr>
            <w:tr w14:paraId="6497D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0" w:hRule="atLeast"/>
                <w:jc w:val="center"/>
              </w:trPr>
              <w:tc>
                <w:tcPr>
                  <w:tcW w:w="444" w:type="dxa"/>
                  <w:tcBorders>
                    <w:tl2br w:val="nil"/>
                    <w:tr2bl w:val="nil"/>
                  </w:tcBorders>
                  <w:noWrap w:val="0"/>
                  <w:vAlign w:val="center"/>
                </w:tcPr>
                <w:p w14:paraId="4715F2B7">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w:t>
                  </w:r>
                </w:p>
              </w:tc>
              <w:tc>
                <w:tcPr>
                  <w:tcW w:w="882" w:type="dxa"/>
                  <w:tcBorders>
                    <w:tl2br w:val="nil"/>
                    <w:tr2bl w:val="nil"/>
                  </w:tcBorders>
                  <w:noWrap w:val="0"/>
                  <w:vAlign w:val="center"/>
                </w:tcPr>
                <w:p w14:paraId="04739F9D">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rPr>
                    <w:t>危废</w:t>
                  </w:r>
                  <w:r>
                    <w:rPr>
                      <w:rFonts w:hint="eastAsia" w:ascii="Times New Roman" w:hAnsi="Times New Roman" w:cs="Times New Roman"/>
                      <w:b w:val="0"/>
                      <w:bCs w:val="0"/>
                      <w:color w:val="auto"/>
                      <w:sz w:val="21"/>
                      <w:szCs w:val="21"/>
                      <w:highlight w:val="none"/>
                      <w:u w:val="none"/>
                      <w:lang w:val="en-US" w:eastAsia="zh-CN"/>
                    </w:rPr>
                    <w:t>贮存库</w:t>
                  </w:r>
                </w:p>
              </w:tc>
              <w:tc>
                <w:tcPr>
                  <w:tcW w:w="1459" w:type="dxa"/>
                  <w:tcBorders>
                    <w:tl2br w:val="nil"/>
                    <w:tr2bl w:val="nil"/>
                  </w:tcBorders>
                  <w:noWrap w:val="0"/>
                  <w:vAlign w:val="center"/>
                </w:tcPr>
                <w:p w14:paraId="2B2183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废活性炭</w:t>
                  </w:r>
                </w:p>
              </w:tc>
              <w:tc>
                <w:tcPr>
                  <w:tcW w:w="853" w:type="dxa"/>
                  <w:tcBorders>
                    <w:tl2br w:val="nil"/>
                    <w:tr2bl w:val="nil"/>
                  </w:tcBorders>
                  <w:noWrap w:val="0"/>
                  <w:vAlign w:val="center"/>
                </w:tcPr>
                <w:p w14:paraId="3EB623B6">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HW49</w:t>
                  </w:r>
                </w:p>
              </w:tc>
              <w:tc>
                <w:tcPr>
                  <w:tcW w:w="928" w:type="dxa"/>
                  <w:tcBorders>
                    <w:tl2br w:val="nil"/>
                    <w:tr2bl w:val="nil"/>
                  </w:tcBorders>
                  <w:noWrap w:val="0"/>
                  <w:vAlign w:val="center"/>
                </w:tcPr>
                <w:p w14:paraId="5DAFEF85">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900-039-49</w:t>
                  </w:r>
                </w:p>
              </w:tc>
              <w:tc>
                <w:tcPr>
                  <w:tcW w:w="829" w:type="dxa"/>
                  <w:tcBorders>
                    <w:tl2br w:val="nil"/>
                    <w:tr2bl w:val="nil"/>
                  </w:tcBorders>
                  <w:noWrap w:val="0"/>
                  <w:vAlign w:val="center"/>
                </w:tcPr>
                <w:p w14:paraId="45DDE458">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14:textFill>
                        <w14:solidFill>
                          <w14:schemeClr w14:val="tx1"/>
                        </w14:solidFill>
                      </w14:textFill>
                    </w:rPr>
                    <w:t>生产车间东北侧</w:t>
                  </w:r>
                </w:p>
              </w:tc>
              <w:tc>
                <w:tcPr>
                  <w:tcW w:w="514" w:type="dxa"/>
                  <w:tcBorders>
                    <w:tl2br w:val="nil"/>
                    <w:tr2bl w:val="nil"/>
                  </w:tcBorders>
                  <w:noWrap w:val="0"/>
                  <w:vAlign w:val="center"/>
                </w:tcPr>
                <w:p w14:paraId="53B9B3A4">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u w:val="none"/>
                      <w:vertAlign w:val="superscript"/>
                      <w14:textFill>
                        <w14:solidFill>
                          <w14:schemeClr w14:val="tx1"/>
                        </w14:solidFill>
                      </w14:textFill>
                    </w:rPr>
                    <w:t>2</w:t>
                  </w:r>
                </w:p>
              </w:tc>
              <w:tc>
                <w:tcPr>
                  <w:tcW w:w="904" w:type="dxa"/>
                  <w:tcBorders>
                    <w:tl2br w:val="nil"/>
                    <w:tr2bl w:val="nil"/>
                  </w:tcBorders>
                  <w:noWrap w:val="0"/>
                  <w:vAlign w:val="center"/>
                </w:tcPr>
                <w:p w14:paraId="613706DF">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14:textFill>
                        <w14:solidFill>
                          <w14:schemeClr w14:val="tx1"/>
                        </w14:solidFill>
                      </w14:textFill>
                    </w:rPr>
                    <w:t>10</w:t>
                  </w:r>
                </w:p>
              </w:tc>
              <w:tc>
                <w:tcPr>
                  <w:tcW w:w="1172" w:type="dxa"/>
                  <w:tcBorders>
                    <w:tl2br w:val="nil"/>
                    <w:tr2bl w:val="nil"/>
                  </w:tcBorders>
                  <w:noWrap w:val="0"/>
                  <w:vAlign w:val="center"/>
                </w:tcPr>
                <w:p w14:paraId="5BA4E6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kern w:val="0"/>
                      <w:sz w:val="21"/>
                      <w:szCs w:val="21"/>
                      <w:highlight w:val="none"/>
                      <w:u w:val="none"/>
                      <w:lang w:val="en-US" w:eastAsia="zh-CN" w:bidi="ar-SA"/>
                    </w:rPr>
                    <w:t>1年</w:t>
                  </w:r>
                </w:p>
              </w:tc>
            </w:tr>
          </w:tbl>
          <w:p w14:paraId="35C420AA">
            <w:pPr>
              <w:pStyle w:val="47"/>
              <w:keepNext w:val="0"/>
              <w:keepLines w:val="0"/>
              <w:suppressLineNumbers w:val="0"/>
              <w:spacing w:beforeAutospacing="0" w:afterAutospacing="0" w:line="360" w:lineRule="auto"/>
              <w:rPr>
                <w:rFonts w:hint="default" w:ascii="Times New Roman" w:hAnsi="Times New Roman" w:eastAsia="宋体"/>
                <w:color w:val="auto"/>
                <w:sz w:val="24"/>
                <w:szCs w:val="24"/>
              </w:rPr>
            </w:pPr>
            <w:r>
              <w:rPr>
                <w:rFonts w:hint="default" w:ascii="Times New Roman" w:hAnsi="Times New Roman" w:eastAsia="宋体"/>
                <w:color w:val="auto"/>
                <w:sz w:val="24"/>
                <w:szCs w:val="24"/>
              </w:rPr>
              <w:t>综上所述，项目固体废物产生情况汇总如下表</w:t>
            </w:r>
            <w:r>
              <w:rPr>
                <w:rFonts w:hint="eastAsia" w:ascii="Times New Roman" w:hAnsi="Times New Roman"/>
                <w:color w:val="auto"/>
                <w:sz w:val="24"/>
                <w:szCs w:val="24"/>
                <w:lang w:val="en-US" w:eastAsia="zh-CN"/>
              </w:rPr>
              <w:t>4-20</w:t>
            </w:r>
            <w:r>
              <w:rPr>
                <w:rFonts w:hint="default" w:ascii="Times New Roman" w:hAnsi="Times New Roman" w:eastAsia="宋体"/>
                <w:color w:val="auto"/>
                <w:sz w:val="24"/>
                <w:szCs w:val="24"/>
              </w:rPr>
              <w:t>所示。</w:t>
            </w:r>
          </w:p>
          <w:p w14:paraId="3B7E87EF">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Lines="50" w:afterAutospacing="0" w:line="240" w:lineRule="auto"/>
              <w:ind w:left="0" w:leftChars="0" w:right="0" w:rightChars="0"/>
              <w:jc w:val="center"/>
              <w:textAlignment w:val="auto"/>
              <w:outlineLvl w:val="9"/>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w:t>
            </w:r>
            <w:r>
              <w:rPr>
                <w:rFonts w:hint="eastAsia" w:ascii="Times New Roman" w:hAnsi="Times New Roman" w:eastAsia="黑体" w:cs="Times New Roman"/>
                <w:b w:val="0"/>
                <w:bCs w:val="0"/>
                <w:color w:val="auto"/>
                <w:sz w:val="24"/>
                <w:szCs w:val="24"/>
                <w:lang w:val="en-US" w:eastAsia="zh-CN"/>
              </w:rPr>
              <w:t xml:space="preserve">4-20 </w:t>
            </w:r>
            <w:r>
              <w:rPr>
                <w:rFonts w:hint="default" w:ascii="Times New Roman" w:hAnsi="Times New Roman" w:eastAsia="黑体" w:cs="Times New Roman"/>
                <w:b w:val="0"/>
                <w:bCs w:val="0"/>
                <w:color w:val="auto"/>
                <w:sz w:val="24"/>
                <w:szCs w:val="24"/>
                <w:lang w:val="en-US" w:eastAsia="zh-CN"/>
              </w:rPr>
              <w:t xml:space="preserve"> 项目营运期固体废物分析结果汇总表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59"/>
              <w:gridCol w:w="757"/>
              <w:gridCol w:w="549"/>
              <w:gridCol w:w="980"/>
              <w:gridCol w:w="477"/>
              <w:gridCol w:w="680"/>
              <w:gridCol w:w="590"/>
              <w:gridCol w:w="748"/>
              <w:gridCol w:w="1090"/>
              <w:gridCol w:w="779"/>
              <w:gridCol w:w="1216"/>
            </w:tblGrid>
            <w:tr w14:paraId="681A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18" w:type="pct"/>
                  <w:tcBorders>
                    <w:tl2br w:val="nil"/>
                    <w:tr2bl w:val="nil"/>
                  </w:tcBorders>
                  <w:noWrap w:val="0"/>
                  <w:vAlign w:val="center"/>
                </w:tcPr>
                <w:p w14:paraId="2D59D81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编号</w:t>
                  </w:r>
                </w:p>
              </w:tc>
              <w:tc>
                <w:tcPr>
                  <w:tcW w:w="460" w:type="pct"/>
                  <w:tcBorders>
                    <w:tl2br w:val="nil"/>
                    <w:tr2bl w:val="nil"/>
                  </w:tcBorders>
                  <w:noWrap w:val="0"/>
                  <w:vAlign w:val="center"/>
                </w:tcPr>
                <w:p w14:paraId="63AD54D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固废</w:t>
                  </w:r>
                </w:p>
                <w:p w14:paraId="5D2DF4A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名称</w:t>
                  </w:r>
                </w:p>
              </w:tc>
              <w:tc>
                <w:tcPr>
                  <w:tcW w:w="333" w:type="pct"/>
                  <w:tcBorders>
                    <w:tl2br w:val="nil"/>
                    <w:tr2bl w:val="nil"/>
                  </w:tcBorders>
                  <w:noWrap w:val="0"/>
                  <w:vAlign w:val="center"/>
                </w:tcPr>
                <w:p w14:paraId="77DB5E0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属性</w:t>
                  </w:r>
                </w:p>
              </w:tc>
              <w:tc>
                <w:tcPr>
                  <w:tcW w:w="595" w:type="pct"/>
                  <w:tcBorders>
                    <w:tl2br w:val="nil"/>
                    <w:tr2bl w:val="nil"/>
                  </w:tcBorders>
                  <w:noWrap w:val="0"/>
                  <w:vAlign w:val="center"/>
                </w:tcPr>
                <w:p w14:paraId="63CC07D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产生工序</w:t>
                  </w:r>
                </w:p>
              </w:tc>
              <w:tc>
                <w:tcPr>
                  <w:tcW w:w="289" w:type="pct"/>
                  <w:tcBorders>
                    <w:tl2br w:val="nil"/>
                    <w:tr2bl w:val="nil"/>
                  </w:tcBorders>
                  <w:noWrap w:val="0"/>
                  <w:vAlign w:val="center"/>
                </w:tcPr>
                <w:p w14:paraId="70EED83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形态</w:t>
                  </w:r>
                </w:p>
              </w:tc>
              <w:tc>
                <w:tcPr>
                  <w:tcW w:w="413" w:type="pct"/>
                  <w:tcBorders>
                    <w:tl2br w:val="nil"/>
                    <w:tr2bl w:val="nil"/>
                  </w:tcBorders>
                  <w:noWrap w:val="0"/>
                  <w:vAlign w:val="center"/>
                </w:tcPr>
                <w:p w14:paraId="0C61654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主要</w:t>
                  </w:r>
                </w:p>
                <w:p w14:paraId="793B34E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成分</w:t>
                  </w:r>
                </w:p>
              </w:tc>
              <w:tc>
                <w:tcPr>
                  <w:tcW w:w="358" w:type="pct"/>
                  <w:tcBorders>
                    <w:tl2br w:val="nil"/>
                    <w:tr2bl w:val="nil"/>
                  </w:tcBorders>
                  <w:noWrap w:val="0"/>
                  <w:vAlign w:val="center"/>
                </w:tcPr>
                <w:p w14:paraId="3B1C115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危险特性</w:t>
                  </w:r>
                </w:p>
              </w:tc>
              <w:tc>
                <w:tcPr>
                  <w:tcW w:w="454" w:type="pct"/>
                  <w:tcBorders>
                    <w:tl2br w:val="nil"/>
                    <w:tr2bl w:val="nil"/>
                  </w:tcBorders>
                  <w:noWrap w:val="0"/>
                  <w:vAlign w:val="center"/>
                </w:tcPr>
                <w:p w14:paraId="77BE8C1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废物</w:t>
                  </w:r>
                </w:p>
                <w:p w14:paraId="5C75BBA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类别</w:t>
                  </w:r>
                </w:p>
              </w:tc>
              <w:tc>
                <w:tcPr>
                  <w:tcW w:w="662" w:type="pct"/>
                  <w:tcBorders>
                    <w:tl2br w:val="nil"/>
                    <w:tr2bl w:val="nil"/>
                  </w:tcBorders>
                  <w:noWrap w:val="0"/>
                  <w:vAlign w:val="center"/>
                </w:tcPr>
                <w:p w14:paraId="374A7FD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废物代码</w:t>
                  </w:r>
                </w:p>
              </w:tc>
              <w:tc>
                <w:tcPr>
                  <w:tcW w:w="473" w:type="pct"/>
                  <w:tcBorders>
                    <w:tl2br w:val="nil"/>
                    <w:tr2bl w:val="nil"/>
                  </w:tcBorders>
                  <w:noWrap w:val="0"/>
                  <w:vAlign w:val="center"/>
                </w:tcPr>
                <w:p w14:paraId="244AFB1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产生量</w:t>
                  </w:r>
                </w:p>
                <w:p w14:paraId="2670B0A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t/a</w:t>
                  </w:r>
                </w:p>
              </w:tc>
              <w:tc>
                <w:tcPr>
                  <w:tcW w:w="739" w:type="pct"/>
                  <w:tcBorders>
                    <w:tl2br w:val="nil"/>
                    <w:tr2bl w:val="nil"/>
                  </w:tcBorders>
                  <w:noWrap w:val="0"/>
                  <w:vAlign w:val="center"/>
                </w:tcPr>
                <w:p w14:paraId="661A3DF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处置方法</w:t>
                  </w:r>
                </w:p>
              </w:tc>
            </w:tr>
            <w:tr w14:paraId="5AB87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410" w:hRule="atLeast"/>
                <w:jc w:val="center"/>
              </w:trPr>
              <w:tc>
                <w:tcPr>
                  <w:tcW w:w="218" w:type="pct"/>
                  <w:tcBorders>
                    <w:tl2br w:val="nil"/>
                    <w:tr2bl w:val="nil"/>
                  </w:tcBorders>
                  <w:noWrap w:val="0"/>
                  <w:vAlign w:val="center"/>
                </w:tcPr>
                <w:p w14:paraId="4C3FA3F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w:t>
                  </w:r>
                </w:p>
              </w:tc>
              <w:tc>
                <w:tcPr>
                  <w:tcW w:w="460" w:type="pct"/>
                  <w:tcBorders>
                    <w:tl2br w:val="nil"/>
                    <w:tr2bl w:val="nil"/>
                  </w:tcBorders>
                  <w:noWrap w:val="0"/>
                  <w:vAlign w:val="center"/>
                </w:tcPr>
                <w:p w14:paraId="424D2AE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default" w:ascii="Times New Roman" w:hAnsi="Times New Roman" w:eastAsia="宋体" w:cs="宋体"/>
                      <w:color w:val="000000" w:themeColor="text1"/>
                      <w:sz w:val="21"/>
                      <w:szCs w:val="21"/>
                      <w:lang w:val="en-US" w:eastAsia="zh-CN"/>
                      <w14:textFill>
                        <w14:solidFill>
                          <w14:schemeClr w14:val="tx1"/>
                        </w14:solidFill>
                      </w14:textFill>
                    </w:rPr>
                    <w:t>生活垃圾</w:t>
                  </w:r>
                </w:p>
              </w:tc>
              <w:tc>
                <w:tcPr>
                  <w:tcW w:w="333" w:type="pct"/>
                  <w:vMerge w:val="restart"/>
                  <w:tcBorders>
                    <w:tl2br w:val="nil"/>
                    <w:tr2bl w:val="nil"/>
                  </w:tcBorders>
                  <w:noWrap w:val="0"/>
                  <w:vAlign w:val="center"/>
                </w:tcPr>
                <w:p w14:paraId="20CB5F7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一般固废</w:t>
                  </w:r>
                </w:p>
              </w:tc>
              <w:tc>
                <w:tcPr>
                  <w:tcW w:w="595" w:type="pct"/>
                  <w:tcBorders>
                    <w:tl2br w:val="nil"/>
                    <w:tr2bl w:val="nil"/>
                  </w:tcBorders>
                  <w:noWrap w:val="0"/>
                  <w:vAlign w:val="center"/>
                </w:tcPr>
                <w:p w14:paraId="6E5F14A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职工生活</w:t>
                  </w:r>
                </w:p>
              </w:tc>
              <w:tc>
                <w:tcPr>
                  <w:tcW w:w="289" w:type="pct"/>
                  <w:tcBorders>
                    <w:tl2br w:val="nil"/>
                    <w:tr2bl w:val="nil"/>
                  </w:tcBorders>
                  <w:noWrap w:val="0"/>
                  <w:vAlign w:val="center"/>
                </w:tcPr>
                <w:p w14:paraId="48F64D8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default" w:ascii="Times New Roman" w:hAnsi="Times New Roman" w:eastAsia="宋体" w:cs="宋体"/>
                      <w:color w:val="000000" w:themeColor="text1"/>
                      <w:sz w:val="21"/>
                      <w:szCs w:val="21"/>
                      <w:lang w:val="en-US" w:eastAsia="zh-CN"/>
                      <w14:textFill>
                        <w14:solidFill>
                          <w14:schemeClr w14:val="tx1"/>
                        </w14:solidFill>
                      </w14:textFill>
                    </w:rPr>
                    <w:t>固</w:t>
                  </w:r>
                </w:p>
              </w:tc>
              <w:tc>
                <w:tcPr>
                  <w:tcW w:w="413" w:type="pct"/>
                  <w:tcBorders>
                    <w:tl2br w:val="nil"/>
                    <w:tr2bl w:val="nil"/>
                  </w:tcBorders>
                  <w:noWrap w:val="0"/>
                  <w:vAlign w:val="center"/>
                </w:tcPr>
                <w:p w14:paraId="25F21BF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w:t>
                  </w:r>
                </w:p>
              </w:tc>
              <w:tc>
                <w:tcPr>
                  <w:tcW w:w="358" w:type="pct"/>
                  <w:tcBorders>
                    <w:tl2br w:val="nil"/>
                    <w:tr2bl w:val="nil"/>
                  </w:tcBorders>
                  <w:noWrap w:val="0"/>
                  <w:vAlign w:val="center"/>
                </w:tcPr>
                <w:p w14:paraId="0F9AF36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w:t>
                  </w:r>
                </w:p>
              </w:tc>
              <w:tc>
                <w:tcPr>
                  <w:tcW w:w="454" w:type="pct"/>
                  <w:tcBorders>
                    <w:tl2br w:val="nil"/>
                    <w:tr2bl w:val="nil"/>
                  </w:tcBorders>
                  <w:noWrap w:val="0"/>
                  <w:vAlign w:val="center"/>
                </w:tcPr>
                <w:p w14:paraId="6B384AB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SW64</w:t>
                  </w:r>
                </w:p>
              </w:tc>
              <w:tc>
                <w:tcPr>
                  <w:tcW w:w="662" w:type="pct"/>
                  <w:tcBorders>
                    <w:tl2br w:val="nil"/>
                    <w:tr2bl w:val="nil"/>
                  </w:tcBorders>
                  <w:noWrap w:val="0"/>
                  <w:vAlign w:val="center"/>
                </w:tcPr>
                <w:p w14:paraId="396A801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default" w:ascii="Times New Roman" w:hAnsi="Times New Roman" w:eastAsia="宋体" w:cs="宋体"/>
                      <w:color w:val="000000" w:themeColor="text1"/>
                      <w:sz w:val="21"/>
                      <w:szCs w:val="21"/>
                      <w:lang w:val="en-US" w:eastAsia="zh-CN"/>
                      <w14:textFill>
                        <w14:solidFill>
                          <w14:schemeClr w14:val="tx1"/>
                        </w14:solidFill>
                      </w14:textFill>
                    </w:rPr>
                    <w:t>900-099-S64</w:t>
                  </w:r>
                </w:p>
              </w:tc>
              <w:tc>
                <w:tcPr>
                  <w:tcW w:w="473" w:type="pct"/>
                  <w:tcBorders>
                    <w:tl2br w:val="nil"/>
                    <w:tr2bl w:val="nil"/>
                  </w:tcBorders>
                  <w:noWrap w:val="0"/>
                  <w:vAlign w:val="center"/>
                </w:tcPr>
                <w:p w14:paraId="1F2031A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2.25</w:t>
                  </w:r>
                </w:p>
              </w:tc>
              <w:tc>
                <w:tcPr>
                  <w:tcW w:w="739" w:type="pct"/>
                  <w:tcBorders>
                    <w:tl2br w:val="nil"/>
                    <w:tr2bl w:val="nil"/>
                  </w:tcBorders>
                  <w:noWrap w:val="0"/>
                  <w:vAlign w:val="center"/>
                </w:tcPr>
                <w:p w14:paraId="131B049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环卫部门清运</w:t>
                  </w:r>
                </w:p>
              </w:tc>
            </w:tr>
            <w:tr w14:paraId="7F25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218" w:type="pct"/>
                  <w:tcBorders>
                    <w:tl2br w:val="nil"/>
                    <w:tr2bl w:val="nil"/>
                  </w:tcBorders>
                  <w:noWrap w:val="0"/>
                  <w:vAlign w:val="center"/>
                </w:tcPr>
                <w:p w14:paraId="7D78465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460" w:type="pct"/>
                  <w:tcBorders>
                    <w:tl2br w:val="nil"/>
                    <w:tr2bl w:val="nil"/>
                  </w:tcBorders>
                  <w:noWrap w:val="0"/>
                  <w:vAlign w:val="center"/>
                </w:tcPr>
                <w:p w14:paraId="3D748D8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废包装袋</w:t>
                  </w:r>
                </w:p>
              </w:tc>
              <w:tc>
                <w:tcPr>
                  <w:tcW w:w="333" w:type="pct"/>
                  <w:vMerge w:val="continue"/>
                  <w:tcBorders>
                    <w:tl2br w:val="nil"/>
                    <w:tr2bl w:val="nil"/>
                  </w:tcBorders>
                  <w:noWrap w:val="0"/>
                  <w:vAlign w:val="center"/>
                </w:tcPr>
                <w:p w14:paraId="6314D1F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p>
              </w:tc>
              <w:tc>
                <w:tcPr>
                  <w:tcW w:w="595" w:type="pct"/>
                  <w:tcBorders>
                    <w:tl2br w:val="nil"/>
                    <w:tr2bl w:val="nil"/>
                  </w:tcBorders>
                  <w:noWrap w:val="0"/>
                  <w:vAlign w:val="center"/>
                </w:tcPr>
                <w:p w14:paraId="2C91FFF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原料包装</w:t>
                  </w:r>
                </w:p>
              </w:tc>
              <w:tc>
                <w:tcPr>
                  <w:tcW w:w="289" w:type="pct"/>
                  <w:tcBorders>
                    <w:tl2br w:val="nil"/>
                    <w:tr2bl w:val="nil"/>
                  </w:tcBorders>
                  <w:noWrap w:val="0"/>
                  <w:vAlign w:val="center"/>
                </w:tcPr>
                <w:p w14:paraId="399AA66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固</w:t>
                  </w:r>
                </w:p>
              </w:tc>
              <w:tc>
                <w:tcPr>
                  <w:tcW w:w="413" w:type="pct"/>
                  <w:tcBorders>
                    <w:tl2br w:val="nil"/>
                    <w:tr2bl w:val="nil"/>
                  </w:tcBorders>
                  <w:noWrap w:val="0"/>
                  <w:vAlign w:val="center"/>
                </w:tcPr>
                <w:p w14:paraId="04FB7A3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塑料</w:t>
                  </w:r>
                </w:p>
              </w:tc>
              <w:tc>
                <w:tcPr>
                  <w:tcW w:w="358" w:type="pct"/>
                  <w:tcBorders>
                    <w:tl2br w:val="nil"/>
                    <w:tr2bl w:val="nil"/>
                  </w:tcBorders>
                  <w:noWrap w:val="0"/>
                  <w:vAlign w:val="center"/>
                </w:tcPr>
                <w:p w14:paraId="4B303CD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w:t>
                  </w:r>
                </w:p>
              </w:tc>
              <w:tc>
                <w:tcPr>
                  <w:tcW w:w="454" w:type="pct"/>
                  <w:tcBorders>
                    <w:tl2br w:val="nil"/>
                    <w:tr2bl w:val="nil"/>
                  </w:tcBorders>
                  <w:noWrap w:val="0"/>
                  <w:vAlign w:val="center"/>
                </w:tcPr>
                <w:p w14:paraId="00E5404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SW17</w:t>
                  </w:r>
                </w:p>
              </w:tc>
              <w:tc>
                <w:tcPr>
                  <w:tcW w:w="662" w:type="pct"/>
                  <w:tcBorders>
                    <w:tl2br w:val="nil"/>
                    <w:tr2bl w:val="nil"/>
                  </w:tcBorders>
                  <w:noWrap w:val="0"/>
                  <w:vAlign w:val="center"/>
                </w:tcPr>
                <w:p w14:paraId="67D289D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900-003-S17</w:t>
                  </w:r>
                </w:p>
              </w:tc>
              <w:tc>
                <w:tcPr>
                  <w:tcW w:w="473" w:type="pct"/>
                  <w:tcBorders>
                    <w:tl2br w:val="nil"/>
                    <w:tr2bl w:val="nil"/>
                  </w:tcBorders>
                  <w:noWrap w:val="0"/>
                  <w:vAlign w:val="center"/>
                </w:tcPr>
                <w:p w14:paraId="4561677A">
                  <w:pPr>
                    <w:widowControl w:val="0"/>
                    <w:wordWrap/>
                    <w:autoSpaceDE w:val="0"/>
                    <w:autoSpaceDN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0.1</w:t>
                  </w:r>
                </w:p>
              </w:tc>
              <w:tc>
                <w:tcPr>
                  <w:tcW w:w="739" w:type="pct"/>
                  <w:vMerge w:val="restart"/>
                  <w:tcBorders>
                    <w:tl2br w:val="nil"/>
                    <w:tr2bl w:val="nil"/>
                  </w:tcBorders>
                  <w:noWrap w:val="0"/>
                  <w:vAlign w:val="center"/>
                </w:tcPr>
                <w:p w14:paraId="3CEBA0F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收集后</w:t>
                  </w:r>
                  <w:r>
                    <w:rPr>
                      <w:rFonts w:hint="eastAsia" w:ascii="Times New Roman" w:hAnsi="Times New Roman" w:cs="宋体"/>
                      <w:color w:val="000000" w:themeColor="text1"/>
                      <w:sz w:val="21"/>
                      <w:szCs w:val="21"/>
                      <w:lang w:val="en-US" w:eastAsia="zh-CN"/>
                      <w14:textFill>
                        <w14:solidFill>
                          <w14:schemeClr w14:val="tx1"/>
                        </w14:solidFill>
                      </w14:textFill>
                    </w:rPr>
                    <w:t>一般固废间暂存后</w:t>
                  </w:r>
                  <w:r>
                    <w:rPr>
                      <w:rFonts w:hint="eastAsia" w:ascii="Times New Roman" w:hAnsi="Times New Roman" w:eastAsia="宋体" w:cs="宋体"/>
                      <w:color w:val="000000" w:themeColor="text1"/>
                      <w:sz w:val="21"/>
                      <w:szCs w:val="21"/>
                      <w:lang w:val="en-US" w:eastAsia="zh-CN"/>
                      <w14:textFill>
                        <w14:solidFill>
                          <w14:schemeClr w14:val="tx1"/>
                        </w14:solidFill>
                      </w14:textFill>
                    </w:rPr>
                    <w:t>外售综合利用</w:t>
                  </w:r>
                </w:p>
              </w:tc>
            </w:tr>
            <w:tr w14:paraId="33053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0" w:hRule="atLeast"/>
                <w:jc w:val="center"/>
              </w:trPr>
              <w:tc>
                <w:tcPr>
                  <w:tcW w:w="218" w:type="pct"/>
                  <w:tcBorders>
                    <w:tl2br w:val="nil"/>
                    <w:tr2bl w:val="nil"/>
                  </w:tcBorders>
                  <w:noWrap w:val="0"/>
                  <w:vAlign w:val="center"/>
                </w:tcPr>
                <w:p w14:paraId="5592B9F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3</w:t>
                  </w:r>
                </w:p>
              </w:tc>
              <w:tc>
                <w:tcPr>
                  <w:tcW w:w="460" w:type="pct"/>
                  <w:tcBorders>
                    <w:tl2br w:val="nil"/>
                    <w:tr2bl w:val="nil"/>
                  </w:tcBorders>
                  <w:noWrap w:val="0"/>
                  <w:vAlign w:val="center"/>
                </w:tcPr>
                <w:p w14:paraId="78937D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sz w:val="21"/>
                      <w:szCs w:val="21"/>
                      <w:u w:val="none" w:color="auto"/>
                      <w:lang w:val="en-US" w:eastAsia="zh-CN" w:bidi="zh-CN"/>
                    </w:rPr>
                    <w:t>废化妆瓶</w:t>
                  </w:r>
                </w:p>
              </w:tc>
              <w:tc>
                <w:tcPr>
                  <w:tcW w:w="333" w:type="pct"/>
                  <w:vMerge w:val="restart"/>
                  <w:tcBorders>
                    <w:tl2br w:val="nil"/>
                    <w:tr2bl w:val="nil"/>
                  </w:tcBorders>
                  <w:noWrap w:val="0"/>
                  <w:vAlign w:val="center"/>
                </w:tcPr>
                <w:p w14:paraId="5785D8D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t>危险废物</w:t>
                  </w:r>
                </w:p>
              </w:tc>
              <w:tc>
                <w:tcPr>
                  <w:tcW w:w="595" w:type="pct"/>
                  <w:tcBorders>
                    <w:tl2br w:val="nil"/>
                    <w:tr2bl w:val="nil"/>
                  </w:tcBorders>
                  <w:noWrap w:val="0"/>
                  <w:vAlign w:val="center"/>
                </w:tcPr>
                <w:p w14:paraId="2D9FFBB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原料储存</w:t>
                  </w:r>
                </w:p>
              </w:tc>
              <w:tc>
                <w:tcPr>
                  <w:tcW w:w="289" w:type="pct"/>
                  <w:tcBorders>
                    <w:tl2br w:val="nil"/>
                    <w:tr2bl w:val="nil"/>
                  </w:tcBorders>
                  <w:noWrap w:val="0"/>
                  <w:vAlign w:val="center"/>
                </w:tcPr>
                <w:p w14:paraId="42DB6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auto"/>
                      <w:kern w:val="0"/>
                      <w:sz w:val="21"/>
                      <w:szCs w:val="21"/>
                      <w:highlight w:val="none"/>
                      <w:u w:val="none"/>
                      <w:lang w:val="en-US" w:eastAsia="zh-CN" w:bidi="ar-SA"/>
                    </w:rPr>
                    <w:t>固态</w:t>
                  </w:r>
                </w:p>
              </w:tc>
              <w:tc>
                <w:tcPr>
                  <w:tcW w:w="413" w:type="pct"/>
                  <w:tcBorders>
                    <w:tl2br w:val="nil"/>
                    <w:tr2bl w:val="nil"/>
                  </w:tcBorders>
                  <w:noWrap w:val="0"/>
                  <w:vAlign w:val="center"/>
                </w:tcPr>
                <w:p w14:paraId="30658D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monospace"/>
                      <w:color w:val="000000" w:themeColor="text1"/>
                      <w:sz w:val="21"/>
                      <w:szCs w:val="21"/>
                      <w:lang w:eastAsia="zh-CN"/>
                      <w14:textFill>
                        <w14:solidFill>
                          <w14:schemeClr w14:val="tx1"/>
                        </w14:solidFill>
                      </w14:textFill>
                    </w:rPr>
                  </w:pPr>
                  <w:r>
                    <w:rPr>
                      <w:rFonts w:hint="eastAsia" w:ascii="Times New Roman" w:hAnsi="Times New Roman" w:cs="Times New Roman"/>
                      <w:b w:val="0"/>
                      <w:bCs w:val="0"/>
                      <w:color w:val="auto"/>
                      <w:kern w:val="0"/>
                      <w:sz w:val="21"/>
                      <w:szCs w:val="21"/>
                      <w:highlight w:val="none"/>
                      <w:u w:val="none"/>
                      <w:lang w:val="en-US" w:eastAsia="zh-CN" w:bidi="ar-SA"/>
                    </w:rPr>
                    <w:t>颜料</w:t>
                  </w:r>
                </w:p>
              </w:tc>
              <w:tc>
                <w:tcPr>
                  <w:tcW w:w="358" w:type="pct"/>
                  <w:tcBorders>
                    <w:tl2br w:val="nil"/>
                    <w:tr2bl w:val="nil"/>
                  </w:tcBorders>
                  <w:noWrap w:val="0"/>
                  <w:vAlign w:val="center"/>
                </w:tcPr>
                <w:p w14:paraId="0D435A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w:t>
                  </w:r>
                </w:p>
              </w:tc>
              <w:tc>
                <w:tcPr>
                  <w:tcW w:w="748" w:type="dxa"/>
                  <w:tcBorders>
                    <w:tl2br w:val="nil"/>
                    <w:tr2bl w:val="nil"/>
                  </w:tcBorders>
                  <w:noWrap w:val="0"/>
                  <w:vAlign w:val="center"/>
                </w:tcPr>
                <w:p w14:paraId="1062D1A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SW17</w:t>
                  </w:r>
                </w:p>
              </w:tc>
              <w:tc>
                <w:tcPr>
                  <w:tcW w:w="1090" w:type="dxa"/>
                  <w:tcBorders>
                    <w:tl2br w:val="nil"/>
                    <w:tr2bl w:val="nil"/>
                  </w:tcBorders>
                  <w:noWrap w:val="0"/>
                  <w:vAlign w:val="center"/>
                </w:tcPr>
                <w:p w14:paraId="4DADE6C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lang w:val="en-US" w:eastAsia="zh-CN"/>
                      <w14:textFill>
                        <w14:solidFill>
                          <w14:schemeClr w14:val="tx1"/>
                        </w14:solidFill>
                      </w14:textFill>
                    </w:rPr>
                    <w:t>900-003-S17</w:t>
                  </w:r>
                </w:p>
              </w:tc>
              <w:tc>
                <w:tcPr>
                  <w:tcW w:w="473" w:type="pct"/>
                  <w:tcBorders>
                    <w:tl2br w:val="nil"/>
                    <w:tr2bl w:val="nil"/>
                  </w:tcBorders>
                  <w:noWrap w:val="0"/>
                  <w:vAlign w:val="center"/>
                </w:tcPr>
                <w:p w14:paraId="63CE61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0.3kg/a</w:t>
                  </w:r>
                </w:p>
              </w:tc>
              <w:tc>
                <w:tcPr>
                  <w:tcW w:w="739" w:type="pct"/>
                  <w:vMerge w:val="continue"/>
                  <w:tcBorders>
                    <w:tl2br w:val="nil"/>
                    <w:tr2bl w:val="nil"/>
                  </w:tcBorders>
                  <w:noWrap w:val="0"/>
                  <w:vAlign w:val="center"/>
                </w:tcPr>
                <w:p w14:paraId="2D632AAC">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firstLine="0" w:firstLineChars="0"/>
                    <w:jc w:val="both"/>
                    <w:textAlignment w:val="auto"/>
                    <w:rPr>
                      <w:rFonts w:hint="default" w:ascii="Times New Roman" w:hAnsi="Times New Roman" w:eastAsia="宋体"/>
                      <w:color w:val="000000" w:themeColor="text1"/>
                      <w:sz w:val="21"/>
                      <w:szCs w:val="21"/>
                      <w14:textFill>
                        <w14:solidFill>
                          <w14:schemeClr w14:val="tx1"/>
                        </w14:solidFill>
                      </w14:textFill>
                    </w:rPr>
                  </w:pPr>
                </w:p>
              </w:tc>
            </w:tr>
            <w:tr w14:paraId="608B7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2" w:hRule="atLeast"/>
                <w:jc w:val="center"/>
              </w:trPr>
              <w:tc>
                <w:tcPr>
                  <w:tcW w:w="218" w:type="pct"/>
                  <w:tcBorders>
                    <w:tl2br w:val="nil"/>
                    <w:tr2bl w:val="nil"/>
                  </w:tcBorders>
                  <w:noWrap w:val="0"/>
                  <w:vAlign w:val="center"/>
                </w:tcPr>
                <w:p w14:paraId="3B38706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宋体"/>
                      <w:sz w:val="21"/>
                      <w:szCs w:val="21"/>
                      <w:lang w:val="en-US" w:eastAsia="zh-CN" w:bidi="zh-CN"/>
                    </w:rPr>
                  </w:pPr>
                  <w:r>
                    <w:rPr>
                      <w:rFonts w:hint="eastAsia" w:ascii="Times New Roman" w:hAnsi="Times New Roman"/>
                      <w:sz w:val="21"/>
                      <w:szCs w:val="21"/>
                      <w:lang w:val="en-US" w:eastAsia="zh-CN"/>
                    </w:rPr>
                    <w:t>4</w:t>
                  </w:r>
                </w:p>
              </w:tc>
              <w:tc>
                <w:tcPr>
                  <w:tcW w:w="460" w:type="pct"/>
                  <w:tcBorders>
                    <w:tl2br w:val="nil"/>
                    <w:tr2bl w:val="nil"/>
                  </w:tcBorders>
                  <w:noWrap w:val="0"/>
                  <w:vAlign w:val="center"/>
                </w:tcPr>
                <w:p w14:paraId="6F7B3B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auto"/>
                      <w:kern w:val="0"/>
                      <w:sz w:val="21"/>
                      <w:szCs w:val="21"/>
                      <w:highlight w:val="none"/>
                      <w:u w:val="none"/>
                      <w:lang w:val="en-US" w:eastAsia="zh-CN" w:bidi="ar-SA"/>
                    </w:rPr>
                    <w:t>废活性炭</w:t>
                  </w:r>
                </w:p>
              </w:tc>
              <w:tc>
                <w:tcPr>
                  <w:tcW w:w="333" w:type="pct"/>
                  <w:vMerge w:val="continue"/>
                  <w:tcBorders>
                    <w:tl2br w:val="nil"/>
                    <w:tr2bl w:val="nil"/>
                  </w:tcBorders>
                  <w:noWrap w:val="0"/>
                  <w:vAlign w:val="center"/>
                </w:tcPr>
                <w:p w14:paraId="054B706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bidi="zh-CN"/>
                      <w14:textFill>
                        <w14:solidFill>
                          <w14:schemeClr w14:val="tx1"/>
                        </w14:solidFill>
                      </w14:textFill>
                    </w:rPr>
                  </w:pPr>
                </w:p>
              </w:tc>
              <w:tc>
                <w:tcPr>
                  <w:tcW w:w="595" w:type="pct"/>
                  <w:tcBorders>
                    <w:tl2br w:val="nil"/>
                    <w:tr2bl w:val="nil"/>
                  </w:tcBorders>
                  <w:noWrap w:val="0"/>
                  <w:vAlign w:val="center"/>
                </w:tcPr>
                <w:p w14:paraId="227EB0F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firstLine="0" w:firstLineChars="0"/>
                    <w:jc w:val="center"/>
                    <w:textAlignment w:val="auto"/>
                    <w:rPr>
                      <w:rFonts w:hint="default"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cs="宋体"/>
                      <w:color w:val="000000" w:themeColor="text1"/>
                      <w:sz w:val="21"/>
                      <w:szCs w:val="21"/>
                      <w:lang w:val="en-US" w:eastAsia="zh-CN"/>
                      <w14:textFill>
                        <w14:solidFill>
                          <w14:schemeClr w14:val="tx1"/>
                        </w14:solidFill>
                      </w14:textFill>
                    </w:rPr>
                    <w:t>废气处理</w:t>
                  </w:r>
                </w:p>
              </w:tc>
              <w:tc>
                <w:tcPr>
                  <w:tcW w:w="289" w:type="pct"/>
                  <w:tcBorders>
                    <w:tl2br w:val="nil"/>
                    <w:tr2bl w:val="nil"/>
                  </w:tcBorders>
                  <w:noWrap w:val="0"/>
                  <w:vAlign w:val="center"/>
                </w:tcPr>
                <w:p w14:paraId="0FF38E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auto"/>
                      <w:kern w:val="0"/>
                      <w:sz w:val="21"/>
                      <w:szCs w:val="21"/>
                      <w:highlight w:val="none"/>
                      <w:u w:val="none"/>
                      <w:lang w:val="en-US" w:eastAsia="zh-CN" w:bidi="ar-SA"/>
                    </w:rPr>
                    <w:t>固态</w:t>
                  </w:r>
                </w:p>
              </w:tc>
              <w:tc>
                <w:tcPr>
                  <w:tcW w:w="413" w:type="pct"/>
                  <w:tcBorders>
                    <w:tl2br w:val="nil"/>
                    <w:tr2bl w:val="nil"/>
                  </w:tcBorders>
                  <w:noWrap w:val="0"/>
                  <w:vAlign w:val="center"/>
                </w:tcPr>
                <w:p w14:paraId="534550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lang w:val="en-US" w:eastAsia="zh-CN" w:bidi="ar-SA"/>
                    </w:rPr>
                  </w:pPr>
                  <w:r>
                    <w:rPr>
                      <w:rFonts w:hint="eastAsia" w:ascii="Times New Roman" w:hAnsi="Times New Roman" w:eastAsia="宋体" w:cs="Times New Roman"/>
                      <w:b w:val="0"/>
                      <w:bCs w:val="0"/>
                      <w:color w:val="auto"/>
                      <w:kern w:val="0"/>
                      <w:sz w:val="21"/>
                      <w:szCs w:val="21"/>
                      <w:highlight w:val="none"/>
                      <w:u w:val="none"/>
                      <w:lang w:val="en-US" w:eastAsia="zh-CN" w:bidi="ar-SA"/>
                    </w:rPr>
                    <w:t>活性炭、有机废气</w:t>
                  </w:r>
                </w:p>
              </w:tc>
              <w:tc>
                <w:tcPr>
                  <w:tcW w:w="358" w:type="pct"/>
                  <w:tcBorders>
                    <w:tl2br w:val="nil"/>
                    <w:tr2bl w:val="nil"/>
                  </w:tcBorders>
                  <w:noWrap w:val="0"/>
                  <w:vAlign w:val="center"/>
                </w:tcPr>
                <w:p w14:paraId="282446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auto"/>
                      <w:kern w:val="0"/>
                      <w:sz w:val="21"/>
                      <w:szCs w:val="21"/>
                      <w:highlight w:val="none"/>
                      <w:u w:val="none"/>
                      <w:lang w:val="en-US" w:eastAsia="zh-CN" w:bidi="ar-SA"/>
                    </w:rPr>
                    <w:t>T</w:t>
                  </w:r>
                </w:p>
              </w:tc>
              <w:tc>
                <w:tcPr>
                  <w:tcW w:w="454" w:type="pct"/>
                  <w:tcBorders>
                    <w:tl2br w:val="nil"/>
                    <w:tr2bl w:val="nil"/>
                  </w:tcBorders>
                  <w:noWrap w:val="0"/>
                  <w:vAlign w:val="center"/>
                </w:tcPr>
                <w:p w14:paraId="42119689">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snapToGrid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HW49</w:t>
                  </w:r>
                </w:p>
              </w:tc>
              <w:tc>
                <w:tcPr>
                  <w:tcW w:w="662" w:type="pct"/>
                  <w:tcBorders>
                    <w:tl2br w:val="nil"/>
                    <w:tr2bl w:val="nil"/>
                  </w:tcBorders>
                  <w:noWrap w:val="0"/>
                  <w:vAlign w:val="center"/>
                </w:tcPr>
                <w:p w14:paraId="50502AA3">
                  <w:pPr>
                    <w:keepNext w:val="0"/>
                    <w:keepLines w:val="0"/>
                    <w:pageBreakBefore w:val="0"/>
                    <w:widowControl w:val="0"/>
                    <w:suppressLineNumbers w:val="0"/>
                    <w:kinsoku/>
                    <w:wordWrap/>
                    <w:overflowPunct/>
                    <w:topLinePunct w:val="0"/>
                    <w:bidi w:val="0"/>
                    <w:adjustRightInd/>
                    <w:snapToGrid/>
                    <w:spacing w:beforeAutospacing="0" w:afterAutospacing="0" w:line="360" w:lineRule="exact"/>
                    <w:ind w:left="0" w:leftChars="0" w:right="0" w:rightChars="0" w:firstLine="0" w:firstLineChars="0"/>
                    <w:jc w:val="center"/>
                    <w:textAlignment w:val="auto"/>
                    <w:rPr>
                      <w:rFonts w:hint="default" w:ascii="Times New Roman" w:hAnsi="Times New Roman" w:eastAsia="宋体" w:cs="Times New Roman"/>
                      <w:b w:val="0"/>
                      <w:bCs w:val="0"/>
                      <w:snapToGrid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900-039-49</w:t>
                  </w:r>
                </w:p>
              </w:tc>
              <w:tc>
                <w:tcPr>
                  <w:tcW w:w="473" w:type="pct"/>
                  <w:tcBorders>
                    <w:tl2br w:val="nil"/>
                    <w:tr2bl w:val="nil"/>
                  </w:tcBorders>
                  <w:noWrap w:val="0"/>
                  <w:vAlign w:val="center"/>
                </w:tcPr>
                <w:p w14:paraId="4160D2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cs="Times New Roman"/>
                      <w:b w:val="0"/>
                      <w:bCs w:val="0"/>
                      <w:color w:val="000000" w:themeColor="text1"/>
                      <w:kern w:val="0"/>
                      <w:sz w:val="21"/>
                      <w:szCs w:val="21"/>
                      <w:highlight w:val="none"/>
                      <w:u w:val="none"/>
                      <w:lang w:val="en-US" w:eastAsia="zh-CN" w:bidi="ar-SA"/>
                      <w14:textFill>
                        <w14:solidFill>
                          <w14:schemeClr w14:val="tx1"/>
                        </w14:solidFill>
                      </w14:textFill>
                    </w:rPr>
                  </w:pPr>
                  <w:r>
                    <w:rPr>
                      <w:rFonts w:hint="eastAsia" w:ascii="Times New Roman" w:hAnsi="Times New Roman" w:cs="Times New Roman"/>
                      <w:b w:val="0"/>
                      <w:bCs w:val="0"/>
                      <w:color w:val="auto"/>
                      <w:kern w:val="0"/>
                      <w:sz w:val="21"/>
                      <w:szCs w:val="21"/>
                      <w:highlight w:val="none"/>
                      <w:u w:val="none"/>
                      <w:lang w:val="en-US" w:eastAsia="zh-CN" w:bidi="ar-SA"/>
                    </w:rPr>
                    <w:t>0.0654</w:t>
                  </w:r>
                </w:p>
              </w:tc>
              <w:tc>
                <w:tcPr>
                  <w:tcW w:w="739" w:type="pct"/>
                  <w:tcBorders>
                    <w:tl2br w:val="nil"/>
                    <w:tr2bl w:val="nil"/>
                  </w:tcBorders>
                  <w:noWrap w:val="0"/>
                  <w:vAlign w:val="center"/>
                </w:tcPr>
                <w:p w14:paraId="1BB04EDC">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exact"/>
                    <w:ind w:left="0" w:leftChars="0" w:firstLine="0" w:firstLineChars="0"/>
                    <w:jc w:val="both"/>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10m</w:t>
                  </w:r>
                  <w:r>
                    <w:rPr>
                      <w:rFonts w:hint="eastAsia" w:ascii="Times New Roman" w:hAnsi="Times New Roman" w:eastAsia="宋体" w:cs="Times New Roman"/>
                      <w:b w:val="0"/>
                      <w:bCs w:val="0"/>
                      <w:color w:val="000000" w:themeColor="text1"/>
                      <w:sz w:val="21"/>
                      <w:szCs w:val="21"/>
                      <w:u w:val="none"/>
                      <w:vertAlign w:val="superscript"/>
                      <w:lang w:val="en-US" w:eastAsia="zh-CN" w:bidi="zh-CN"/>
                      <w14:textFill>
                        <w14:solidFill>
                          <w14:schemeClr w14:val="tx1"/>
                        </w14:solidFill>
                      </w14:textFill>
                    </w:rPr>
                    <w:t>2</w:t>
                  </w: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危废贮存库</w:t>
                  </w:r>
                  <w:r>
                    <w:rPr>
                      <w:rFonts w:hint="default" w:ascii="Times New Roman" w:hAnsi="Times New Roman" w:eastAsia="宋体"/>
                      <w:sz w:val="21"/>
                      <w:szCs w:val="21"/>
                    </w:rPr>
                    <w:t>厂区暂存，定期交由有资质单位处理</w:t>
                  </w:r>
                </w:p>
              </w:tc>
            </w:tr>
          </w:tbl>
          <w:p w14:paraId="755B88F7">
            <w:pPr>
              <w:pStyle w:val="47"/>
              <w:widowControl w:val="0"/>
              <w:wordWrap/>
              <w:autoSpaceDE w:val="0"/>
              <w:adjustRightInd/>
              <w:snapToGrid/>
              <w:spacing w:beforeAutospacing="0" w:afterAutospacing="0" w:line="520" w:lineRule="exact"/>
              <w:jc w:val="both"/>
              <w:textAlignment w:val="auto"/>
              <w:rPr>
                <w:rFonts w:hint="eastAsia" w:ascii="Times New Roman" w:hAnsi="Times New Roman" w:eastAsia="宋体" w:cs="宋体"/>
                <w:b/>
                <w:bCs/>
                <w:color w:val="auto"/>
                <w:sz w:val="24"/>
                <w:szCs w:val="24"/>
              </w:rPr>
            </w:pPr>
            <w:r>
              <w:rPr>
                <w:rFonts w:hint="eastAsia" w:ascii="Times New Roman" w:hAnsi="Times New Roman" w:cs="宋体"/>
                <w:b/>
                <w:bCs/>
                <w:color w:val="auto"/>
                <w:sz w:val="24"/>
                <w:szCs w:val="24"/>
                <w:lang w:val="en-US" w:eastAsia="zh-CN"/>
              </w:rPr>
              <w:t>（二）</w:t>
            </w:r>
            <w:r>
              <w:rPr>
                <w:rFonts w:hint="eastAsia" w:ascii="Times New Roman" w:hAnsi="Times New Roman" w:eastAsia="宋体" w:cs="宋体"/>
                <w:b/>
                <w:bCs/>
                <w:color w:val="auto"/>
                <w:sz w:val="24"/>
                <w:szCs w:val="24"/>
              </w:rPr>
              <w:t>固体废物环境管理要求</w:t>
            </w:r>
          </w:p>
          <w:p w14:paraId="6C63706F">
            <w:pPr>
              <w:pStyle w:val="44"/>
              <w:widowControl w:val="0"/>
              <w:numPr>
                <w:ilvl w:val="0"/>
                <w:numId w:val="0"/>
              </w:numPr>
              <w:wordWrap/>
              <w:autoSpaceDE w:val="0"/>
              <w:adjustRightInd/>
              <w:snapToGrid/>
              <w:spacing w:before="0" w:beforeAutospacing="0" w:afterAutospacing="0" w:line="520" w:lineRule="exact"/>
              <w:ind w:right="0" w:firstLine="482" w:firstLineChars="200"/>
              <w:jc w:val="both"/>
              <w:textAlignment w:val="auto"/>
              <w:rPr>
                <w:rFonts w:hint="eastAsia" w:ascii="Times New Roman" w:hAnsi="Times New Roman" w:eastAsia="宋体" w:cs="宋体"/>
                <w:color w:val="auto"/>
                <w:sz w:val="24"/>
                <w:szCs w:val="24"/>
                <w:lang w:eastAsia="zh-CN"/>
              </w:rPr>
            </w:pPr>
            <w:r>
              <w:rPr>
                <w:rFonts w:hint="eastAsia" w:ascii="Times New Roman" w:hAnsi="Times New Roman" w:cs="宋体"/>
                <w:b/>
                <w:bCs/>
                <w:color w:val="auto"/>
                <w:sz w:val="24"/>
                <w:szCs w:val="24"/>
                <w:lang w:val="en-US" w:eastAsia="zh-CN"/>
              </w:rPr>
              <w:t>1、一般固废</w:t>
            </w:r>
          </w:p>
          <w:p w14:paraId="148E644C">
            <w:pPr>
              <w:pStyle w:val="47"/>
              <w:widowControl w:val="0"/>
              <w:wordWrap/>
              <w:autoSpaceDE w:val="0"/>
              <w:adjustRightInd/>
              <w:snapToGrid/>
              <w:spacing w:beforeAutospacing="0" w:afterAutospacing="0" w:line="520" w:lineRule="exact"/>
              <w:jc w:val="both"/>
              <w:textAlignment w:val="auto"/>
              <w:rPr>
                <w:rFonts w:hint="eastAsia" w:ascii="Times New Roman" w:hAnsi="Times New Roman" w:eastAsia="宋体" w:cs="宋体"/>
                <w:color w:val="auto"/>
                <w:sz w:val="24"/>
                <w:szCs w:val="24"/>
                <w:lang w:val="en-US" w:eastAsia="zh-CN"/>
              </w:rPr>
            </w:pPr>
            <w:r>
              <w:rPr>
                <w:rFonts w:hint="default" w:ascii="Times New Roman" w:hAnsi="Times New Roman" w:eastAsia="宋体" w:cs="宋体"/>
                <w:color w:val="auto"/>
                <w:sz w:val="24"/>
                <w:szCs w:val="24"/>
              </w:rPr>
              <w:t>项目营运期一般固废主要包括</w:t>
            </w:r>
            <w:r>
              <w:rPr>
                <w:rFonts w:hint="eastAsia" w:ascii="Times New Roman" w:hAnsi="Times New Roman" w:eastAsia="宋体" w:cs="Times New Roman"/>
                <w:b w:val="0"/>
                <w:bCs w:val="0"/>
                <w:color w:val="000000"/>
                <w:sz w:val="24"/>
                <w:szCs w:val="24"/>
                <w:u w:val="none"/>
                <w:lang w:val="en-US" w:eastAsia="zh-CN" w:bidi="zh-CN"/>
              </w:rPr>
              <w:t>生活垃</w:t>
            </w:r>
            <w:r>
              <w:rPr>
                <w:rFonts w:hint="eastAsia" w:ascii="Times New Roman" w:hAnsi="Times New Roman" w:eastAsia="宋体" w:cs="宋体"/>
                <w:color w:val="auto"/>
                <w:sz w:val="24"/>
                <w:szCs w:val="24"/>
                <w:lang w:val="en-US" w:eastAsia="zh-CN"/>
              </w:rPr>
              <w:t>圾、废包装袋、废化妆瓶</w:t>
            </w:r>
            <w:r>
              <w:rPr>
                <w:rFonts w:hint="eastAsia" w:ascii="Times New Roman" w:hAnsi="Times New Roman" w:cs="宋体"/>
                <w:color w:val="auto"/>
                <w:sz w:val="24"/>
                <w:szCs w:val="24"/>
                <w:lang w:val="en-US" w:eastAsia="zh-CN"/>
              </w:rPr>
              <w:t>。</w:t>
            </w:r>
            <w:r>
              <w:rPr>
                <w:rFonts w:hint="eastAsia" w:ascii="Times New Roman" w:hAnsi="Times New Roman" w:eastAsia="宋体" w:cs="宋体"/>
                <w:color w:val="auto"/>
                <w:sz w:val="24"/>
                <w:szCs w:val="24"/>
                <w:lang w:val="en-US" w:eastAsia="zh-CN"/>
              </w:rPr>
              <w:t>生活垃圾</w:t>
            </w:r>
            <w:r>
              <w:rPr>
                <w:rFonts w:hint="eastAsia" w:ascii="Times New Roman" w:hAnsi="Times New Roman" w:cs="宋体"/>
                <w:color w:val="auto"/>
                <w:sz w:val="24"/>
                <w:szCs w:val="24"/>
                <w:lang w:val="en-US" w:eastAsia="zh-CN"/>
              </w:rPr>
              <w:t>由</w:t>
            </w:r>
            <w:r>
              <w:rPr>
                <w:rFonts w:hint="eastAsia" w:ascii="Times New Roman" w:hAnsi="Times New Roman" w:eastAsia="宋体" w:cs="宋体"/>
                <w:color w:val="auto"/>
                <w:sz w:val="24"/>
                <w:szCs w:val="24"/>
                <w:lang w:val="en-US" w:eastAsia="zh-CN"/>
              </w:rPr>
              <w:t>环卫部门定期清运。废包装袋</w:t>
            </w:r>
            <w:r>
              <w:rPr>
                <w:rFonts w:hint="eastAsia" w:ascii="Times New Roman" w:hAnsi="Times New Roman" w:cs="宋体"/>
                <w:color w:val="auto"/>
                <w:sz w:val="24"/>
                <w:szCs w:val="24"/>
                <w:lang w:val="en-US" w:eastAsia="zh-CN"/>
              </w:rPr>
              <w:t>、</w:t>
            </w:r>
            <w:r>
              <w:rPr>
                <w:rFonts w:hint="eastAsia" w:ascii="Times New Roman" w:hAnsi="Times New Roman" w:eastAsia="宋体" w:cs="宋体"/>
                <w:color w:val="auto"/>
                <w:sz w:val="24"/>
                <w:szCs w:val="24"/>
                <w:lang w:val="en-US" w:eastAsia="zh-CN"/>
              </w:rPr>
              <w:t>废化妆瓶收集后</w:t>
            </w:r>
            <w:r>
              <w:rPr>
                <w:rFonts w:hint="eastAsia" w:ascii="Times New Roman" w:hAnsi="Times New Roman" w:cs="宋体"/>
                <w:color w:val="auto"/>
                <w:sz w:val="24"/>
                <w:szCs w:val="24"/>
                <w:lang w:val="en-US" w:eastAsia="zh-CN"/>
              </w:rPr>
              <w:t>一般固废间暂存后</w:t>
            </w:r>
            <w:r>
              <w:rPr>
                <w:rFonts w:hint="eastAsia" w:ascii="Times New Roman" w:hAnsi="Times New Roman" w:eastAsia="宋体" w:cs="宋体"/>
                <w:color w:val="auto"/>
                <w:sz w:val="24"/>
                <w:szCs w:val="24"/>
                <w:lang w:val="en-US" w:eastAsia="zh-CN"/>
              </w:rPr>
              <w:t>外售综合利用。</w:t>
            </w:r>
          </w:p>
          <w:p w14:paraId="4B17071F">
            <w:pPr>
              <w:pStyle w:val="47"/>
              <w:widowControl w:val="0"/>
              <w:wordWrap/>
              <w:autoSpaceDE w:val="0"/>
              <w:adjustRightInd/>
              <w:snapToGrid/>
              <w:spacing w:beforeAutospacing="0" w:afterAutospacing="0" w:line="520" w:lineRule="exact"/>
              <w:jc w:val="both"/>
              <w:textAlignment w:val="auto"/>
              <w:rPr>
                <w:rFonts w:hint="default" w:ascii="Times New Roman" w:hAnsi="Times New Roman" w:eastAsia="宋体" w:cs="宋体"/>
                <w:color w:val="auto"/>
                <w:sz w:val="24"/>
                <w:szCs w:val="24"/>
              </w:rPr>
            </w:pPr>
            <w:r>
              <w:rPr>
                <w:rFonts w:hint="default" w:ascii="Times New Roman" w:hAnsi="Times New Roman" w:eastAsia="宋体" w:cs="宋体"/>
                <w:color w:val="auto"/>
                <w:sz w:val="24"/>
                <w:szCs w:val="24"/>
                <w:lang w:val="en-US" w:eastAsia="zh-CN"/>
              </w:rPr>
              <w:t>项目车间内部集中设置一般固废暂存场所，</w:t>
            </w:r>
            <w:r>
              <w:rPr>
                <w:rFonts w:hint="eastAsia" w:ascii="Times New Roman" w:hAnsi="Times New Roman" w:cs="宋体"/>
                <w:color w:val="auto"/>
                <w:sz w:val="24"/>
                <w:szCs w:val="24"/>
                <w:lang w:val="en-US" w:eastAsia="zh-CN"/>
              </w:rPr>
              <w:t>所在位置属于</w:t>
            </w:r>
            <w:r>
              <w:rPr>
                <w:rFonts w:hint="default" w:ascii="Times New Roman" w:hAnsi="Times New Roman" w:eastAsia="宋体" w:cs="宋体"/>
                <w:color w:val="auto"/>
                <w:sz w:val="24"/>
                <w:szCs w:val="24"/>
                <w:lang w:val="en-US" w:eastAsia="zh-CN"/>
              </w:rPr>
              <w:t>重现期不小于50年一遇的洪水位</w:t>
            </w:r>
            <w:r>
              <w:rPr>
                <w:rFonts w:hint="eastAsia" w:ascii="Times New Roman" w:hAnsi="Times New Roman" w:cs="宋体"/>
                <w:color w:val="auto"/>
                <w:sz w:val="24"/>
                <w:szCs w:val="24"/>
                <w:lang w:val="en-US" w:eastAsia="zh-CN"/>
              </w:rPr>
              <w:t>。车间已进行10-15cm水泥硬化，满足</w:t>
            </w:r>
            <w:r>
              <w:rPr>
                <w:rFonts w:hint="default" w:ascii="Times New Roman" w:hAnsi="Times New Roman" w:eastAsia="宋体" w:cs="宋体"/>
                <w:color w:val="auto"/>
                <w:sz w:val="24"/>
                <w:szCs w:val="24"/>
              </w:rPr>
              <w:t>《一般工业固体废物贮存和填埋污染控制标准》（GB 18599-2020）中的</w:t>
            </w:r>
            <w:r>
              <w:rPr>
                <w:rFonts w:hint="eastAsia" w:ascii="Times New Roman" w:hAnsi="Times New Roman" w:cs="宋体"/>
                <w:color w:val="auto"/>
                <w:sz w:val="24"/>
                <w:szCs w:val="24"/>
                <w:lang w:val="en-US" w:eastAsia="zh-CN"/>
              </w:rPr>
              <w:t>一般防渗要求</w:t>
            </w:r>
            <w:r>
              <w:rPr>
                <w:rFonts w:hint="default" w:ascii="Times New Roman" w:hAnsi="Times New Roman" w:eastAsia="宋体" w:cs="宋体"/>
                <w:color w:val="auto"/>
                <w:sz w:val="24"/>
                <w:szCs w:val="24"/>
              </w:rPr>
              <w:t>相关规定。</w:t>
            </w:r>
            <w:r>
              <w:rPr>
                <w:rFonts w:hint="eastAsia" w:ascii="Times New Roman" w:hAnsi="Times New Roman" w:eastAsia="宋体" w:cs="宋体"/>
                <w:color w:val="auto"/>
                <w:sz w:val="24"/>
                <w:szCs w:val="24"/>
                <w:lang w:val="en-US" w:eastAsia="zh-CN"/>
              </w:rPr>
              <w:t>生活垃圾不得进入一般工业固体废物贮存场。</w:t>
            </w:r>
            <w:r>
              <w:rPr>
                <w:rFonts w:hint="eastAsia" w:ascii="Times New Roman" w:hAnsi="Times New Roman" w:cs="宋体"/>
                <w:color w:val="auto"/>
                <w:sz w:val="24"/>
                <w:szCs w:val="24"/>
                <w:lang w:val="en-US" w:eastAsia="zh-CN"/>
              </w:rPr>
              <w:t>项目</w:t>
            </w:r>
            <w:r>
              <w:rPr>
                <w:rFonts w:hint="default" w:ascii="Times New Roman" w:hAnsi="Times New Roman" w:eastAsia="宋体" w:cs="宋体"/>
                <w:color w:val="auto"/>
                <w:sz w:val="24"/>
                <w:szCs w:val="24"/>
                <w:lang w:val="en-US" w:eastAsia="zh-CN"/>
              </w:rPr>
              <w:t>不涉及重金属和持久性有机污染物</w:t>
            </w:r>
            <w:r>
              <w:rPr>
                <w:rFonts w:hint="eastAsia" w:ascii="Times New Roman" w:hAnsi="Times New Roman" w:cs="宋体"/>
                <w:color w:val="auto"/>
                <w:sz w:val="24"/>
                <w:szCs w:val="24"/>
                <w:lang w:val="en-US" w:eastAsia="zh-CN"/>
              </w:rPr>
              <w:t>。</w:t>
            </w:r>
          </w:p>
          <w:p w14:paraId="2481CEA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2" w:firstLineChars="200"/>
              <w:jc w:val="both"/>
              <w:textAlignment w:val="auto"/>
              <w:rPr>
                <w:rFonts w:hint="default" w:ascii="Times New Roman" w:hAnsi="Times New Roman" w:eastAsia="宋体" w:cs="宋体"/>
                <w:b/>
                <w:bCs w:val="0"/>
                <w:sz w:val="24"/>
                <w:u w:val="none"/>
                <w:lang w:val="en-US" w:eastAsia="zh-CN"/>
              </w:rPr>
            </w:pPr>
            <w:r>
              <w:rPr>
                <w:rFonts w:hint="eastAsia" w:ascii="Times New Roman" w:hAnsi="Times New Roman" w:cs="宋体"/>
                <w:b/>
                <w:bCs w:val="0"/>
                <w:sz w:val="24"/>
                <w:u w:val="none"/>
                <w:lang w:val="en-US" w:eastAsia="zh-CN"/>
              </w:rPr>
              <w:t>2、危险废物</w:t>
            </w:r>
          </w:p>
          <w:p w14:paraId="416AC52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项目</w:t>
            </w:r>
            <w:r>
              <w:rPr>
                <w:rFonts w:hint="eastAsia" w:ascii="Times New Roman" w:hAnsi="Times New Roman" w:cs="宋体"/>
                <w:bCs/>
                <w:sz w:val="24"/>
                <w:u w:val="none"/>
                <w:lang w:val="en-US" w:eastAsia="zh-CN"/>
              </w:rPr>
              <w:t>设置</w:t>
            </w:r>
            <w:r>
              <w:rPr>
                <w:rFonts w:hint="eastAsia" w:ascii="Times New Roman" w:hAnsi="Times New Roman" w:eastAsia="宋体" w:cs="宋体"/>
                <w:bCs/>
                <w:sz w:val="24"/>
                <w:u w:val="none"/>
                <w:lang w:val="en-US" w:eastAsia="zh-CN"/>
              </w:rPr>
              <w:t>危废</w:t>
            </w:r>
            <w:r>
              <w:rPr>
                <w:rFonts w:hint="eastAsia" w:ascii="Times New Roman" w:hAnsi="Times New Roman" w:cs="宋体"/>
                <w:bCs/>
                <w:sz w:val="24"/>
                <w:u w:val="none"/>
                <w:lang w:val="en-US" w:eastAsia="zh-CN"/>
              </w:rPr>
              <w:t>贮存库，</w:t>
            </w:r>
            <w:r>
              <w:rPr>
                <w:rFonts w:hint="eastAsia" w:ascii="Times New Roman" w:hAnsi="Times New Roman" w:eastAsia="宋体" w:cs="宋体"/>
                <w:bCs/>
                <w:sz w:val="24"/>
                <w:u w:val="none"/>
                <w:lang w:val="en-US" w:eastAsia="zh-CN"/>
              </w:rPr>
              <w:t>应严格按照《危险废物贮存污染控制标准》</w:t>
            </w:r>
            <w:r>
              <w:rPr>
                <w:rFonts w:hint="default" w:ascii="Times New Roman" w:hAnsi="Times New Roman" w:eastAsia="宋体" w:cs="宋体"/>
                <w:bCs/>
                <w:sz w:val="24"/>
                <w:u w:val="none"/>
                <w:lang w:val="en-US" w:eastAsia="zh-CN"/>
              </w:rPr>
              <w:t>(GB18597-2023)</w:t>
            </w:r>
            <w:r>
              <w:rPr>
                <w:rFonts w:hint="eastAsia" w:ascii="Times New Roman" w:hAnsi="Times New Roman" w:eastAsia="宋体" w:cs="宋体"/>
                <w:bCs/>
                <w:sz w:val="24"/>
                <w:u w:val="none"/>
                <w:lang w:val="en-US" w:eastAsia="zh-CN"/>
              </w:rPr>
              <w:t>的要求建设：</w:t>
            </w:r>
          </w:p>
          <w:p w14:paraId="33D80FB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w:t>
            </w:r>
            <w:r>
              <w:rPr>
                <w:rFonts w:hint="default" w:ascii="Times New Roman" w:hAnsi="Times New Roman" w:eastAsia="宋体" w:cs="宋体"/>
                <w:bCs/>
                <w:color w:val="000000" w:themeColor="text1"/>
                <w:sz w:val="24"/>
                <w:u w:val="none"/>
                <w:lang w:val="en-US" w:eastAsia="zh-CN"/>
                <w14:textFill>
                  <w14:solidFill>
                    <w14:schemeClr w14:val="tx1"/>
                  </w14:solidFill>
                </w14:textFill>
              </w:rPr>
              <w:t>1</w:t>
            </w:r>
            <w:r>
              <w:rPr>
                <w:rFonts w:hint="eastAsia" w:ascii="Times New Roman" w:hAnsi="Times New Roman" w:eastAsia="宋体" w:cs="宋体"/>
                <w:bCs/>
                <w:color w:val="000000" w:themeColor="text1"/>
                <w:sz w:val="24"/>
                <w:u w:val="none"/>
                <w:lang w:val="en-US" w:eastAsia="zh-CN"/>
                <w14:textFill>
                  <w14:solidFill>
                    <w14:schemeClr w14:val="tx1"/>
                  </w14:solidFill>
                </w14:textFill>
              </w:rPr>
              <w:t>）危废</w:t>
            </w:r>
            <w:r>
              <w:rPr>
                <w:rFonts w:hint="eastAsia" w:ascii="Times New Roman" w:hAnsi="Times New Roman" w:cs="宋体"/>
                <w:bCs/>
                <w:color w:val="000000" w:themeColor="text1"/>
                <w:sz w:val="24"/>
                <w:u w:val="none"/>
                <w:lang w:val="en-US" w:eastAsia="zh-CN"/>
                <w14:textFill>
                  <w14:solidFill>
                    <w14:schemeClr w14:val="tx1"/>
                  </w14:solidFill>
                </w14:textFill>
              </w:rPr>
              <w:t>贮存库建设</w:t>
            </w:r>
            <w:r>
              <w:rPr>
                <w:rFonts w:hint="eastAsia" w:ascii="Times New Roman" w:hAnsi="Times New Roman" w:eastAsia="宋体" w:cs="宋体"/>
                <w:bCs/>
                <w:color w:val="000000" w:themeColor="text1"/>
                <w:sz w:val="24"/>
                <w:u w:val="none"/>
                <w:lang w:val="en-US" w:eastAsia="zh-CN"/>
                <w14:textFill>
                  <w14:solidFill>
                    <w14:schemeClr w14:val="tx1"/>
                  </w14:solidFill>
                </w14:textFill>
              </w:rPr>
              <w:t>要求</w:t>
            </w:r>
          </w:p>
          <w:p w14:paraId="7F226CA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①</w:t>
            </w:r>
            <w:r>
              <w:rPr>
                <w:rFonts w:hint="eastAsia" w:ascii="Times New Roman" w:hAnsi="Times New Roman" w:cs="宋体"/>
                <w:bCs/>
                <w:color w:val="000000" w:themeColor="text1"/>
                <w:sz w:val="24"/>
                <w:u w:val="none"/>
                <w:lang w:val="en-US" w:eastAsia="zh-CN"/>
                <w14:textFill>
                  <w14:solidFill>
                    <w14:schemeClr w14:val="tx1"/>
                  </w14:solidFill>
                </w14:textFill>
              </w:rPr>
              <w:t>项目</w:t>
            </w:r>
            <w:r>
              <w:rPr>
                <w:rFonts w:hint="eastAsia" w:ascii="Times New Roman" w:hAnsi="Times New Roman" w:eastAsia="宋体" w:cs="宋体"/>
                <w:bCs/>
                <w:color w:val="000000" w:themeColor="text1"/>
                <w:sz w:val="24"/>
                <w:u w:val="none"/>
                <w:lang w:val="en-US" w:eastAsia="zh-CN"/>
                <w14:textFill>
                  <w14:solidFill>
                    <w14:schemeClr w14:val="tx1"/>
                  </w14:solidFill>
                </w14:textFill>
              </w:rPr>
              <w:t>危废</w:t>
            </w:r>
            <w:r>
              <w:rPr>
                <w:rFonts w:hint="eastAsia" w:ascii="Times New Roman" w:hAnsi="Times New Roman" w:cs="宋体"/>
                <w:bCs/>
                <w:color w:val="000000" w:themeColor="text1"/>
                <w:sz w:val="24"/>
                <w:u w:val="none"/>
                <w:lang w:val="en-US" w:eastAsia="zh-CN"/>
                <w14:textFill>
                  <w14:solidFill>
                    <w14:schemeClr w14:val="tx1"/>
                  </w14:solidFill>
                </w14:textFill>
              </w:rPr>
              <w:t>贮存库储存危险废物为废活性，密闭储存，挥发有机废气经负压收集后进入二级活性炭装置处理，15m高排气筒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cs="宋体"/>
                <w:bCs/>
                <w:color w:val="000000" w:themeColor="text1"/>
                <w:sz w:val="24"/>
                <w:u w:val="none"/>
                <w:lang w:val="en-US" w:eastAsia="zh-CN"/>
                <w14:textFill>
                  <w14:solidFill>
                    <w14:schemeClr w14:val="tx1"/>
                  </w14:solidFill>
                </w14:textFill>
              </w:rPr>
              <w:t>排放。</w:t>
            </w:r>
            <w:r>
              <w:rPr>
                <w:rFonts w:hint="eastAsia" w:ascii="Times New Roman" w:hAnsi="Times New Roman" w:eastAsia="宋体" w:cs="宋体"/>
                <w:bCs/>
                <w:color w:val="000000" w:themeColor="text1"/>
                <w:sz w:val="24"/>
                <w:u w:val="none"/>
                <w:lang w:val="en-US" w:eastAsia="zh-CN"/>
                <w14:textFill>
                  <w14:solidFill>
                    <w14:schemeClr w14:val="tx1"/>
                  </w14:solidFill>
                </w14:textFill>
              </w:rPr>
              <w:t>危废</w:t>
            </w:r>
            <w:r>
              <w:rPr>
                <w:rFonts w:hint="eastAsia" w:ascii="Times New Roman" w:hAnsi="Times New Roman" w:cs="宋体"/>
                <w:bCs/>
                <w:color w:val="000000" w:themeColor="text1"/>
                <w:sz w:val="24"/>
                <w:u w:val="none"/>
                <w:lang w:val="en-US" w:eastAsia="zh-CN"/>
                <w14:textFill>
                  <w14:solidFill>
                    <w14:schemeClr w14:val="tx1"/>
                  </w14:solidFill>
                </w14:textFill>
              </w:rPr>
              <w:t>贮存库位于1楼生产车间，不属于露天场所，采取</w:t>
            </w:r>
            <w:r>
              <w:rPr>
                <w:rFonts w:hint="eastAsia" w:ascii="Times New Roman" w:hAnsi="Times New Roman" w:eastAsia="宋体" w:cs="宋体"/>
                <w:bCs/>
                <w:color w:val="000000" w:themeColor="text1"/>
                <w:sz w:val="24"/>
                <w:u w:val="none"/>
                <w:lang w:val="en-US" w:eastAsia="zh-CN"/>
                <w14:textFill>
                  <w14:solidFill>
                    <w14:schemeClr w14:val="tx1"/>
                  </w14:solidFill>
                </w14:textFill>
              </w:rPr>
              <w:t>必要的防风、防晒、防雨、防漏、防渗、防腐</w:t>
            </w:r>
            <w:r>
              <w:rPr>
                <w:rFonts w:hint="eastAsia" w:ascii="Times New Roman" w:hAnsi="Times New Roman" w:cs="宋体"/>
                <w:bCs/>
                <w:color w:val="000000" w:themeColor="text1"/>
                <w:sz w:val="24"/>
                <w:u w:val="none"/>
                <w:lang w:val="en-US" w:eastAsia="zh-CN"/>
                <w14:textFill>
                  <w14:solidFill>
                    <w14:schemeClr w14:val="tx1"/>
                  </w14:solidFill>
                </w14:textFill>
              </w:rPr>
              <w:t>措施</w:t>
            </w:r>
            <w:r>
              <w:rPr>
                <w:rFonts w:hint="eastAsia" w:ascii="Times New Roman" w:hAnsi="Times New Roman" w:eastAsia="宋体" w:cs="宋体"/>
                <w:bCs/>
                <w:color w:val="000000" w:themeColor="text1"/>
                <w:sz w:val="24"/>
                <w:u w:val="none"/>
                <w:lang w:val="en-US" w:eastAsia="zh-CN"/>
                <w14:textFill>
                  <w14:solidFill>
                    <w14:schemeClr w14:val="tx1"/>
                  </w14:solidFill>
                </w14:textFill>
              </w:rPr>
              <w:t>。</w:t>
            </w:r>
          </w:p>
          <w:p w14:paraId="10DFC56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default" w:ascii="Times New Roman" w:hAnsi="Times New Roman"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②危废</w:t>
            </w:r>
            <w:r>
              <w:rPr>
                <w:rFonts w:hint="eastAsia" w:ascii="Times New Roman" w:hAnsi="Times New Roman" w:cs="宋体"/>
                <w:bCs/>
                <w:color w:val="000000" w:themeColor="text1"/>
                <w:sz w:val="24"/>
                <w:u w:val="none"/>
                <w:lang w:val="en-US" w:eastAsia="zh-CN"/>
                <w14:textFill>
                  <w14:solidFill>
                    <w14:schemeClr w14:val="tx1"/>
                  </w14:solidFill>
                </w14:textFill>
              </w:rPr>
              <w:t>贮存库储存危险废物为仅为废活性炭，无须分区贮存，禁止其他物质进入危废贮存库与废活性炭</w:t>
            </w:r>
            <w:r>
              <w:rPr>
                <w:rFonts w:hint="eastAsia" w:ascii="Times New Roman" w:hAnsi="Times New Roman" w:eastAsia="宋体" w:cs="宋体"/>
                <w:bCs/>
                <w:color w:val="000000" w:themeColor="text1"/>
                <w:sz w:val="24"/>
                <w:u w:val="none"/>
                <w:lang w:val="en-US" w:eastAsia="zh-CN"/>
                <w14:textFill>
                  <w14:solidFill>
                    <w14:schemeClr w14:val="tx1"/>
                  </w14:solidFill>
                </w14:textFill>
              </w:rPr>
              <w:t>接触、混合</w:t>
            </w:r>
            <w:r>
              <w:rPr>
                <w:rFonts w:hint="eastAsia" w:ascii="Times New Roman" w:hAnsi="Times New Roman" w:cs="宋体"/>
                <w:bCs/>
                <w:color w:val="000000" w:themeColor="text1"/>
                <w:sz w:val="24"/>
                <w:u w:val="none"/>
                <w:lang w:val="en-US" w:eastAsia="zh-CN"/>
                <w14:textFill>
                  <w14:solidFill>
                    <w14:schemeClr w14:val="tx1"/>
                  </w14:solidFill>
                </w14:textFill>
              </w:rPr>
              <w:t>。</w:t>
            </w:r>
          </w:p>
          <w:p w14:paraId="20524C4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③危废</w:t>
            </w:r>
            <w:r>
              <w:rPr>
                <w:rFonts w:hint="eastAsia" w:ascii="Times New Roman" w:hAnsi="Times New Roman" w:cs="宋体"/>
                <w:bCs/>
                <w:color w:val="000000" w:themeColor="text1"/>
                <w:sz w:val="24"/>
                <w:u w:val="none"/>
                <w:lang w:val="en-US" w:eastAsia="zh-CN"/>
                <w14:textFill>
                  <w14:solidFill>
                    <w14:schemeClr w14:val="tx1"/>
                  </w14:solidFill>
                </w14:textFill>
              </w:rPr>
              <w:t>贮存库</w:t>
            </w:r>
            <w:r>
              <w:rPr>
                <w:rFonts w:hint="eastAsia" w:ascii="Times New Roman" w:hAnsi="Times New Roman" w:eastAsia="宋体" w:cs="宋体"/>
                <w:bCs/>
                <w:color w:val="000000" w:themeColor="text1"/>
                <w:sz w:val="24"/>
                <w:u w:val="none"/>
                <w:lang w:val="en-US" w:eastAsia="zh-CN"/>
                <w14:textFill>
                  <w14:solidFill>
                    <w14:schemeClr w14:val="tx1"/>
                  </w14:solidFill>
                </w14:textFill>
              </w:rPr>
              <w:t>地面、墙面裙脚、堵截泄漏的围堰、接触危险废物的隔板和墙体等采用坚固的材料建造，表面无裂缝。</w:t>
            </w:r>
          </w:p>
          <w:p w14:paraId="744CC04A">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④危废</w:t>
            </w:r>
            <w:r>
              <w:rPr>
                <w:rFonts w:hint="eastAsia" w:ascii="Times New Roman" w:hAnsi="Times New Roman" w:cs="宋体"/>
                <w:bCs/>
                <w:color w:val="000000" w:themeColor="text1"/>
                <w:sz w:val="24"/>
                <w:u w:val="none"/>
                <w:lang w:val="en-US" w:eastAsia="zh-CN"/>
                <w14:textFill>
                  <w14:solidFill>
                    <w14:schemeClr w14:val="tx1"/>
                  </w14:solidFill>
                </w14:textFill>
              </w:rPr>
              <w:t>贮存库</w:t>
            </w:r>
            <w:r>
              <w:rPr>
                <w:rFonts w:hint="eastAsia" w:ascii="Times New Roman" w:hAnsi="Times New Roman" w:eastAsia="宋体" w:cs="宋体"/>
                <w:bCs/>
                <w:color w:val="000000" w:themeColor="text1"/>
                <w:sz w:val="24"/>
                <w:u w:val="none"/>
                <w:lang w:val="en-US" w:eastAsia="zh-CN"/>
                <w14:textFill>
                  <w14:solidFill>
                    <w14:schemeClr w14:val="tx1"/>
                  </w14:solidFill>
                </w14:textFill>
              </w:rPr>
              <w:t>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宋体"/>
                <w:bCs/>
                <w:color w:val="000000" w:themeColor="text1"/>
                <w:sz w:val="24"/>
                <w:u w:val="none"/>
                <w:lang w:val="en-US" w:eastAsia="zh-CN"/>
                <w14:textFill>
                  <w14:solidFill>
                    <w14:schemeClr w14:val="tx1"/>
                  </w14:solidFill>
                </w14:textFill>
              </w:rPr>
              <w:t>1m</w:t>
            </w:r>
            <w:r>
              <w:rPr>
                <w:rFonts w:hint="eastAsia" w:ascii="Times New Roman" w:hAnsi="Times New Roman" w:eastAsia="宋体" w:cs="宋体"/>
                <w:bCs/>
                <w:color w:val="000000" w:themeColor="text1"/>
                <w:sz w:val="24"/>
                <w:u w:val="none"/>
                <w:lang w:val="en-US" w:eastAsia="zh-CN"/>
                <w14:textFill>
                  <w14:solidFill>
                    <w14:schemeClr w14:val="tx1"/>
                  </w14:solidFill>
                </w14:textFill>
              </w:rPr>
              <w:t>厚黏土层（渗透系数不大于</w:t>
            </w:r>
            <w:r>
              <w:rPr>
                <w:rFonts w:hint="default" w:ascii="Times New Roman" w:hAnsi="Times New Roman" w:eastAsia="宋体" w:cs="宋体"/>
                <w:bCs/>
                <w:color w:val="000000" w:themeColor="text1"/>
                <w:sz w:val="24"/>
                <w:u w:val="none"/>
                <w:lang w:val="en-US" w:eastAsia="zh-CN"/>
                <w14:textFill>
                  <w14:solidFill>
                    <w14:schemeClr w14:val="tx1"/>
                  </w14:solidFill>
                </w14:textFill>
              </w:rPr>
              <w:t>10</w:t>
            </w:r>
            <w:r>
              <w:rPr>
                <w:rFonts w:hint="default" w:ascii="Times New Roman" w:hAnsi="Times New Roman" w:eastAsia="宋体" w:cs="宋体"/>
                <w:bCs/>
                <w:color w:val="000000" w:themeColor="text1"/>
                <w:sz w:val="24"/>
                <w:u w:val="none"/>
                <w:vertAlign w:val="superscript"/>
                <w:lang w:val="en-US" w:eastAsia="zh-CN"/>
                <w14:textFill>
                  <w14:solidFill>
                    <w14:schemeClr w14:val="tx1"/>
                  </w14:solidFill>
                </w14:textFill>
              </w:rPr>
              <w:t>-7</w:t>
            </w:r>
            <w:r>
              <w:rPr>
                <w:rFonts w:hint="default" w:ascii="Times New Roman" w:hAnsi="Times New Roman" w:eastAsia="宋体" w:cs="宋体"/>
                <w:bCs/>
                <w:color w:val="000000" w:themeColor="text1"/>
                <w:sz w:val="24"/>
                <w:u w:val="none"/>
                <w:lang w:val="en-US" w:eastAsia="zh-CN"/>
                <w14:textFill>
                  <w14:solidFill>
                    <w14:schemeClr w14:val="tx1"/>
                  </w14:solidFill>
                </w14:textFill>
              </w:rPr>
              <w:t>cm/s</w:t>
            </w:r>
            <w:r>
              <w:rPr>
                <w:rFonts w:hint="eastAsia" w:ascii="Times New Roman" w:hAnsi="Times New Roman" w:eastAsia="宋体" w:cs="宋体"/>
                <w:bCs/>
                <w:color w:val="000000" w:themeColor="text1"/>
                <w:sz w:val="24"/>
                <w:u w:val="none"/>
                <w:lang w:val="en-US" w:eastAsia="zh-CN"/>
                <w14:textFill>
                  <w14:solidFill>
                    <w14:schemeClr w14:val="tx1"/>
                  </w14:solidFill>
                </w14:textFill>
              </w:rPr>
              <w:t>），或至少</w:t>
            </w:r>
            <w:r>
              <w:rPr>
                <w:rFonts w:hint="default" w:ascii="Times New Roman" w:hAnsi="Times New Roman" w:eastAsia="宋体" w:cs="宋体"/>
                <w:bCs/>
                <w:color w:val="000000" w:themeColor="text1"/>
                <w:sz w:val="24"/>
                <w:u w:val="none"/>
                <w:lang w:val="en-US" w:eastAsia="zh-CN"/>
                <w14:textFill>
                  <w14:solidFill>
                    <w14:schemeClr w14:val="tx1"/>
                  </w14:solidFill>
                </w14:textFill>
              </w:rPr>
              <w:t>2mm</w:t>
            </w:r>
            <w:r>
              <w:rPr>
                <w:rFonts w:hint="eastAsia" w:ascii="Times New Roman" w:hAnsi="Times New Roman" w:eastAsia="宋体" w:cs="宋体"/>
                <w:bCs/>
                <w:color w:val="000000" w:themeColor="text1"/>
                <w:sz w:val="24"/>
                <w:u w:val="none"/>
                <w:lang w:val="en-US" w:eastAsia="zh-CN"/>
                <w14:textFill>
                  <w14:solidFill>
                    <w14:schemeClr w14:val="tx1"/>
                  </w14:solidFill>
                </w14:textFill>
              </w:rPr>
              <w:t>厚高密度聚乙烯膜等人工防渗材料（渗透系数不大于</w:t>
            </w:r>
            <w:r>
              <w:rPr>
                <w:rFonts w:hint="default" w:ascii="Times New Roman" w:hAnsi="Times New Roman" w:eastAsia="宋体" w:cs="宋体"/>
                <w:bCs/>
                <w:color w:val="000000" w:themeColor="text1"/>
                <w:sz w:val="24"/>
                <w:u w:val="none"/>
                <w:lang w:val="en-US" w:eastAsia="zh-CN"/>
                <w14:textFill>
                  <w14:solidFill>
                    <w14:schemeClr w14:val="tx1"/>
                  </w14:solidFill>
                </w14:textFill>
              </w:rPr>
              <w:t>10</w:t>
            </w:r>
            <w:r>
              <w:rPr>
                <w:rFonts w:hint="default" w:ascii="Times New Roman" w:hAnsi="Times New Roman" w:eastAsia="宋体" w:cs="宋体"/>
                <w:bCs/>
                <w:color w:val="000000" w:themeColor="text1"/>
                <w:sz w:val="24"/>
                <w:u w:val="none"/>
                <w:vertAlign w:val="superscript"/>
                <w:lang w:val="en-US" w:eastAsia="zh-CN"/>
                <w14:textFill>
                  <w14:solidFill>
                    <w14:schemeClr w14:val="tx1"/>
                  </w14:solidFill>
                </w14:textFill>
              </w:rPr>
              <w:t>-10</w:t>
            </w:r>
            <w:r>
              <w:rPr>
                <w:rFonts w:hint="default" w:ascii="Times New Roman" w:hAnsi="Times New Roman" w:eastAsia="宋体" w:cs="宋体"/>
                <w:bCs/>
                <w:color w:val="000000" w:themeColor="text1"/>
                <w:sz w:val="24"/>
                <w:u w:val="none"/>
                <w:lang w:val="en-US" w:eastAsia="zh-CN"/>
                <w14:textFill>
                  <w14:solidFill>
                    <w14:schemeClr w14:val="tx1"/>
                  </w14:solidFill>
                </w14:textFill>
              </w:rPr>
              <w:t>cm/s</w:t>
            </w:r>
            <w:r>
              <w:rPr>
                <w:rFonts w:hint="eastAsia" w:ascii="Times New Roman" w:hAnsi="Times New Roman" w:eastAsia="宋体" w:cs="宋体"/>
                <w:bCs/>
                <w:color w:val="000000" w:themeColor="text1"/>
                <w:sz w:val="24"/>
                <w:u w:val="none"/>
                <w:lang w:val="en-US" w:eastAsia="zh-CN"/>
                <w14:textFill>
                  <w14:solidFill>
                    <w14:schemeClr w14:val="tx1"/>
                  </w14:solidFill>
                </w14:textFill>
              </w:rPr>
              <w:t>），或其他防渗性能等效的材料。</w:t>
            </w:r>
          </w:p>
          <w:p w14:paraId="2C75849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color w:val="000000" w:themeColor="text1"/>
                <w:sz w:val="24"/>
                <w:u w:val="none"/>
                <w:lang w:val="en-US" w:eastAsia="zh-CN"/>
                <w14:textFill>
                  <w14:solidFill>
                    <w14:schemeClr w14:val="tx1"/>
                  </w14:solidFill>
                </w14:textFill>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w:t>
            </w:r>
            <w:r>
              <w:rPr>
                <w:rFonts w:hint="default" w:ascii="Times New Roman" w:hAnsi="Times New Roman" w:eastAsia="宋体" w:cs="宋体"/>
                <w:bCs/>
                <w:color w:val="000000" w:themeColor="text1"/>
                <w:sz w:val="24"/>
                <w:u w:val="none"/>
                <w:lang w:val="en-US" w:eastAsia="zh-CN"/>
                <w14:textFill>
                  <w14:solidFill>
                    <w14:schemeClr w14:val="tx1"/>
                  </w14:solidFill>
                </w14:textFill>
              </w:rPr>
              <w:t>2</w:t>
            </w:r>
            <w:r>
              <w:rPr>
                <w:rFonts w:hint="eastAsia" w:ascii="Times New Roman" w:hAnsi="Times New Roman" w:eastAsia="宋体" w:cs="宋体"/>
                <w:bCs/>
                <w:color w:val="000000" w:themeColor="text1"/>
                <w:sz w:val="24"/>
                <w:u w:val="none"/>
                <w:lang w:val="en-US" w:eastAsia="zh-CN"/>
                <w14:textFill>
                  <w14:solidFill>
                    <w14:schemeClr w14:val="tx1"/>
                  </w14:solidFill>
                </w14:textFill>
              </w:rPr>
              <w:t>）危险废物在危废</w:t>
            </w:r>
            <w:r>
              <w:rPr>
                <w:rFonts w:hint="eastAsia" w:ascii="Times New Roman" w:hAnsi="Times New Roman" w:cs="宋体"/>
                <w:bCs/>
                <w:color w:val="000000" w:themeColor="text1"/>
                <w:sz w:val="24"/>
                <w:u w:val="none"/>
                <w:lang w:val="en-US" w:eastAsia="zh-CN"/>
                <w14:textFill>
                  <w14:solidFill>
                    <w14:schemeClr w14:val="tx1"/>
                  </w14:solidFill>
                </w14:textFill>
              </w:rPr>
              <w:t>贮存库</w:t>
            </w:r>
            <w:r>
              <w:rPr>
                <w:rFonts w:hint="eastAsia" w:ascii="Times New Roman" w:hAnsi="Times New Roman" w:eastAsia="宋体" w:cs="宋体"/>
                <w:bCs/>
                <w:color w:val="000000" w:themeColor="text1"/>
                <w:sz w:val="24"/>
                <w:u w:val="none"/>
                <w:lang w:val="en-US" w:eastAsia="zh-CN"/>
                <w14:textFill>
                  <w14:solidFill>
                    <w14:schemeClr w14:val="tx1"/>
                  </w14:solidFill>
                </w14:textFill>
              </w:rPr>
              <w:t>内储存过程污染控制要求</w:t>
            </w:r>
          </w:p>
          <w:p w14:paraId="0E63F664">
            <w:pPr>
              <w:pStyle w:val="44"/>
              <w:widowControl w:val="0"/>
              <w:numPr>
                <w:ilvl w:val="0"/>
                <w:numId w:val="0"/>
              </w:numPr>
              <w:wordWrap/>
              <w:autoSpaceDE w:val="0"/>
              <w:adjustRightInd/>
              <w:snapToGrid/>
              <w:spacing w:before="0" w:beforeAutospacing="0" w:afterAutospacing="0" w:line="520" w:lineRule="exact"/>
              <w:ind w:right="0"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color w:val="000000" w:themeColor="text1"/>
                <w:sz w:val="24"/>
                <w:u w:val="none"/>
                <w:lang w:val="en-US" w:eastAsia="zh-CN"/>
                <w14:textFill>
                  <w14:solidFill>
                    <w14:schemeClr w14:val="tx1"/>
                  </w14:solidFill>
                </w14:textFill>
              </w:rPr>
              <w:t>①固态危险废物</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废</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活性炭</w:t>
            </w:r>
            <w:r>
              <w:rPr>
                <w:rFonts w:hint="eastAsia" w:ascii="Times New Roman" w:hAnsi="Times New Roman" w:eastAsia="宋体" w:cs="宋体"/>
                <w:bCs/>
                <w:color w:val="000000" w:themeColor="text1"/>
                <w:sz w:val="24"/>
                <w:u w:val="none"/>
                <w:lang w:val="en-US" w:eastAsia="zh-CN"/>
                <w14:textFill>
                  <w14:solidFill>
                    <w14:schemeClr w14:val="tx1"/>
                  </w14:solidFill>
                </w14:textFill>
              </w:rPr>
              <w:t>装入容器或包装物内贮存</w:t>
            </w:r>
            <w:r>
              <w:rPr>
                <w:rFonts w:hint="eastAsia" w:ascii="Times New Roman" w:hAnsi="Times New Roman" w:eastAsia="宋体" w:cs="宋体"/>
                <w:bCs/>
                <w:sz w:val="24"/>
                <w:u w:val="none"/>
                <w:lang w:val="en-US" w:eastAsia="zh-CN"/>
              </w:rPr>
              <w:t>。</w:t>
            </w:r>
          </w:p>
          <w:p w14:paraId="4F8C0A2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cs="宋体"/>
                <w:bCs/>
                <w:sz w:val="24"/>
                <w:u w:val="none"/>
                <w:lang w:val="en-US" w:eastAsia="zh-CN"/>
              </w:rPr>
              <w:t>（3）</w:t>
            </w:r>
            <w:r>
              <w:rPr>
                <w:rFonts w:hint="eastAsia" w:ascii="Times New Roman" w:hAnsi="Times New Roman" w:eastAsia="宋体" w:cs="宋体"/>
                <w:bCs/>
                <w:sz w:val="24"/>
                <w:u w:val="none"/>
                <w:lang w:val="en-US" w:eastAsia="zh-CN"/>
              </w:rPr>
              <w:t>企业须健全危险废物相关管理制度，并严格落实：</w:t>
            </w:r>
          </w:p>
          <w:p w14:paraId="7629FDB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①企业须配备专业技术人员和管理人员专门负责企业危险废物统计、收集、暂存、转运和管理工作，并对有关危废产生部门员工进行定期教育和培训，强化危险废物管理；</w:t>
            </w:r>
          </w:p>
          <w:p w14:paraId="527510C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②企业须建立危险废物收集操作规程、危险废物转运操作规程、危险废物暂存管理规程等相关制度，并认真落实；</w:t>
            </w:r>
          </w:p>
          <w:p w14:paraId="14305CD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③企业须对危险废物储运场所张贴</w:t>
            </w:r>
            <w:r>
              <w:rPr>
                <w:rFonts w:hint="eastAsia" w:ascii="Times New Roman" w:hAnsi="Times New Roman" w:cs="宋体"/>
                <w:bCs/>
                <w:sz w:val="24"/>
                <w:u w:val="none"/>
                <w:lang w:val="en-US" w:eastAsia="zh-CN"/>
              </w:rPr>
              <w:t>警示标识</w:t>
            </w:r>
            <w:r>
              <w:rPr>
                <w:rFonts w:hint="eastAsia" w:ascii="Times New Roman" w:hAnsi="Times New Roman" w:eastAsia="宋体" w:cs="宋体"/>
                <w:bCs/>
                <w:sz w:val="24"/>
                <w:u w:val="none"/>
                <w:lang w:val="en-US" w:eastAsia="zh-CN"/>
              </w:rPr>
              <w:t>，危险废物包装物张贴警示标签；</w:t>
            </w:r>
          </w:p>
          <w:p w14:paraId="181B0CE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④规范危险废物统计、建立危险废物收集及储运有关档案，认真填写《危险废物项目区内转运记录表》，作好危险废物情况的记录，记录上须注明危险废物的名称、来源、数量、特性和包装容器的类别、入库日期、存放库位、废物出库日期及接收单位名称等，并</w:t>
            </w:r>
            <w:r>
              <w:rPr>
                <w:rFonts w:hint="eastAsia" w:ascii="Times New Roman" w:hAnsi="Times New Roman" w:cs="宋体"/>
                <w:bCs/>
                <w:sz w:val="24"/>
                <w:u w:val="none"/>
                <w:lang w:val="en-US" w:eastAsia="zh-CN"/>
              </w:rPr>
              <w:t>及时</w:t>
            </w:r>
            <w:r>
              <w:rPr>
                <w:rFonts w:hint="eastAsia" w:ascii="Times New Roman" w:hAnsi="Times New Roman" w:eastAsia="宋体" w:cs="宋体"/>
                <w:bCs/>
                <w:sz w:val="24"/>
                <w:u w:val="none"/>
                <w:lang w:val="en-US" w:eastAsia="zh-CN"/>
              </w:rPr>
              <w:t>存档以备查阅。</w:t>
            </w:r>
          </w:p>
          <w:p w14:paraId="4C3F0B23">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520" w:lineRule="exact"/>
              <w:ind w:leftChars="200" w:right="0" w:rightChars="0"/>
              <w:jc w:val="both"/>
              <w:textAlignment w:val="auto"/>
              <w:rPr>
                <w:rFonts w:hint="eastAsia" w:ascii="Times New Roman" w:hAnsi="Times New Roman" w:cs="宋体"/>
                <w:bCs/>
                <w:sz w:val="24"/>
                <w:u w:val="none"/>
                <w:lang w:val="en-US" w:eastAsia="zh-CN"/>
              </w:rPr>
            </w:pPr>
            <w:r>
              <w:rPr>
                <w:rFonts w:hint="eastAsia" w:ascii="Times New Roman" w:hAnsi="Times New Roman" w:cs="宋体"/>
                <w:bCs/>
                <w:sz w:val="24"/>
                <w:u w:val="none"/>
                <w:lang w:val="en-US" w:eastAsia="zh-CN"/>
              </w:rPr>
              <w:t>（4）危险废物识别标志设置</w:t>
            </w:r>
          </w:p>
          <w:p w14:paraId="732E7536">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520" w:lineRule="exact"/>
              <w:ind w:leftChars="0" w:right="0" w:rightChars="0" w:firstLine="480" w:firstLineChars="200"/>
              <w:jc w:val="both"/>
              <w:textAlignment w:val="auto"/>
              <w:rPr>
                <w:rFonts w:hint="default" w:ascii="Times New Roman" w:hAnsi="Times New Roman" w:cs="宋体"/>
                <w:bCs/>
                <w:sz w:val="24"/>
                <w:u w:val="none"/>
                <w:lang w:val="en-US" w:eastAsia="zh-CN"/>
              </w:rPr>
            </w:pPr>
            <w:r>
              <w:rPr>
                <w:rFonts w:hint="default" w:ascii="Times New Roman" w:hAnsi="Times New Roman" w:cs="宋体"/>
                <w:bCs/>
                <w:sz w:val="24"/>
                <w:u w:val="none"/>
                <w:lang w:val="en-US" w:eastAsia="zh-CN"/>
              </w:rPr>
              <w:t>危险废物标签</w:t>
            </w:r>
            <w:r>
              <w:rPr>
                <w:rFonts w:hint="eastAsia" w:ascii="Times New Roman" w:hAnsi="Times New Roman" w:cs="宋体"/>
                <w:bCs/>
                <w:sz w:val="24"/>
                <w:u w:val="none"/>
                <w:lang w:val="en-US" w:eastAsia="zh-CN"/>
              </w:rPr>
              <w:t>：设置在危险废物容器或包装物上。包含废物名称、废物类别、废物代码、废物形态、危险特性、主要成分、有害成分、注意事项、产生/收集单位名称、联系人、联系方式、产生日期、废物重量和备注。危险废物标签宜设置危险废物数字识别码和二维码。</w:t>
            </w:r>
          </w:p>
          <w:p w14:paraId="2D21412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危险废物贮存设施标志</w:t>
            </w:r>
            <w:r>
              <w:rPr>
                <w:rFonts w:hint="eastAsia" w:ascii="Times New Roman" w:hAnsi="Times New Roman" w:cs="宋体"/>
                <w:bCs/>
                <w:sz w:val="24"/>
                <w:u w:val="none"/>
                <w:lang w:val="en-US" w:eastAsia="zh-CN"/>
              </w:rPr>
              <w:t>：</w:t>
            </w:r>
            <w:r>
              <w:rPr>
                <w:rFonts w:hint="eastAsia" w:ascii="Times New Roman" w:hAnsi="Times New Roman" w:eastAsia="宋体" w:cs="宋体"/>
                <w:bCs/>
                <w:sz w:val="24"/>
                <w:u w:val="none"/>
                <w:lang w:val="en-US" w:eastAsia="zh-CN"/>
              </w:rPr>
              <w:t>含三角形警告性图形标志和文字性辅助标志，其中三角形警告性图形标志应符合GB15562.2中的要求。应以醒目的文字标注危险废物设施的类型。包含危险废物设施所属的单位名称、设施编码、负责人及联系方式。宜设置二维码，对设施使用情况进行信息化管理。</w:t>
            </w:r>
          </w:p>
          <w:p w14:paraId="2F5480A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cs="宋体"/>
                <w:bCs/>
                <w:sz w:val="24"/>
                <w:u w:val="none"/>
                <w:lang w:val="en-US" w:eastAsia="zh-CN"/>
              </w:rPr>
            </w:pPr>
            <w:r>
              <w:rPr>
                <w:rFonts w:hint="eastAsia" w:ascii="Times New Roman" w:hAnsi="Times New Roman" w:cs="宋体"/>
                <w:bCs/>
                <w:sz w:val="24"/>
                <w:u w:val="none"/>
                <w:lang w:val="en-US" w:eastAsia="zh-CN"/>
              </w:rPr>
              <w:t>具体标志示例如下图所示：</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0"/>
              <w:gridCol w:w="4822"/>
            </w:tblGrid>
            <w:tr w14:paraId="4F1FD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0" w:type="dxa"/>
                </w:tcPr>
                <w:p w14:paraId="4D41356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宋体"/>
                      <w:bCs/>
                      <w:sz w:val="24"/>
                      <w:u w:val="none"/>
                      <w:vertAlign w:val="baseline"/>
                      <w:lang w:val="en-US" w:eastAsia="zh-CN"/>
                    </w:rPr>
                  </w:pPr>
                  <w:r>
                    <w:rPr>
                      <w:rFonts w:hint="default"/>
                    </w:rPr>
                    <w:drawing>
                      <wp:inline distT="0" distB="0" distL="114300" distR="114300">
                        <wp:extent cx="2160270" cy="2160270"/>
                        <wp:effectExtent l="0" t="0" r="11430" b="1143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a:stretch>
                                  <a:fillRect/>
                                </a:stretch>
                              </pic:blipFill>
                              <pic:spPr>
                                <a:xfrm>
                                  <a:off x="0" y="0"/>
                                  <a:ext cx="2160270" cy="2160270"/>
                                </a:xfrm>
                                <a:prstGeom prst="rect">
                                  <a:avLst/>
                                </a:prstGeom>
                                <a:noFill/>
                                <a:ln>
                                  <a:noFill/>
                                </a:ln>
                              </pic:spPr>
                            </pic:pic>
                          </a:graphicData>
                        </a:graphic>
                      </wp:inline>
                    </w:drawing>
                  </w:r>
                </w:p>
              </w:tc>
              <w:tc>
                <w:tcPr>
                  <w:tcW w:w="4822" w:type="dxa"/>
                </w:tcPr>
                <w:p w14:paraId="15E6C02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rPr>
                  </w:pPr>
                  <w:r>
                    <w:rPr>
                      <w:rFonts w:hint="default"/>
                    </w:rPr>
                    <w:drawing>
                      <wp:inline distT="0" distB="0" distL="114300" distR="114300">
                        <wp:extent cx="2578100" cy="2160270"/>
                        <wp:effectExtent l="0" t="0" r="1270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5"/>
                                <a:stretch>
                                  <a:fillRect/>
                                </a:stretch>
                              </pic:blipFill>
                              <pic:spPr>
                                <a:xfrm>
                                  <a:off x="0" y="0"/>
                                  <a:ext cx="2578100" cy="2160270"/>
                                </a:xfrm>
                                <a:prstGeom prst="rect">
                                  <a:avLst/>
                                </a:prstGeom>
                                <a:noFill/>
                                <a:ln>
                                  <a:noFill/>
                                </a:ln>
                              </pic:spPr>
                            </pic:pic>
                          </a:graphicData>
                        </a:graphic>
                      </wp:inline>
                    </w:drawing>
                  </w:r>
                </w:p>
              </w:tc>
            </w:tr>
            <w:tr w14:paraId="764CD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0" w:type="dxa"/>
                </w:tcPr>
                <w:p w14:paraId="7E34AD0A">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rPr>
                  </w:pPr>
                  <w:r>
                    <w:rPr>
                      <w:rFonts w:hint="default" w:ascii="Times New Roman" w:hAnsi="Times New Roman" w:cs="宋体"/>
                      <w:bCs/>
                      <w:sz w:val="24"/>
                      <w:u w:val="none"/>
                      <w:lang w:val="en-US" w:eastAsia="zh-CN"/>
                    </w:rPr>
                    <w:t>危险废物标签</w:t>
                  </w:r>
                </w:p>
              </w:tc>
              <w:tc>
                <w:tcPr>
                  <w:tcW w:w="4822" w:type="dxa"/>
                </w:tcPr>
                <w:p w14:paraId="0F6DAF4A">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rPr>
                  </w:pPr>
                  <w:r>
                    <w:rPr>
                      <w:rFonts w:hint="eastAsia" w:ascii="Times New Roman" w:hAnsi="Times New Roman" w:eastAsia="宋体" w:cs="宋体"/>
                      <w:bCs/>
                      <w:sz w:val="24"/>
                      <w:u w:val="none"/>
                      <w:lang w:val="en-US" w:eastAsia="zh-CN"/>
                    </w:rPr>
                    <w:t>危险废物贮存分区标志</w:t>
                  </w:r>
                </w:p>
              </w:tc>
            </w:tr>
            <w:tr w14:paraId="3C610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gridSpan w:val="2"/>
                </w:tcPr>
                <w:p w14:paraId="2831D0B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rPr>
                  </w:pPr>
                  <w:r>
                    <w:rPr>
                      <w:rFonts w:hint="eastAsia" w:ascii="Times New Roman" w:hAnsi="Times New Roman" w:eastAsia="宋体" w:cs="宋体"/>
                      <w:bCs/>
                      <w:sz w:val="24"/>
                      <w:u w:val="none"/>
                      <w:lang w:val="en-US" w:eastAsia="zh-CN"/>
                    </w:rPr>
                    <w:drawing>
                      <wp:inline distT="0" distB="0" distL="114300" distR="114300">
                        <wp:extent cx="3695700" cy="2339975"/>
                        <wp:effectExtent l="0" t="0" r="0" b="3175"/>
                        <wp:docPr id="23" name="图片 23" descr="e7dcff545365872cc5073d5d6135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7dcff545365872cc5073d5d61353719"/>
                                <pic:cNvPicPr>
                                  <a:picLocks noChangeAspect="1"/>
                                </pic:cNvPicPr>
                              </pic:nvPicPr>
                              <pic:blipFill>
                                <a:blip r:embed="rId36"/>
                                <a:stretch>
                                  <a:fillRect/>
                                </a:stretch>
                              </pic:blipFill>
                              <pic:spPr>
                                <a:xfrm>
                                  <a:off x="0" y="0"/>
                                  <a:ext cx="3695700" cy="2339975"/>
                                </a:xfrm>
                                <a:prstGeom prst="rect">
                                  <a:avLst/>
                                </a:prstGeom>
                              </pic:spPr>
                            </pic:pic>
                          </a:graphicData>
                        </a:graphic>
                      </wp:inline>
                    </w:drawing>
                  </w:r>
                </w:p>
              </w:tc>
            </w:tr>
            <w:tr w14:paraId="22F90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47A25B6A">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危险废物贮存设施标志</w:t>
                  </w:r>
                </w:p>
              </w:tc>
            </w:tr>
          </w:tbl>
          <w:p w14:paraId="7F3D9BEB">
            <w:pPr>
              <w:widowControl w:val="0"/>
              <w:numPr>
                <w:ilvl w:val="0"/>
                <w:numId w:val="0"/>
              </w:numPr>
              <w:wordWrap/>
              <w:autoSpaceDE w:val="0"/>
              <w:autoSpaceDN w:val="0"/>
              <w:adjustRightInd w:val="0"/>
              <w:snapToGrid/>
              <w:spacing w:beforeAutospacing="0" w:afterAutospacing="0" w:line="520" w:lineRule="exact"/>
              <w:ind w:right="0" w:firstLine="480" w:firstLineChars="200"/>
              <w:jc w:val="center"/>
              <w:textAlignment w:val="auto"/>
              <w:outlineLvl w:val="9"/>
              <w:rPr>
                <w:rFonts w:hint="default" w:ascii="Times New Roman" w:hAnsi="Times New Roman" w:eastAsia="黑体" w:cs="Times New Roman"/>
                <w:b/>
                <w:bCs/>
                <w:color w:val="000000"/>
                <w:sz w:val="24"/>
                <w:szCs w:val="24"/>
                <w:u w:val="single"/>
                <w:lang w:val="en-US" w:eastAsia="zh-CN"/>
              </w:rPr>
            </w:pPr>
            <w:r>
              <w:rPr>
                <w:rFonts w:hint="default" w:ascii="Times New Roman" w:hAnsi="Times New Roman" w:eastAsia="黑体" w:cs="Times New Roman"/>
                <w:b w:val="0"/>
                <w:bCs w:val="0"/>
                <w:color w:val="000000"/>
                <w:sz w:val="24"/>
                <w:szCs w:val="24"/>
                <w:u w:val="none"/>
                <w:lang w:val="en-US" w:eastAsia="zh-CN"/>
              </w:rPr>
              <w:t>图</w:t>
            </w:r>
            <w:r>
              <w:rPr>
                <w:rFonts w:hint="eastAsia" w:ascii="Times New Roman" w:hAnsi="Times New Roman" w:eastAsia="黑体" w:cs="Times New Roman"/>
                <w:b w:val="0"/>
                <w:bCs w:val="0"/>
                <w:color w:val="000000"/>
                <w:sz w:val="24"/>
                <w:szCs w:val="24"/>
                <w:u w:val="none"/>
                <w:lang w:val="en-US" w:eastAsia="zh-CN"/>
              </w:rPr>
              <w:t>4-1</w:t>
            </w:r>
            <w:r>
              <w:rPr>
                <w:rFonts w:hint="default" w:ascii="Times New Roman" w:hAnsi="Times New Roman" w:eastAsia="黑体" w:cs="Times New Roman"/>
                <w:b w:val="0"/>
                <w:bCs w:val="0"/>
                <w:color w:val="000000"/>
                <w:sz w:val="24"/>
                <w:szCs w:val="24"/>
                <w:u w:val="none"/>
                <w:lang w:val="en-US" w:eastAsia="zh-CN"/>
              </w:rPr>
              <w:t xml:space="preserve">  </w:t>
            </w:r>
            <w:r>
              <w:rPr>
                <w:rFonts w:hint="eastAsia" w:ascii="Times New Roman" w:hAnsi="Times New Roman" w:eastAsia="黑体" w:cs="Times New Roman"/>
                <w:b w:val="0"/>
                <w:bCs w:val="0"/>
                <w:color w:val="000000"/>
                <w:sz w:val="24"/>
                <w:szCs w:val="24"/>
                <w:u w:val="none"/>
                <w:lang w:val="en-US" w:eastAsia="zh-CN"/>
              </w:rPr>
              <w:t>危废贮存库标识</w:t>
            </w:r>
          </w:p>
          <w:p w14:paraId="5626553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w:t>
            </w:r>
            <w:r>
              <w:rPr>
                <w:rFonts w:hint="eastAsia" w:ascii="Times New Roman" w:hAnsi="Times New Roman" w:cs="宋体"/>
                <w:bCs/>
                <w:sz w:val="24"/>
                <w:u w:val="none"/>
                <w:lang w:val="en-US" w:eastAsia="zh-CN"/>
              </w:rPr>
              <w:t>5</w:t>
            </w:r>
            <w:r>
              <w:rPr>
                <w:rFonts w:hint="eastAsia" w:ascii="Times New Roman" w:hAnsi="Times New Roman" w:eastAsia="宋体" w:cs="宋体"/>
                <w:bCs/>
                <w:sz w:val="24"/>
                <w:u w:val="none"/>
                <w:lang w:val="en-US" w:eastAsia="zh-CN"/>
              </w:rPr>
              <w:t>）认真落实申报登记和台账登记制度</w:t>
            </w:r>
          </w:p>
          <w:p w14:paraId="7BF0B82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根据《中华人民共和国固体废物污染环境防治法》第三十二条、第五十三条的规定，产生危险废物、工业固体废物的单位必须向所在地县级以上人民政府环境保护行政主管部门如实、及时申报固体废物和危险废物的种类、数量、流向，以及贮存、处置等情况。建设单位必须建立健全</w:t>
            </w:r>
            <w:r>
              <w:rPr>
                <w:rFonts w:hint="eastAsia" w:ascii="Times New Roman" w:hAnsi="Times New Roman" w:cs="宋体"/>
                <w:bCs/>
                <w:sz w:val="24"/>
                <w:u w:val="none"/>
                <w:lang w:val="en-US" w:eastAsia="zh-CN"/>
              </w:rPr>
              <w:t>台账登记</w:t>
            </w:r>
            <w:r>
              <w:rPr>
                <w:rFonts w:hint="eastAsia" w:ascii="Times New Roman" w:hAnsi="Times New Roman" w:eastAsia="宋体" w:cs="宋体"/>
                <w:bCs/>
                <w:sz w:val="24"/>
                <w:u w:val="none"/>
                <w:lang w:val="en-US" w:eastAsia="zh-CN"/>
              </w:rPr>
              <w:t>制度，如实记录危险废物产生、贮存、利用和处置等环节的情况。</w:t>
            </w:r>
          </w:p>
          <w:p w14:paraId="1CE498C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（6）选择具有专业处置利用能力和《危险废物经营许可证》的单位，确保不造成新的环境污染。对危险废物必须分类收集处置，禁止将危险废物混入一般废物收集、贮存、运输和处置。</w:t>
            </w:r>
          </w:p>
          <w:p w14:paraId="1FF23CA9">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520" w:lineRule="exact"/>
              <w:ind w:firstLine="480" w:firstLineChars="200"/>
              <w:jc w:val="both"/>
              <w:textAlignment w:val="auto"/>
              <w:rPr>
                <w:rFonts w:hint="eastAsia" w:ascii="Times New Roman" w:hAnsi="Times New Roman" w:eastAsia="宋体" w:cs="宋体"/>
                <w:bCs/>
                <w:sz w:val="24"/>
                <w:u w:val="none"/>
                <w:lang w:val="en-US" w:eastAsia="zh-CN"/>
              </w:rPr>
            </w:pPr>
            <w:r>
              <w:rPr>
                <w:rFonts w:hint="eastAsia" w:ascii="Times New Roman" w:hAnsi="Times New Roman" w:eastAsia="宋体" w:cs="宋体"/>
                <w:bCs/>
                <w:sz w:val="24"/>
                <w:u w:val="none"/>
                <w:lang w:val="en-US" w:eastAsia="zh-CN"/>
              </w:rPr>
              <w:t>综上所述，本项目固废均得到妥善处置，综合处置率</w:t>
            </w:r>
            <w:r>
              <w:rPr>
                <w:rFonts w:hint="default" w:ascii="Times New Roman" w:hAnsi="Times New Roman" w:eastAsia="宋体" w:cs="宋体"/>
                <w:bCs/>
                <w:sz w:val="24"/>
                <w:u w:val="none"/>
                <w:lang w:val="en-US" w:eastAsia="zh-CN"/>
              </w:rPr>
              <w:t>100%</w:t>
            </w:r>
            <w:r>
              <w:rPr>
                <w:rFonts w:hint="eastAsia" w:ascii="Times New Roman" w:hAnsi="Times New Roman" w:eastAsia="宋体" w:cs="宋体"/>
                <w:bCs/>
                <w:sz w:val="24"/>
                <w:u w:val="none"/>
                <w:lang w:val="en-US" w:eastAsia="zh-CN"/>
              </w:rPr>
              <w:t>，体现了固体废物减量化、资源化和综合利用的原则，只要在项目运行时，将各项处理措施落实到位，认真执行，就能避免固体废物对环境的污染，从而将项目产生的固体废物对环境的污染降低</w:t>
            </w:r>
            <w:r>
              <w:rPr>
                <w:rFonts w:hint="eastAsia" w:ascii="Times New Roman" w:hAnsi="Times New Roman" w:cs="宋体"/>
                <w:bCs/>
                <w:sz w:val="24"/>
                <w:u w:val="none"/>
                <w:lang w:val="en-US" w:eastAsia="zh-CN"/>
              </w:rPr>
              <w:t>到最低程度</w:t>
            </w:r>
            <w:r>
              <w:rPr>
                <w:rFonts w:hint="eastAsia" w:ascii="Times New Roman" w:hAnsi="Times New Roman" w:eastAsia="宋体" w:cs="宋体"/>
                <w:bCs/>
                <w:sz w:val="24"/>
                <w:u w:val="none"/>
                <w:lang w:val="en-US" w:eastAsia="zh-CN"/>
              </w:rPr>
              <w:t>。</w:t>
            </w:r>
          </w:p>
          <w:p w14:paraId="2EC8080C">
            <w:pPr>
              <w:wordWrap/>
              <w:autoSpaceDE w:val="0"/>
              <w:adjustRightInd/>
              <w:snapToGrid/>
              <w:spacing w:beforeAutospacing="0" w:afterAutospacing="0" w:line="520" w:lineRule="exact"/>
              <w:ind w:firstLine="482" w:firstLineChars="200"/>
              <w:textAlignment w:val="auto"/>
              <w:rPr>
                <w:rFonts w:hint="default" w:ascii="Times New Roman" w:hAnsi="Times New Roman" w:eastAsia="宋体" w:cs="Times New Roman"/>
                <w:b/>
                <w:bCs/>
                <w:color w:val="000000"/>
                <w:sz w:val="24"/>
                <w:szCs w:val="24"/>
                <w:u w:val="none"/>
                <w:lang w:val="en-US" w:eastAsia="zh-CN" w:bidi="zh-CN"/>
              </w:rPr>
            </w:pPr>
            <w:r>
              <w:rPr>
                <w:rFonts w:hint="eastAsia" w:ascii="Times New Roman" w:hAnsi="Times New Roman" w:cs="Times New Roman"/>
                <w:b/>
                <w:bCs/>
                <w:color w:val="000000"/>
                <w:sz w:val="24"/>
                <w:szCs w:val="24"/>
                <w:u w:val="none"/>
                <w:lang w:val="en-US" w:eastAsia="zh-CN" w:bidi="zh-CN"/>
              </w:rPr>
              <w:t>六、</w:t>
            </w:r>
            <w:r>
              <w:rPr>
                <w:rFonts w:hint="default" w:ascii="Times New Roman" w:hAnsi="Times New Roman" w:eastAsia="宋体" w:cs="Times New Roman"/>
                <w:b/>
                <w:bCs/>
                <w:color w:val="000000"/>
                <w:sz w:val="24"/>
                <w:szCs w:val="24"/>
                <w:u w:val="none"/>
                <w:lang w:val="en-US" w:eastAsia="zh-CN" w:bidi="zh-CN"/>
              </w:rPr>
              <w:t>环境风险分析</w:t>
            </w:r>
          </w:p>
          <w:p w14:paraId="179DE0B1">
            <w:pPr>
              <w:widowControl/>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spacing w:val="2"/>
                <w:sz w:val="24"/>
                <w:szCs w:val="24"/>
                <w:lang w:val="en-US" w:eastAsia="zh-CN" w:bidi="zh-CN"/>
              </w:rPr>
            </w:pPr>
            <w:r>
              <w:rPr>
                <w:rFonts w:hint="eastAsia" w:ascii="Times New Roman" w:hAnsi="Times New Roman" w:eastAsia="宋体" w:cs="黑体"/>
                <w:spacing w:val="2"/>
                <w:sz w:val="24"/>
                <w:szCs w:val="24"/>
                <w:lang w:val="en-US" w:eastAsia="zh-CN" w:bidi="zh-CN"/>
              </w:rPr>
              <w:t>1、物质危险性识别</w:t>
            </w:r>
          </w:p>
          <w:p w14:paraId="0D282D1A">
            <w:pPr>
              <w:pStyle w:val="47"/>
              <w:widowControl w:val="0"/>
              <w:wordWrap/>
              <w:autoSpaceDE w:val="0"/>
              <w:autoSpaceDN w:val="0"/>
              <w:adjustRightInd/>
              <w:snapToGrid/>
              <w:spacing w:beforeAutospacing="0" w:afterAutospacing="0" w:line="520" w:lineRule="exact"/>
              <w:ind w:firstLine="488" w:firstLineChars="200"/>
              <w:jc w:val="both"/>
              <w:textAlignment w:val="auto"/>
              <w:rPr>
                <w:rFonts w:hint="eastAsia" w:ascii="Times New Roman" w:hAnsi="Times New Roman" w:eastAsia="宋体" w:cs="黑体"/>
                <w:spacing w:val="2"/>
                <w:sz w:val="24"/>
                <w:szCs w:val="24"/>
                <w:u w:val="none" w:color="auto"/>
                <w:lang w:val="en-US" w:eastAsia="zh-CN" w:bidi="zh-CN"/>
              </w:rPr>
            </w:pPr>
            <w:r>
              <w:rPr>
                <w:rFonts w:hint="eastAsia" w:ascii="Times New Roman" w:hAnsi="Times New Roman" w:eastAsia="宋体" w:cs="黑体"/>
                <w:spacing w:val="2"/>
                <w:sz w:val="24"/>
                <w:szCs w:val="24"/>
                <w:u w:val="none" w:color="auto"/>
                <w:lang w:val="en-US" w:eastAsia="zh-CN" w:bidi="zh-CN"/>
              </w:rPr>
              <w:t>按照《建设项目环境风险评价技术导则》（HJ/T169-2018）附录中附录B，本项目</w:t>
            </w:r>
            <w:r>
              <w:rPr>
                <w:rFonts w:hint="eastAsia" w:ascii="Times New Roman" w:hAnsi="Times New Roman" w:cs="黑体"/>
                <w:spacing w:val="2"/>
                <w:sz w:val="24"/>
                <w:szCs w:val="24"/>
                <w:u w:val="none" w:color="auto"/>
                <w:lang w:val="en-US" w:eastAsia="zh-CN" w:bidi="zh-CN"/>
              </w:rPr>
              <w:t>生产无风险物质。</w:t>
            </w:r>
          </w:p>
          <w:p w14:paraId="4B33AD27">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2、</w:t>
            </w:r>
            <w:r>
              <w:rPr>
                <w:rFonts w:hint="eastAsia" w:ascii="Times New Roman" w:hAnsi="Times New Roman" w:eastAsia="宋体" w:cs="Times New Roman"/>
                <w:sz w:val="24"/>
                <w:szCs w:val="24"/>
                <w:lang w:val="en-US" w:eastAsia="zh-CN"/>
              </w:rPr>
              <w:t>Q值确定</w:t>
            </w:r>
          </w:p>
          <w:p w14:paraId="47A82DBA">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危险物质数量与临界量比值（</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）按以下方法确定：当只涉及一种环境风险物质时，计算该物质的总数量与其临界量比值，即为</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；当存在多种环境风险物质时，则按下式计算物质数量与其临界量比值（</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w:t>
            </w:r>
          </w:p>
          <w:p w14:paraId="27650DAC">
            <w:pPr>
              <w:pStyle w:val="47"/>
              <w:widowControl w:val="0"/>
              <w:wordWrap/>
              <w:autoSpaceDE w:val="0"/>
              <w:autoSpaceDN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bidi="zh-CN"/>
              </w:rPr>
              <w:drawing>
                <wp:inline distT="0" distB="0" distL="114300" distR="114300">
                  <wp:extent cx="1971675" cy="542925"/>
                  <wp:effectExtent l="0" t="0" r="9525" b="952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37">
                            <a:lum/>
                          </a:blip>
                          <a:stretch>
                            <a:fillRect/>
                          </a:stretch>
                        </pic:blipFill>
                        <pic:spPr>
                          <a:xfrm>
                            <a:off x="0" y="0"/>
                            <a:ext cx="1971675" cy="542925"/>
                          </a:xfrm>
                          <a:prstGeom prst="rect">
                            <a:avLst/>
                          </a:prstGeom>
                          <a:noFill/>
                          <a:ln>
                            <a:noFill/>
                          </a:ln>
                        </pic:spPr>
                      </pic:pic>
                    </a:graphicData>
                  </a:graphic>
                </wp:inline>
              </w:drawing>
            </w:r>
          </w:p>
          <w:p w14:paraId="04786887">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式中：</w:t>
            </w:r>
            <w:r>
              <w:rPr>
                <w:rFonts w:hint="default" w:ascii="Times New Roman" w:hAnsi="Times New Roman" w:eastAsia="宋体" w:cs="Times New Roman"/>
                <w:color w:val="000000"/>
                <w:sz w:val="24"/>
                <w:szCs w:val="24"/>
                <w:lang w:val="en-US" w:eastAsia="zh-CN"/>
              </w:rPr>
              <w:t>q1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qn—</w:t>
            </w:r>
            <w:r>
              <w:rPr>
                <w:rFonts w:hint="eastAsia" w:ascii="Times New Roman" w:hAnsi="Times New Roman" w:eastAsia="宋体" w:cs="Times New Roman"/>
                <w:color w:val="000000"/>
                <w:sz w:val="24"/>
                <w:szCs w:val="24"/>
                <w:lang w:val="en-US" w:eastAsia="zh-CN"/>
              </w:rPr>
              <w:t>每种环境风险物质的最大存在总量，</w:t>
            </w:r>
            <w:r>
              <w:rPr>
                <w:rFonts w:hint="default" w:ascii="Times New Roman" w:hAnsi="Times New Roman" w:eastAsia="宋体" w:cs="Times New Roman"/>
                <w:color w:val="000000"/>
                <w:sz w:val="24"/>
                <w:szCs w:val="24"/>
                <w:lang w:val="en-US" w:eastAsia="zh-CN"/>
              </w:rPr>
              <w:t>t</w:t>
            </w:r>
            <w:r>
              <w:rPr>
                <w:rFonts w:hint="eastAsia" w:ascii="Times New Roman" w:hAnsi="Times New Roman" w:eastAsia="宋体" w:cs="Times New Roman"/>
                <w:color w:val="000000"/>
                <w:sz w:val="24"/>
                <w:szCs w:val="24"/>
                <w:lang w:val="en-US" w:eastAsia="zh-CN"/>
              </w:rPr>
              <w:t>。</w:t>
            </w:r>
          </w:p>
          <w:p w14:paraId="0F7D44B6">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Q1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Qn—</w:t>
            </w:r>
            <w:r>
              <w:rPr>
                <w:rFonts w:hint="eastAsia" w:ascii="Times New Roman" w:hAnsi="Times New Roman" w:eastAsia="宋体" w:cs="Times New Roman"/>
                <w:color w:val="000000"/>
                <w:sz w:val="24"/>
                <w:szCs w:val="24"/>
                <w:lang w:val="en-US" w:eastAsia="zh-CN"/>
              </w:rPr>
              <w:t>每种环境风险物质相对应的临界量，</w:t>
            </w:r>
            <w:r>
              <w:rPr>
                <w:rFonts w:hint="default" w:ascii="Times New Roman" w:hAnsi="Times New Roman" w:eastAsia="宋体" w:cs="Times New Roman"/>
                <w:color w:val="000000"/>
                <w:sz w:val="24"/>
                <w:szCs w:val="24"/>
                <w:lang w:val="en-US" w:eastAsia="zh-CN"/>
              </w:rPr>
              <w:t>t</w:t>
            </w:r>
            <w:r>
              <w:rPr>
                <w:rFonts w:hint="eastAsia" w:ascii="Times New Roman" w:hAnsi="Times New Roman" w:eastAsia="宋体" w:cs="Times New Roman"/>
                <w:color w:val="000000"/>
                <w:sz w:val="24"/>
                <w:szCs w:val="24"/>
                <w:lang w:val="en-US" w:eastAsia="zh-CN"/>
              </w:rPr>
              <w:t>。</w:t>
            </w:r>
          </w:p>
          <w:p w14:paraId="1477B90F">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当</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时，该项目环境风险潜势为Ⅰ。</w:t>
            </w:r>
          </w:p>
          <w:p w14:paraId="35AC0E11">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当</w:t>
            </w:r>
            <w:r>
              <w:rPr>
                <w:rFonts w:hint="default" w:ascii="Times New Roman" w:hAnsi="Times New Roman" w:eastAsia="宋体" w:cs="Times New Roman"/>
                <w:color w:val="000000"/>
                <w:sz w:val="24"/>
                <w:szCs w:val="24"/>
                <w:lang w:val="en-US" w:eastAsia="zh-CN"/>
              </w:rPr>
              <w:t>1≤Q</w:t>
            </w:r>
            <w:r>
              <w:rPr>
                <w:rFonts w:hint="eastAsia" w:ascii="Times New Roman" w:hAnsi="Times New Roman" w:eastAsia="宋体" w:cs="Times New Roman"/>
                <w:color w:val="000000"/>
                <w:sz w:val="24"/>
                <w:szCs w:val="24"/>
                <w:lang w:val="en-US" w:eastAsia="zh-CN"/>
              </w:rPr>
              <w:t>时，将</w:t>
            </w:r>
            <w:r>
              <w:rPr>
                <w:rFonts w:hint="default" w:ascii="Times New Roman" w:hAnsi="Times New Roman" w:eastAsia="宋体" w:cs="Times New Roman"/>
                <w:color w:val="000000"/>
                <w:sz w:val="24"/>
                <w:szCs w:val="24"/>
                <w:lang w:val="en-US" w:eastAsia="zh-CN"/>
              </w:rPr>
              <w:t>Q</w:t>
            </w:r>
            <w:r>
              <w:rPr>
                <w:rFonts w:hint="eastAsia" w:ascii="Times New Roman" w:hAnsi="Times New Roman" w:eastAsia="宋体" w:cs="Times New Roman"/>
                <w:color w:val="000000"/>
                <w:sz w:val="24"/>
                <w:szCs w:val="24"/>
                <w:lang w:val="en-US" w:eastAsia="zh-CN"/>
              </w:rPr>
              <w:t>值划分为：（</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2</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10≤Q</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100</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3</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Q≥100</w:t>
            </w:r>
            <w:r>
              <w:rPr>
                <w:rFonts w:hint="eastAsia" w:ascii="Times New Roman" w:hAnsi="Times New Roman" w:eastAsia="宋体" w:cs="Times New Roman"/>
                <w:color w:val="000000"/>
                <w:sz w:val="24"/>
                <w:szCs w:val="24"/>
                <w:lang w:val="en-US" w:eastAsia="zh-CN"/>
              </w:rPr>
              <w:t>。</w:t>
            </w:r>
          </w:p>
          <w:p w14:paraId="03EBDEDF">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根据《建设项目环境风险评价技术导则》（HJ/169-2018）附录C，计算所涉及的每种危险物质在厂界内的最大存在总量与其在附录B中对应临界量的比值Q。</w:t>
            </w:r>
          </w:p>
          <w:p w14:paraId="2A7E27B4">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sz w:val="24"/>
                <w:szCs w:val="24"/>
                <w:u w:val="none" w:color="auto"/>
                <w:lang w:val="en-US" w:eastAsia="zh-CN"/>
              </w:rPr>
            </w:pPr>
            <w:r>
              <w:rPr>
                <w:rFonts w:hint="eastAsia" w:ascii="Times New Roman" w:hAnsi="Times New Roman" w:cs="Times New Roman"/>
                <w:sz w:val="24"/>
                <w:szCs w:val="24"/>
                <w:u w:val="none" w:color="auto"/>
                <w:lang w:val="en-US" w:eastAsia="zh-CN"/>
              </w:rPr>
              <w:t>本项目生产无</w:t>
            </w:r>
            <w:r>
              <w:rPr>
                <w:rFonts w:hint="eastAsia" w:ascii="Times New Roman" w:hAnsi="Times New Roman" w:eastAsia="宋体" w:cs="Times New Roman"/>
                <w:sz w:val="24"/>
                <w:szCs w:val="24"/>
                <w:u w:val="none" w:color="auto"/>
                <w:lang w:val="en-US" w:eastAsia="zh-CN"/>
              </w:rPr>
              <w:t>风险物质</w:t>
            </w:r>
            <w:r>
              <w:rPr>
                <w:rFonts w:hint="eastAsia" w:ascii="Times New Roman" w:hAnsi="Times New Roman" w:cs="Times New Roman"/>
                <w:sz w:val="24"/>
                <w:szCs w:val="24"/>
                <w:u w:val="none" w:color="auto"/>
                <w:lang w:val="en-US" w:eastAsia="zh-CN"/>
              </w:rPr>
              <w:t>，Q=0</w:t>
            </w:r>
            <w:r>
              <w:rPr>
                <w:rFonts w:hint="eastAsia" w:ascii="Times New Roman" w:hAnsi="Times New Roman" w:eastAsia="宋体" w:cs="Times New Roman"/>
                <w:sz w:val="24"/>
                <w:szCs w:val="24"/>
                <w:u w:val="none" w:color="auto"/>
                <w:lang w:val="en-US" w:eastAsia="zh-CN"/>
              </w:rPr>
              <w:t>。</w:t>
            </w:r>
          </w:p>
          <w:p w14:paraId="48AEDB00">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sz w:val="24"/>
                <w:szCs w:val="24"/>
                <w:u w:val="none" w:color="auto"/>
                <w:lang w:val="en-US" w:eastAsia="zh-CN"/>
              </w:rPr>
            </w:pPr>
            <w:r>
              <w:rPr>
                <w:rFonts w:hint="eastAsia" w:ascii="Times New Roman" w:hAnsi="Times New Roman" w:cs="Times New Roman"/>
                <w:sz w:val="24"/>
                <w:szCs w:val="24"/>
                <w:u w:val="none" w:color="auto"/>
                <w:lang w:val="en-US" w:eastAsia="zh-CN"/>
              </w:rPr>
              <w:t>②环境风险潜势</w:t>
            </w:r>
          </w:p>
          <w:p w14:paraId="57F13804">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cs="Times New Roman"/>
                <w:sz w:val="24"/>
                <w:szCs w:val="24"/>
                <w:u w:val="none" w:color="auto"/>
                <w:lang w:val="en-US" w:eastAsia="zh-CN"/>
              </w:rPr>
            </w:pPr>
            <w:r>
              <w:rPr>
                <w:rFonts w:hint="eastAsia" w:ascii="Times New Roman" w:hAnsi="Times New Roman" w:cs="Times New Roman"/>
                <w:sz w:val="24"/>
                <w:szCs w:val="24"/>
                <w:u w:val="none" w:color="auto"/>
                <w:lang w:val="en-US" w:eastAsia="zh-CN"/>
              </w:rPr>
              <w:t>建设项目环境风险潜势划分为Ⅰ、Ⅱ、Ⅲ、Ⅳ、Ⅳ+级。由于本项目危险物质数量与临界量的</w:t>
            </w:r>
            <w:r>
              <w:rPr>
                <w:rFonts w:hint="eastAsia" w:ascii="Times New Roman" w:hAnsi="Times New Roman" w:eastAsia="宋体" w:cs="Times New Roman"/>
                <w:color w:val="000000"/>
                <w:sz w:val="24"/>
                <w:szCs w:val="24"/>
                <w:u w:val="none" w:color="auto"/>
                <w:lang w:val="en-US" w:eastAsia="zh-CN" w:bidi="zh-CN"/>
              </w:rPr>
              <w:t>比值Q为</w:t>
            </w:r>
            <w:r>
              <w:rPr>
                <w:rFonts w:hint="eastAsia" w:ascii="Times New Roman" w:hAnsi="Times New Roman" w:cs="Times New Roman"/>
                <w:color w:val="000000"/>
                <w:sz w:val="24"/>
                <w:szCs w:val="24"/>
                <w:u w:val="none" w:color="auto"/>
                <w:lang w:val="en-US" w:eastAsia="zh-CN" w:bidi="zh-CN"/>
              </w:rPr>
              <w:t>0</w:t>
            </w:r>
            <w:r>
              <w:rPr>
                <w:rFonts w:hint="eastAsia" w:ascii="Times New Roman" w:hAnsi="Times New Roman" w:eastAsia="宋体" w:cs="Times New Roman"/>
                <w:color w:val="000000"/>
                <w:sz w:val="24"/>
                <w:szCs w:val="24"/>
                <w:u w:val="none" w:color="auto"/>
                <w:lang w:val="en-US" w:eastAsia="zh-CN" w:bidi="zh-CN"/>
              </w:rPr>
              <w:t>＜1，则项目环</w:t>
            </w:r>
            <w:r>
              <w:rPr>
                <w:rFonts w:hint="eastAsia" w:ascii="Times New Roman" w:hAnsi="Times New Roman" w:cs="Times New Roman"/>
                <w:sz w:val="24"/>
                <w:szCs w:val="24"/>
                <w:u w:val="none" w:color="auto"/>
                <w:lang w:val="en-US" w:eastAsia="zh-CN"/>
              </w:rPr>
              <w:t>境风险潜势为Ⅰ。</w:t>
            </w:r>
          </w:p>
          <w:p w14:paraId="5A02078A">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3、评价等级</w:t>
            </w:r>
          </w:p>
          <w:p w14:paraId="18D57660">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根据《建设项目环境风险评价技术导则》（HJ169-2018），环境风险评价工作等级分为一级、二级、三级。根据建设项目涉及的物质及工艺系统危险性和所在地环境敏感性确定环境风险潜势。</w:t>
            </w:r>
          </w:p>
          <w:p w14:paraId="547BC010">
            <w:pPr>
              <w:widowControl w:val="0"/>
              <w:wordWrap/>
              <w:autoSpaceDE w:val="0"/>
              <w:autoSpaceDN w:val="0"/>
              <w:snapToGrid/>
              <w:spacing w:beforeAutospacing="0" w:afterAutospacing="0" w:line="520" w:lineRule="exact"/>
              <w:ind w:left="0" w:leftChars="0" w:right="0"/>
              <w:jc w:val="center"/>
              <w:textAlignment w:val="auto"/>
              <w:outlineLvl w:val="9"/>
              <w:rPr>
                <w:rFonts w:hint="eastAsia" w:ascii="Times New Roman" w:hAnsi="Times New Roman" w:eastAsia="黑体" w:cs="Times New Roman"/>
                <w:b w:val="0"/>
                <w:bCs w:val="0"/>
                <w:color w:val="auto"/>
                <w:sz w:val="24"/>
                <w:szCs w:val="24"/>
                <w:lang w:val="en-US" w:eastAsia="zh-CN"/>
              </w:rPr>
            </w:pPr>
            <w:r>
              <w:rPr>
                <w:rFonts w:hint="eastAsia" w:ascii="Times New Roman" w:hAnsi="Times New Roman" w:eastAsia="黑体" w:cs="Times New Roman"/>
                <w:b w:val="0"/>
                <w:bCs w:val="0"/>
                <w:color w:val="auto"/>
                <w:sz w:val="24"/>
                <w:szCs w:val="24"/>
                <w:lang w:val="en-US" w:eastAsia="zh-CN"/>
              </w:rPr>
              <w:t>表4-22</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风险评价工作等级</w:t>
            </w:r>
          </w:p>
          <w:tbl>
            <w:tblPr>
              <w:tblStyle w:val="24"/>
              <w:tblW w:w="82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1643"/>
              <w:gridCol w:w="1644"/>
              <w:gridCol w:w="1644"/>
              <w:gridCol w:w="1644"/>
            </w:tblGrid>
            <w:tr w14:paraId="1183C0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auto" w:sz="0" w:space="0"/>
                    <w:bottom w:val="single" w:color="000000" w:sz="4" w:space="0"/>
                    <w:right w:val="single" w:color="000000" w:sz="4" w:space="0"/>
                  </w:tcBorders>
                  <w:vAlign w:val="center"/>
                </w:tcPr>
                <w:p w14:paraId="179D6E7D">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环境风险潜势</w:t>
                  </w:r>
                </w:p>
              </w:tc>
              <w:tc>
                <w:tcPr>
                  <w:tcW w:w="1643" w:type="dxa"/>
                  <w:tcBorders>
                    <w:top w:val="single" w:color="000000" w:sz="4" w:space="0"/>
                    <w:left w:val="single" w:color="000000" w:sz="4" w:space="0"/>
                    <w:bottom w:val="single" w:color="000000" w:sz="4" w:space="0"/>
                    <w:right w:val="single" w:color="000000" w:sz="4" w:space="0"/>
                  </w:tcBorders>
                  <w:vAlign w:val="center"/>
                </w:tcPr>
                <w:p w14:paraId="5171CB07">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Ⅳ、Ⅳ+</w:t>
                  </w:r>
                </w:p>
              </w:tc>
              <w:tc>
                <w:tcPr>
                  <w:tcW w:w="1644" w:type="dxa"/>
                  <w:tcBorders>
                    <w:top w:val="single" w:color="000000" w:sz="4" w:space="0"/>
                    <w:left w:val="single" w:color="000000" w:sz="4" w:space="0"/>
                    <w:bottom w:val="single" w:color="000000" w:sz="4" w:space="0"/>
                    <w:right w:val="single" w:color="000000" w:sz="4" w:space="0"/>
                  </w:tcBorders>
                  <w:vAlign w:val="center"/>
                </w:tcPr>
                <w:p w14:paraId="4E976555">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Ⅲ</w:t>
                  </w:r>
                </w:p>
              </w:tc>
              <w:tc>
                <w:tcPr>
                  <w:tcW w:w="1644" w:type="dxa"/>
                  <w:tcBorders>
                    <w:top w:val="single" w:color="000000" w:sz="4" w:space="0"/>
                    <w:left w:val="single" w:color="000000" w:sz="4" w:space="0"/>
                    <w:bottom w:val="single" w:color="000000" w:sz="4" w:space="0"/>
                    <w:right w:val="single" w:color="000000" w:sz="4" w:space="0"/>
                  </w:tcBorders>
                  <w:vAlign w:val="center"/>
                </w:tcPr>
                <w:p w14:paraId="57D1BB0B">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宋体"/>
                      <w:b/>
                      <w:bCs/>
                      <w:sz w:val="21"/>
                      <w:szCs w:val="21"/>
                      <w:lang w:val="en-US" w:eastAsia="zh-CN"/>
                    </w:rPr>
                    <w:t>Ⅱ</w:t>
                  </w:r>
                </w:p>
              </w:tc>
              <w:tc>
                <w:tcPr>
                  <w:tcW w:w="1644" w:type="dxa"/>
                  <w:tcBorders>
                    <w:top w:val="single" w:color="000000" w:sz="4" w:space="0"/>
                    <w:left w:val="single" w:color="000000" w:sz="4" w:space="0"/>
                    <w:bottom w:val="single" w:color="000000" w:sz="4" w:space="0"/>
                    <w:right w:val="single" w:color="000000" w:sz="4" w:space="0"/>
                  </w:tcBorders>
                  <w:vAlign w:val="center"/>
                </w:tcPr>
                <w:p w14:paraId="3A0D158E">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宋体"/>
                      <w:b/>
                      <w:bCs/>
                      <w:sz w:val="21"/>
                      <w:szCs w:val="21"/>
                      <w:lang w:val="en-US" w:eastAsia="zh-CN"/>
                    </w:rPr>
                  </w:pPr>
                  <w:r>
                    <w:rPr>
                      <w:rFonts w:hint="eastAsia" w:ascii="Times New Roman" w:hAnsi="Times New Roman" w:eastAsia="宋体" w:cs="宋体"/>
                      <w:b/>
                      <w:bCs/>
                      <w:sz w:val="21"/>
                      <w:szCs w:val="21"/>
                      <w:lang w:val="en-US" w:eastAsia="zh-CN"/>
                    </w:rPr>
                    <w:t>Ⅰ</w:t>
                  </w:r>
                </w:p>
              </w:tc>
            </w:tr>
            <w:tr w14:paraId="452D87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3" w:type="dxa"/>
                  <w:tcBorders>
                    <w:top w:val="single" w:color="000000" w:sz="4" w:space="0"/>
                    <w:left w:val="single" w:color="000000" w:sz="4" w:space="0"/>
                    <w:bottom w:val="single" w:color="000000" w:sz="4" w:space="0"/>
                    <w:right w:val="single" w:color="000000" w:sz="4" w:space="0"/>
                  </w:tcBorders>
                  <w:vAlign w:val="center"/>
                </w:tcPr>
                <w:p w14:paraId="72CB3084">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评价工作等级</w:t>
                  </w:r>
                </w:p>
              </w:tc>
              <w:tc>
                <w:tcPr>
                  <w:tcW w:w="1643" w:type="dxa"/>
                  <w:tcBorders>
                    <w:top w:val="single" w:color="000000" w:sz="4" w:space="0"/>
                    <w:left w:val="single" w:color="000000" w:sz="4" w:space="0"/>
                    <w:bottom w:val="single" w:color="000000" w:sz="4" w:space="0"/>
                    <w:right w:val="single" w:color="000000" w:sz="4" w:space="0"/>
                  </w:tcBorders>
                  <w:vAlign w:val="center"/>
                </w:tcPr>
                <w:p w14:paraId="2A5A95CB">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一</w:t>
                  </w:r>
                </w:p>
              </w:tc>
              <w:tc>
                <w:tcPr>
                  <w:tcW w:w="1644" w:type="dxa"/>
                  <w:tcBorders>
                    <w:top w:val="single" w:color="000000" w:sz="4" w:space="0"/>
                    <w:left w:val="single" w:color="000000" w:sz="4" w:space="0"/>
                    <w:bottom w:val="single" w:color="000000" w:sz="4" w:space="0"/>
                    <w:right w:val="single" w:color="000000" w:sz="4" w:space="0"/>
                  </w:tcBorders>
                  <w:vAlign w:val="center"/>
                </w:tcPr>
                <w:p w14:paraId="70A63FFF">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二</w:t>
                  </w:r>
                </w:p>
              </w:tc>
              <w:tc>
                <w:tcPr>
                  <w:tcW w:w="1644" w:type="dxa"/>
                  <w:tcBorders>
                    <w:top w:val="single" w:color="000000" w:sz="4" w:space="0"/>
                    <w:left w:val="single" w:color="000000" w:sz="4" w:space="0"/>
                    <w:bottom w:val="single" w:color="000000" w:sz="4" w:space="0"/>
                    <w:right w:val="single" w:color="000000" w:sz="4" w:space="0"/>
                  </w:tcBorders>
                  <w:vAlign w:val="center"/>
                </w:tcPr>
                <w:p w14:paraId="334544AB">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三</w:t>
                  </w:r>
                </w:p>
              </w:tc>
              <w:tc>
                <w:tcPr>
                  <w:tcW w:w="1644" w:type="dxa"/>
                  <w:tcBorders>
                    <w:top w:val="single" w:color="000000" w:sz="4" w:space="0"/>
                    <w:left w:val="single" w:color="000000" w:sz="4" w:space="0"/>
                    <w:bottom w:val="single" w:color="000000" w:sz="4" w:space="0"/>
                    <w:right w:val="single" w:color="000000" w:sz="4" w:space="0"/>
                  </w:tcBorders>
                  <w:vAlign w:val="center"/>
                </w:tcPr>
                <w:p w14:paraId="6652FA9B">
                  <w:pPr>
                    <w:pStyle w:val="47"/>
                    <w:widowControl w:val="0"/>
                    <w:numPr>
                      <w:ilvl w:val="0"/>
                      <w:numId w:val="0"/>
                    </w:numPr>
                    <w:wordWrap/>
                    <w:autoSpaceDE w:val="0"/>
                    <w:autoSpaceDN w:val="0"/>
                    <w:adjustRightInd/>
                    <w:snapToGrid/>
                    <w:spacing w:beforeAutospacing="0" w:afterAutospacing="0" w:line="360" w:lineRule="exact"/>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简单分析</w:t>
                  </w:r>
                  <w:r>
                    <w:rPr>
                      <w:rFonts w:hint="eastAsia" w:ascii="Times New Roman" w:hAnsi="Times New Roman" w:eastAsia="宋体" w:cs="Times New Roman"/>
                      <w:sz w:val="21"/>
                      <w:szCs w:val="21"/>
                      <w:vertAlign w:val="superscript"/>
                      <w:lang w:val="en-US" w:eastAsia="zh-CN"/>
                    </w:rPr>
                    <w:t>a</w:t>
                  </w:r>
                </w:p>
              </w:tc>
            </w:tr>
          </w:tbl>
          <w:p w14:paraId="4D1E4C17">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根据《建设项目环境风险评价技术导则》（</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HJ169-2018</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），本项目</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无</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风险物质。危险物质</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eastAsia" w:ascii="Times New Roman" w:hAnsi="Times New Roman" w:cs="Times New Roman"/>
                <w:color w:val="000000" w:themeColor="text1"/>
                <w:sz w:val="24"/>
                <w:szCs w:val="24"/>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，该项目环境风险潜势为Ⅰ，可开展简单分析，因此本报告对本项目开展环境风险简单分析。</w:t>
            </w:r>
          </w:p>
          <w:p w14:paraId="448FC442">
            <w:pPr>
              <w:widowControl/>
              <w:numPr>
                <w:ilvl w:val="0"/>
                <w:numId w:val="0"/>
              </w:numPr>
              <w:wordWrap/>
              <w:autoSpaceDE w:val="0"/>
              <w:autoSpaceDN w:val="0"/>
              <w:adjustRightInd/>
              <w:snapToGrid/>
              <w:spacing w:beforeAutospacing="0" w:afterAutospacing="0" w:line="520" w:lineRule="exact"/>
              <w:ind w:leftChars="200" w:right="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4、</w:t>
            </w:r>
            <w:r>
              <w:rPr>
                <w:rFonts w:hint="default" w:ascii="Times New Roman" w:hAnsi="Times New Roman" w:eastAsia="宋体" w:cs="Times New Roman"/>
                <w:color w:val="000000"/>
                <w:sz w:val="24"/>
                <w:szCs w:val="24"/>
                <w:u w:val="none"/>
                <w:lang w:val="en-US" w:eastAsia="zh-CN" w:bidi="zh-CN"/>
              </w:rPr>
              <w:t>环境风险识别</w:t>
            </w:r>
          </w:p>
          <w:p w14:paraId="679CE7DE">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根据《建设项目环境风险评价技术导则》（HJ 169-2018），本风险评价内容主要为：通过对物料特性、生产工艺特点、操作单元等进行风险识别、源项分析，提出风险防范、减缓和应急措施，并给出应急预案纲要，以便建设单位参考运行。</w:t>
            </w:r>
          </w:p>
          <w:p w14:paraId="495D519E">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eastAsia="宋体" w:cs="Times New Roman"/>
                <w:color w:val="000000"/>
                <w:sz w:val="24"/>
                <w:szCs w:val="24"/>
                <w:u w:val="none"/>
                <w:lang w:val="en-US" w:eastAsia="zh-CN" w:bidi="zh-CN"/>
              </w:rPr>
              <w:t>（1）</w:t>
            </w:r>
            <w:r>
              <w:rPr>
                <w:rFonts w:hint="default" w:ascii="Times New Roman" w:hAnsi="Times New Roman" w:eastAsia="宋体" w:cs="Times New Roman"/>
                <w:color w:val="000000"/>
                <w:sz w:val="24"/>
                <w:szCs w:val="24"/>
                <w:u w:val="none"/>
                <w:lang w:val="en-US" w:eastAsia="zh-CN" w:bidi="zh-CN"/>
              </w:rPr>
              <w:t>生产或储存过程危险性风险识别</w:t>
            </w:r>
          </w:p>
          <w:p w14:paraId="7F27745A">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生产设施的风险识别包括生产单元、贮运单元、公用工程单元、生产辅助单元、服务单元以及环保单元。</w:t>
            </w:r>
          </w:p>
          <w:p w14:paraId="6EE26381">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根据项目特点可知，本项目生产和储运单元</w:t>
            </w:r>
            <w:r>
              <w:rPr>
                <w:rFonts w:hint="eastAsia" w:ascii="Times New Roman" w:hAnsi="Times New Roman" w:cs="Times New Roman"/>
                <w:color w:val="000000"/>
                <w:sz w:val="24"/>
                <w:szCs w:val="24"/>
                <w:u w:val="none"/>
                <w:lang w:val="en-US" w:eastAsia="zh-CN" w:bidi="zh-CN"/>
              </w:rPr>
              <w:t>基本不存在环境风险。</w:t>
            </w:r>
          </w:p>
          <w:p w14:paraId="62657353">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事故处理过程伴生/次生污染识别</w:t>
            </w:r>
          </w:p>
          <w:p w14:paraId="3CA55B07">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①</w:t>
            </w:r>
            <w:r>
              <w:rPr>
                <w:rFonts w:hint="eastAsia" w:ascii="Times New Roman" w:hAnsi="Times New Roman" w:eastAsia="宋体" w:cs="Times New Roman"/>
                <w:color w:val="000000"/>
                <w:sz w:val="24"/>
                <w:szCs w:val="24"/>
                <w:u w:val="none"/>
                <w:lang w:val="en-US" w:eastAsia="zh-CN" w:bidi="zh-CN"/>
              </w:rPr>
              <w:t>危险废物等散落会污染地下水和土壤环境。</w:t>
            </w:r>
          </w:p>
          <w:p w14:paraId="4F9B7DDB">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②</w:t>
            </w:r>
            <w:r>
              <w:rPr>
                <w:rFonts w:hint="eastAsia" w:ascii="Times New Roman" w:hAnsi="Times New Roman" w:eastAsia="宋体" w:cs="Times New Roman"/>
                <w:color w:val="000000"/>
                <w:sz w:val="24"/>
                <w:szCs w:val="24"/>
                <w:u w:val="none"/>
                <w:lang w:val="en-US" w:eastAsia="zh-CN" w:bidi="zh-CN"/>
              </w:rPr>
              <w:t>危险废物可能发生火灾，次生废气及事故废水会污染大气环境和水环境。</w:t>
            </w:r>
          </w:p>
          <w:p w14:paraId="368F7634">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5</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风险事故对环境的影响分析及风险防范措施</w:t>
            </w:r>
          </w:p>
          <w:p w14:paraId="18FC5BD8">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cs="Times New Roman"/>
                <w:color w:val="000000"/>
                <w:sz w:val="24"/>
                <w:szCs w:val="24"/>
                <w:u w:val="none" w:color="auto"/>
                <w:lang w:val="en-US" w:eastAsia="zh-CN" w:bidi="zh-CN"/>
              </w:rPr>
              <w:t>（1）</w:t>
            </w:r>
            <w:r>
              <w:rPr>
                <w:rFonts w:hint="eastAsia" w:ascii="Times New Roman" w:hAnsi="Times New Roman" w:eastAsia="宋体" w:cs="Times New Roman"/>
                <w:color w:val="000000"/>
                <w:sz w:val="24"/>
                <w:szCs w:val="24"/>
                <w:u w:val="none" w:color="auto"/>
                <w:lang w:val="en-US" w:eastAsia="zh-CN" w:bidi="zh-CN"/>
              </w:rPr>
              <w:t>危废间地面进行防渗处理，保证危险废物泄露后不会外溢</w:t>
            </w:r>
            <w:r>
              <w:rPr>
                <w:rFonts w:hint="eastAsia" w:ascii="Times New Roman" w:hAnsi="Times New Roman" w:cs="Times New Roman"/>
                <w:color w:val="000000"/>
                <w:sz w:val="24"/>
                <w:szCs w:val="24"/>
                <w:u w:val="none" w:color="auto"/>
                <w:lang w:val="en-US" w:eastAsia="zh-CN" w:bidi="zh-CN"/>
              </w:rPr>
              <w:t>。</w:t>
            </w:r>
            <w:r>
              <w:rPr>
                <w:rFonts w:hint="eastAsia" w:ascii="Times New Roman" w:hAnsi="Times New Roman" w:eastAsia="宋体" w:cs="Times New Roman"/>
                <w:color w:val="000000"/>
                <w:sz w:val="24"/>
                <w:szCs w:val="24"/>
                <w:u w:val="none" w:color="auto"/>
                <w:lang w:val="en-US" w:eastAsia="zh-CN" w:bidi="zh-CN"/>
              </w:rPr>
              <w:t>危险废物暂存间依据《危险废物贮存污染控制标准》（GB18597-2023）及《危险废物收集、贮存、运输技术规范》（HJ2025-2012）中的规范要求，采取严格防渗措施。</w:t>
            </w:r>
          </w:p>
          <w:p w14:paraId="4B14C5E4">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（2）危废间配备灭火器。</w:t>
            </w:r>
          </w:p>
          <w:p w14:paraId="7BFC5BDE">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cs="Times New Roman"/>
                <w:color w:val="000000"/>
                <w:sz w:val="24"/>
                <w:szCs w:val="24"/>
                <w:u w:val="none" w:color="auto"/>
                <w:lang w:val="en-US" w:eastAsia="zh-CN" w:bidi="zh-CN"/>
              </w:rPr>
              <w:t>（3）</w:t>
            </w:r>
            <w:r>
              <w:rPr>
                <w:rFonts w:hint="eastAsia" w:ascii="Times New Roman" w:hAnsi="Times New Roman" w:eastAsia="宋体" w:cs="Times New Roman"/>
                <w:color w:val="000000"/>
                <w:sz w:val="24"/>
                <w:szCs w:val="24"/>
                <w:u w:val="none" w:color="auto"/>
                <w:lang w:val="en-US" w:eastAsia="zh-CN" w:bidi="zh-CN"/>
              </w:rPr>
              <w:t>设专门的管理人员，并建立严格的危废暂存、转移制度。严格检查、照章办事，及时消除事故隐患。</w:t>
            </w:r>
          </w:p>
          <w:p w14:paraId="64347226">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（4）编制突发环境事件应急预案和危废专项预案。</w:t>
            </w:r>
          </w:p>
          <w:p w14:paraId="245AA12F">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常见事故应急措施：</w:t>
            </w:r>
          </w:p>
          <w:p w14:paraId="409D211D">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本项目危废间可能发生散落、火灾等事故，简要提出如下应急措施：</w:t>
            </w:r>
          </w:p>
          <w:p w14:paraId="13A9D086">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1）泄露应急措施</w:t>
            </w:r>
          </w:p>
          <w:p w14:paraId="4709A425">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危险废物散落时：少量散落时先进行散落的围堵，避免污染扩散，然后转移至安全地区，送到危废间暂存；</w:t>
            </w:r>
          </w:p>
          <w:p w14:paraId="5A004780">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2）火灾应急措施</w:t>
            </w:r>
          </w:p>
          <w:p w14:paraId="1D5FE74B">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危险废物等可能引发火灾，火灾过程还可能产生刺激性烟雾、次生废气及事故废水，本项目发生火灾的几率很小，但是一旦发生火灾应采取以下应急措施：</w:t>
            </w:r>
          </w:p>
          <w:p w14:paraId="44DB9D24">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①现场指挥人员及时做好人员疏散工作，指导抢险人员正确配备和使用个人安全防护用品，做好现场排烟工作，维护火场秩序；</w:t>
            </w:r>
          </w:p>
          <w:p w14:paraId="71668688">
            <w:pPr>
              <w:widowControl/>
              <w:numPr>
                <w:ilvl w:val="0"/>
                <w:numId w:val="0"/>
              </w:numPr>
              <w:wordWrap/>
              <w:autoSpaceDE w:val="0"/>
              <w:autoSpaceDN w:val="0"/>
              <w:adjustRightInd/>
              <w:snapToGrid/>
              <w:spacing w:beforeAutospacing="0" w:afterAutospacing="0" w:line="520" w:lineRule="exact"/>
              <w:ind w:leftChars="0" w:right="0" w:firstLine="480" w:firstLineChars="200"/>
              <w:jc w:val="both"/>
              <w:textAlignment w:val="auto"/>
              <w:rPr>
                <w:rFonts w:hint="eastAsia" w:ascii="Times New Roman" w:hAnsi="Times New Roman" w:eastAsia="宋体" w:cs="Times New Roman"/>
                <w:color w:val="000000"/>
                <w:sz w:val="24"/>
                <w:szCs w:val="24"/>
                <w:u w:val="none" w:color="auto"/>
                <w:lang w:val="en-US" w:eastAsia="zh-CN" w:bidi="zh-CN"/>
              </w:rPr>
            </w:pPr>
            <w:r>
              <w:rPr>
                <w:rFonts w:hint="eastAsia" w:ascii="Times New Roman" w:hAnsi="Times New Roman" w:eastAsia="宋体" w:cs="Times New Roman"/>
                <w:color w:val="000000"/>
                <w:sz w:val="24"/>
                <w:szCs w:val="24"/>
                <w:u w:val="none" w:color="auto"/>
                <w:lang w:val="en-US" w:eastAsia="zh-CN" w:bidi="zh-CN"/>
              </w:rPr>
              <w:t>②有现场人员受伤立即将其救离灾区，保持其呼吸道畅通，由医务人员进行抢救，可用大量冷水湿敷，如出现因烟熏导致心跳骤停时，立即行心肺复苏术，并组织车辆及时运送就近医院进行抢救与治疗。</w:t>
            </w:r>
          </w:p>
          <w:p w14:paraId="2587D73B">
            <w:pPr>
              <w:widowControl/>
              <w:numPr>
                <w:ilvl w:val="0"/>
                <w:numId w:val="0"/>
              </w:numPr>
              <w:wordWrap/>
              <w:autoSpaceDE w:val="0"/>
              <w:autoSpaceDN w:val="0"/>
              <w:adjustRightInd/>
              <w:snapToGrid/>
              <w:spacing w:beforeAutospacing="0" w:afterAutospacing="0" w:line="520" w:lineRule="exact"/>
              <w:ind w:left="0" w:leftChars="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6</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环境风险分析结论</w:t>
            </w:r>
          </w:p>
          <w:p w14:paraId="7309A944">
            <w:pPr>
              <w:pStyle w:val="47"/>
              <w:widowControl w:val="0"/>
              <w:wordWrap/>
              <w:autoSpaceDE w:val="0"/>
              <w:autoSpaceDN w:val="0"/>
              <w:adjustRightInd/>
              <w:snapToGrid/>
              <w:spacing w:beforeAutospacing="0" w:afterAutospacing="0" w:line="520" w:lineRule="exact"/>
              <w:ind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本项目</w:t>
            </w:r>
            <w:r>
              <w:rPr>
                <w:rFonts w:hint="eastAsia" w:ascii="Times New Roman" w:hAnsi="Times New Roman" w:cs="Times New Roman"/>
                <w:color w:val="000000"/>
                <w:sz w:val="24"/>
                <w:szCs w:val="24"/>
                <w:u w:val="none"/>
                <w:lang w:val="en-US" w:eastAsia="zh-CN" w:bidi="zh-CN"/>
              </w:rPr>
              <w:t>无风险物质，Q=0&lt;1，</w:t>
            </w:r>
            <w:r>
              <w:rPr>
                <w:rFonts w:hint="default" w:ascii="Times New Roman" w:hAnsi="Times New Roman" w:eastAsia="宋体" w:cs="Times New Roman"/>
                <w:color w:val="000000"/>
                <w:sz w:val="24"/>
                <w:szCs w:val="24"/>
                <w:u w:val="none"/>
                <w:lang w:val="en-US" w:eastAsia="zh-CN" w:bidi="zh-CN"/>
              </w:rPr>
              <w:t>要求认真落实本报告提出的各项风险防范和应急措施，使项目的风险处于可接受的水平。</w:t>
            </w:r>
          </w:p>
          <w:p w14:paraId="06311344">
            <w:pPr>
              <w:pStyle w:val="44"/>
              <w:widowControl w:val="0"/>
              <w:numPr>
                <w:ilvl w:val="0"/>
                <w:numId w:val="0"/>
              </w:numPr>
              <w:wordWrap/>
              <w:autoSpaceDE w:val="0"/>
              <w:adjustRightInd/>
              <w:snapToGrid/>
              <w:spacing w:before="0" w:beforeAutospacing="0" w:afterAutospacing="0" w:line="520" w:lineRule="exact"/>
              <w:ind w:right="0"/>
              <w:jc w:val="center"/>
              <w:textAlignment w:val="auto"/>
              <w:rPr>
                <w:rFonts w:hint="eastAsia" w:ascii="Times New Roman" w:hAnsi="Times New Roman" w:eastAsia="黑体" w:cs="Times New Roman"/>
                <w:b w:val="0"/>
                <w:bCs w:val="0"/>
                <w:color w:val="auto"/>
                <w:kern w:val="0"/>
                <w:sz w:val="24"/>
                <w:szCs w:val="24"/>
                <w:lang w:val="en-US" w:eastAsia="zh-CN" w:bidi="zh-CN"/>
              </w:rPr>
            </w:pPr>
            <w:r>
              <w:rPr>
                <w:rFonts w:hint="eastAsia" w:ascii="Times New Roman" w:hAnsi="Times New Roman" w:eastAsia="黑体" w:cs="Times New Roman"/>
                <w:b w:val="0"/>
                <w:bCs w:val="0"/>
                <w:color w:val="auto"/>
                <w:kern w:val="0"/>
                <w:sz w:val="24"/>
                <w:szCs w:val="24"/>
                <w:lang w:val="en-US" w:eastAsia="zh-CN" w:bidi="zh-CN"/>
              </w:rPr>
              <w:t>表4-22  建设项目环境风险简单分析内容表</w:t>
            </w:r>
          </w:p>
          <w:tbl>
            <w:tblPr>
              <w:tblStyle w:val="24"/>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2637"/>
              <w:gridCol w:w="5588"/>
            </w:tblGrid>
            <w:tr w14:paraId="002DF17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169A5232">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项目名称</w:t>
                  </w:r>
                </w:p>
              </w:tc>
              <w:tc>
                <w:tcPr>
                  <w:tcW w:w="5588" w:type="dxa"/>
                  <w:tcBorders>
                    <w:tl2br w:val="nil"/>
                    <w:tr2bl w:val="nil"/>
                  </w:tcBorders>
                  <w:vAlign w:val="center"/>
                </w:tcPr>
                <w:p w14:paraId="6AA043F6">
                  <w:pPr>
                    <w:wordWrap/>
                    <w:autoSpaceDE w:val="0"/>
                    <w:autoSpaceDN w:val="0"/>
                    <w:adjustRightInd/>
                    <w:snapToGrid/>
                    <w:spacing w:beforeAutospacing="0" w:afterAutospacing="0" w:line="360" w:lineRule="exact"/>
                    <w:jc w:val="center"/>
                    <w:textAlignment w:val="auto"/>
                    <w:rPr>
                      <w:rFonts w:hint="eastAsia" w:ascii="Times New Roman" w:hAnsi="Times New Roman" w:eastAsia="宋体"/>
                      <w:b/>
                      <w:color w:val="C00000"/>
                      <w:sz w:val="21"/>
                      <w:szCs w:val="21"/>
                      <w:u w:val="none"/>
                    </w:rPr>
                  </w:pPr>
                  <w:r>
                    <w:rPr>
                      <w:rFonts w:hint="eastAsia" w:ascii="Times New Roman" w:hAnsi="Times New Roman" w:cs="宋体"/>
                      <w:color w:val="000000" w:themeColor="text1"/>
                      <w:sz w:val="21"/>
                      <w:szCs w:val="21"/>
                      <w:u w:val="none"/>
                      <w:lang w:val="zh-CN" w:eastAsia="zh-CN" w:bidi="zh-CN"/>
                      <w14:textFill>
                        <w14:solidFill>
                          <w14:schemeClr w14:val="tx1"/>
                        </w14:solidFill>
                      </w14:textFill>
                    </w:rPr>
                    <w:t>年产10000件模特头项目</w:t>
                  </w:r>
                </w:p>
              </w:tc>
            </w:tr>
            <w:tr w14:paraId="090193EE">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7762F956">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建设地点</w:t>
                  </w:r>
                </w:p>
              </w:tc>
              <w:tc>
                <w:tcPr>
                  <w:tcW w:w="5588" w:type="dxa"/>
                  <w:tcBorders>
                    <w:tl2br w:val="nil"/>
                    <w:tr2bl w:val="nil"/>
                  </w:tcBorders>
                  <w:vAlign w:val="center"/>
                </w:tcPr>
                <w:p w14:paraId="5B5CAF67">
                  <w:pPr>
                    <w:wordWrap/>
                    <w:autoSpaceDE w:val="0"/>
                    <w:autoSpaceDN w:val="0"/>
                    <w:adjustRightInd/>
                    <w:snapToGrid/>
                    <w:spacing w:beforeAutospacing="0" w:afterAutospacing="0" w:line="360" w:lineRule="exact"/>
                    <w:jc w:val="both"/>
                    <w:textAlignment w:val="auto"/>
                    <w:rPr>
                      <w:rFonts w:hint="eastAsia" w:ascii="Times New Roman" w:hAnsi="Times New Roman" w:eastAsia="宋体" w:cs="宋体"/>
                      <w:color w:val="C00000"/>
                      <w:sz w:val="21"/>
                      <w:szCs w:val="21"/>
                      <w:u w:val="none"/>
                      <w:lang w:val="zh-CN" w:eastAsia="zh-CN" w:bidi="zh-CN"/>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河南省许昌市魏都区滨河路与万通路交叉口先进制造业开发区2号</w:t>
                  </w:r>
                </w:p>
              </w:tc>
            </w:tr>
            <w:tr w14:paraId="47F45E4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292A0B6C">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color w:val="000000" w:themeColor="text1"/>
                      <w:sz w:val="21"/>
                      <w:szCs w:val="21"/>
                      <w14:textFill>
                        <w14:solidFill>
                          <w14:schemeClr w14:val="tx1"/>
                        </w14:solidFill>
                      </w14:textFill>
                    </w:rPr>
                  </w:pPr>
                  <w:r>
                    <w:rPr>
                      <w:rFonts w:hint="eastAsia" w:ascii="Times New Roman" w:hAnsi="Times New Roman" w:eastAsia="宋体" w:cs="宋体"/>
                      <w:b/>
                      <w:bCs/>
                      <w:color w:val="000000" w:themeColor="text1"/>
                      <w:kern w:val="0"/>
                      <w:sz w:val="21"/>
                      <w:szCs w:val="21"/>
                      <w:lang w:val="en-US" w:eastAsia="zh-CN"/>
                      <w14:textFill>
                        <w14:solidFill>
                          <w14:schemeClr w14:val="tx1"/>
                        </w14:solidFill>
                      </w14:textFill>
                    </w:rPr>
                    <w:t>地理坐标</w:t>
                  </w:r>
                </w:p>
              </w:tc>
              <w:tc>
                <w:tcPr>
                  <w:tcW w:w="5588" w:type="dxa"/>
                  <w:tcBorders>
                    <w:tl2br w:val="nil"/>
                    <w:tr2bl w:val="nil"/>
                  </w:tcBorders>
                  <w:vAlign w:val="center"/>
                </w:tcPr>
                <w:p w14:paraId="532A22EF">
                  <w:pPr>
                    <w:wordWrap/>
                    <w:autoSpaceDE w:val="0"/>
                    <w:autoSpaceDN w:val="0"/>
                    <w:adjustRightInd/>
                    <w:snapToGrid/>
                    <w:spacing w:beforeAutospacing="0" w:afterAutospacing="0" w:line="360" w:lineRule="exact"/>
                    <w:jc w:val="center"/>
                    <w:textAlignment w:val="auto"/>
                    <w:rPr>
                      <w:rFonts w:hint="default" w:ascii="Times New Roman" w:hAnsi="Times New Roman" w:eastAsia="宋体" w:cs="宋体"/>
                      <w:color w:val="C00000"/>
                      <w:sz w:val="21"/>
                      <w:szCs w:val="21"/>
                      <w:u w:val="none"/>
                      <w:lang w:val="en-US" w:eastAsia="zh-CN" w:bidi="zh-CN"/>
                    </w:rPr>
                  </w:pPr>
                  <w:r>
                    <w:rPr>
                      <w:rFonts w:hint="eastAsia" w:ascii="Times New Roman" w:hAnsi="Times New Roman" w:cs="宋体"/>
                      <w:color w:val="000000" w:themeColor="text1"/>
                      <w:sz w:val="21"/>
                      <w:szCs w:val="21"/>
                      <w:u w:val="none"/>
                      <w:lang w:val="en-US" w:eastAsia="zh-CN" w:bidi="zh-CN"/>
                      <w14:textFill>
                        <w14:solidFill>
                          <w14:schemeClr w14:val="tx1"/>
                        </w14:solidFill>
                      </w14:textFill>
                    </w:rPr>
                    <w:t>东经113.818413</w:t>
                  </w:r>
                  <w:r>
                    <w:rPr>
                      <w:rFonts w:hint="default" w:ascii="Times New Roman" w:hAnsi="Times New Roman" w:cs="宋体"/>
                      <w:color w:val="000000" w:themeColor="text1"/>
                      <w:sz w:val="21"/>
                      <w:szCs w:val="21"/>
                      <w:u w:val="none"/>
                      <w:lang w:val="en-US" w:eastAsia="zh-CN" w:bidi="zh-CN"/>
                      <w14:textFill>
                        <w14:solidFill>
                          <w14:schemeClr w14:val="tx1"/>
                        </w14:solidFill>
                      </w14:textFill>
                    </w:rPr>
                    <w:t>，</w:t>
                  </w:r>
                  <w:r>
                    <w:rPr>
                      <w:rFonts w:hint="eastAsia" w:ascii="Times New Roman" w:hAnsi="Times New Roman" w:cs="宋体"/>
                      <w:color w:val="000000" w:themeColor="text1"/>
                      <w:sz w:val="21"/>
                      <w:szCs w:val="21"/>
                      <w:u w:val="none"/>
                      <w:lang w:val="en-US" w:eastAsia="zh-CN" w:bidi="zh-CN"/>
                      <w14:textFill>
                        <w14:solidFill>
                          <w14:schemeClr w14:val="tx1"/>
                        </w14:solidFill>
                      </w14:textFill>
                    </w:rPr>
                    <w:t>北纬34.069907</w:t>
                  </w:r>
                </w:p>
              </w:tc>
            </w:tr>
            <w:tr w14:paraId="07ED97BA">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7297A618">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主要危险物质及分布</w:t>
                  </w:r>
                </w:p>
              </w:tc>
              <w:tc>
                <w:tcPr>
                  <w:tcW w:w="5588" w:type="dxa"/>
                  <w:tcBorders>
                    <w:tl2br w:val="nil"/>
                    <w:tr2bl w:val="nil"/>
                  </w:tcBorders>
                  <w:vAlign w:val="center"/>
                </w:tcPr>
                <w:p w14:paraId="6348B7D9">
                  <w:pPr>
                    <w:widowControl/>
                    <w:wordWrap/>
                    <w:autoSpaceDE w:val="0"/>
                    <w:autoSpaceDN w:val="0"/>
                    <w:adjustRightInd/>
                    <w:snapToGrid/>
                    <w:spacing w:beforeAutospacing="0" w:afterAutospacing="0" w:line="360" w:lineRule="exact"/>
                    <w:jc w:val="center"/>
                    <w:textAlignment w:val="auto"/>
                    <w:rPr>
                      <w:rFonts w:hint="default" w:ascii="Times New Roman" w:hAnsi="Times New Roman" w:eastAsia="宋体"/>
                      <w:b/>
                      <w:sz w:val="21"/>
                      <w:szCs w:val="21"/>
                      <w:lang w:val="en-US"/>
                    </w:rPr>
                  </w:pPr>
                  <w:r>
                    <w:rPr>
                      <w:rFonts w:hint="eastAsia" w:ascii="Times New Roman" w:hAnsi="Times New Roman" w:cs="宋体"/>
                      <w:color w:val="000000"/>
                      <w:kern w:val="0"/>
                      <w:sz w:val="21"/>
                      <w:szCs w:val="21"/>
                      <w:lang w:val="en-US" w:eastAsia="zh-CN"/>
                    </w:rPr>
                    <w:t>危废间</w:t>
                  </w:r>
                </w:p>
              </w:tc>
            </w:tr>
            <w:tr w14:paraId="366A0337">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3A2CBA5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环境影响途径及危害后果</w:t>
                  </w:r>
                </w:p>
              </w:tc>
              <w:tc>
                <w:tcPr>
                  <w:tcW w:w="5588" w:type="dxa"/>
                  <w:tcBorders>
                    <w:tl2br w:val="nil"/>
                    <w:tr2bl w:val="nil"/>
                  </w:tcBorders>
                  <w:vAlign w:val="center"/>
                </w:tcPr>
                <w:p w14:paraId="623664E4">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宋体"/>
                      <w:color w:val="000000"/>
                      <w:kern w:val="0"/>
                      <w:sz w:val="21"/>
                      <w:szCs w:val="21"/>
                      <w:lang w:val="en-US" w:eastAsia="zh-CN"/>
                    </w:rPr>
                  </w:pPr>
                  <w:r>
                    <w:rPr>
                      <w:rFonts w:hint="eastAsia" w:ascii="Times New Roman" w:hAnsi="Times New Roman" w:cs="宋体"/>
                      <w:color w:val="000000"/>
                      <w:kern w:val="0"/>
                      <w:sz w:val="21"/>
                      <w:szCs w:val="21"/>
                      <w:lang w:val="en-US" w:eastAsia="zh-CN"/>
                    </w:rPr>
                    <w:t>泄漏影响途径：</w:t>
                  </w:r>
                </w:p>
                <w:p w14:paraId="3B5C2B12">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宋体"/>
                      <w:color w:val="000000"/>
                      <w:kern w:val="0"/>
                      <w:sz w:val="21"/>
                      <w:szCs w:val="21"/>
                      <w:lang w:val="en-US" w:eastAsia="zh-CN"/>
                    </w:rPr>
                  </w:pPr>
                  <w:r>
                    <w:rPr>
                      <w:rFonts w:hint="eastAsia" w:ascii="Times New Roman" w:hAnsi="Times New Roman" w:cs="宋体"/>
                      <w:color w:val="000000"/>
                      <w:kern w:val="0"/>
                      <w:sz w:val="21"/>
                      <w:szCs w:val="21"/>
                      <w:lang w:val="en-US" w:eastAsia="zh-CN"/>
                    </w:rPr>
                    <w:t>危险废物等散落会污染地下水和土壤环境。</w:t>
                  </w:r>
                </w:p>
                <w:p w14:paraId="72B75C3F">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eastAsia" w:ascii="Times New Roman" w:hAnsi="Times New Roman" w:cs="宋体"/>
                      <w:color w:val="000000"/>
                      <w:kern w:val="0"/>
                      <w:sz w:val="21"/>
                      <w:szCs w:val="21"/>
                      <w:lang w:val="en-US" w:eastAsia="zh-CN"/>
                    </w:rPr>
                  </w:pPr>
                  <w:r>
                    <w:rPr>
                      <w:rFonts w:hint="eastAsia" w:ascii="Times New Roman" w:hAnsi="Times New Roman" w:cs="宋体"/>
                      <w:color w:val="000000"/>
                      <w:kern w:val="0"/>
                      <w:sz w:val="21"/>
                      <w:szCs w:val="21"/>
                      <w:lang w:val="en-US" w:eastAsia="zh-CN"/>
                    </w:rPr>
                    <w:t>火灾次生/伴生影响途径：</w:t>
                  </w:r>
                </w:p>
                <w:p w14:paraId="72B4EB25">
                  <w:pPr>
                    <w:keepNext w:val="0"/>
                    <w:keepLines w:val="0"/>
                    <w:pageBreakBefore w:val="0"/>
                    <w:widowControl/>
                    <w:kinsoku/>
                    <w:wordWrap/>
                    <w:overflowPunct/>
                    <w:topLinePunct w:val="0"/>
                    <w:autoSpaceDE w:val="0"/>
                    <w:autoSpaceDN w:val="0"/>
                    <w:bidi w:val="0"/>
                    <w:adjustRightInd/>
                    <w:snapToGrid/>
                    <w:spacing w:beforeAutospacing="0" w:afterAutospacing="0" w:line="360" w:lineRule="exact"/>
                    <w:jc w:val="both"/>
                    <w:textAlignment w:val="auto"/>
                    <w:rPr>
                      <w:rFonts w:hint="default" w:ascii="Times New Roman" w:hAnsi="Times New Roman" w:eastAsia="宋体"/>
                      <w:b/>
                      <w:sz w:val="21"/>
                      <w:szCs w:val="21"/>
                      <w:lang w:val="en-US"/>
                    </w:rPr>
                  </w:pPr>
                  <w:r>
                    <w:rPr>
                      <w:rFonts w:hint="eastAsia" w:ascii="Times New Roman" w:hAnsi="Times New Roman" w:cs="宋体"/>
                      <w:color w:val="000000"/>
                      <w:kern w:val="0"/>
                      <w:sz w:val="21"/>
                      <w:szCs w:val="21"/>
                      <w:lang w:val="en-US" w:eastAsia="zh-CN"/>
                    </w:rPr>
                    <w:t>危险废物可能发生火灾，次生废气及事故废水会污染大气环境和水环境。</w:t>
                  </w:r>
                </w:p>
              </w:tc>
            </w:tr>
            <w:tr w14:paraId="04A49C20">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2637" w:type="dxa"/>
                  <w:tcBorders>
                    <w:tl2br w:val="nil"/>
                    <w:tr2bl w:val="nil"/>
                  </w:tcBorders>
                  <w:vAlign w:val="center"/>
                </w:tcPr>
                <w:p w14:paraId="284DF127">
                  <w:pPr>
                    <w:widowControl/>
                    <w:wordWrap/>
                    <w:autoSpaceDE w:val="0"/>
                    <w:autoSpaceDN w:val="0"/>
                    <w:adjustRightInd/>
                    <w:snapToGrid/>
                    <w:spacing w:beforeAutospacing="0" w:afterAutospacing="0" w:line="360" w:lineRule="exact"/>
                    <w:jc w:val="center"/>
                    <w:textAlignment w:val="auto"/>
                    <w:rPr>
                      <w:rFonts w:hint="eastAsia" w:ascii="Times New Roman" w:hAnsi="Times New Roman" w:eastAsia="宋体"/>
                      <w:b/>
                      <w:bCs/>
                      <w:sz w:val="21"/>
                      <w:szCs w:val="21"/>
                    </w:rPr>
                  </w:pPr>
                  <w:r>
                    <w:rPr>
                      <w:rFonts w:hint="eastAsia" w:ascii="Times New Roman" w:hAnsi="Times New Roman" w:eastAsia="宋体" w:cs="宋体"/>
                      <w:b/>
                      <w:bCs/>
                      <w:color w:val="000000"/>
                      <w:kern w:val="0"/>
                      <w:sz w:val="21"/>
                      <w:szCs w:val="21"/>
                      <w:lang w:val="en-US" w:eastAsia="zh-CN"/>
                    </w:rPr>
                    <w:t>风险防范措施要求</w:t>
                  </w:r>
                </w:p>
              </w:tc>
              <w:tc>
                <w:tcPr>
                  <w:tcW w:w="5588" w:type="dxa"/>
                  <w:tcBorders>
                    <w:tl2br w:val="nil"/>
                    <w:tr2bl w:val="nil"/>
                  </w:tcBorders>
                  <w:vAlign w:val="center"/>
                </w:tcPr>
                <w:p w14:paraId="264946FA">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cs="Times New Roman"/>
                      <w:color w:val="000000"/>
                      <w:sz w:val="21"/>
                      <w:szCs w:val="21"/>
                      <w:u w:val="none" w:color="auto"/>
                      <w:lang w:val="en-US" w:eastAsia="zh-CN" w:bidi="zh-CN"/>
                    </w:rPr>
                    <w:t>（1）</w:t>
                  </w:r>
                  <w:r>
                    <w:rPr>
                      <w:rFonts w:hint="eastAsia" w:ascii="Times New Roman" w:hAnsi="Times New Roman" w:eastAsia="宋体" w:cs="Times New Roman"/>
                      <w:color w:val="000000"/>
                      <w:sz w:val="21"/>
                      <w:szCs w:val="21"/>
                      <w:u w:val="none" w:color="auto"/>
                      <w:lang w:val="en-US" w:eastAsia="zh-CN" w:bidi="zh-CN"/>
                    </w:rPr>
                    <w:t>危废间地面进行防渗处理，保证危险废物泄露后不会外溢</w:t>
                  </w:r>
                  <w:r>
                    <w:rPr>
                      <w:rFonts w:hint="eastAsia" w:ascii="Times New Roman" w:hAnsi="Times New Roman" w:cs="Times New Roman"/>
                      <w:color w:val="000000"/>
                      <w:sz w:val="21"/>
                      <w:szCs w:val="21"/>
                      <w:u w:val="none" w:color="auto"/>
                      <w:lang w:val="en-US" w:eastAsia="zh-CN" w:bidi="zh-CN"/>
                    </w:rPr>
                    <w:t>。</w:t>
                  </w:r>
                  <w:r>
                    <w:rPr>
                      <w:rFonts w:hint="eastAsia" w:ascii="Times New Roman" w:hAnsi="Times New Roman" w:eastAsia="宋体" w:cs="Times New Roman"/>
                      <w:color w:val="000000"/>
                      <w:sz w:val="21"/>
                      <w:szCs w:val="21"/>
                      <w:u w:val="none" w:color="auto"/>
                      <w:lang w:val="en-US" w:eastAsia="zh-CN" w:bidi="zh-CN"/>
                    </w:rPr>
                    <w:t>危险废物暂存间依据《危险废物贮存污染控制标准》（GB18597-2023）及《危险废物收集、贮存、运输技术规范》（HJ2025-2012）中的规范要求，采取严格防渗措施。</w:t>
                  </w:r>
                </w:p>
                <w:p w14:paraId="4711CA85">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（2）危废间配备灭火器。</w:t>
                  </w:r>
                </w:p>
                <w:p w14:paraId="541F77C6">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cs="Times New Roman"/>
                      <w:color w:val="000000"/>
                      <w:sz w:val="21"/>
                      <w:szCs w:val="21"/>
                      <w:u w:val="none" w:color="auto"/>
                      <w:lang w:val="en-US" w:eastAsia="zh-CN" w:bidi="zh-CN"/>
                    </w:rPr>
                    <w:t>（3）</w:t>
                  </w:r>
                  <w:r>
                    <w:rPr>
                      <w:rFonts w:hint="eastAsia" w:ascii="Times New Roman" w:hAnsi="Times New Roman" w:eastAsia="宋体" w:cs="Times New Roman"/>
                      <w:color w:val="000000"/>
                      <w:sz w:val="21"/>
                      <w:szCs w:val="21"/>
                      <w:u w:val="none" w:color="auto"/>
                      <w:lang w:val="en-US" w:eastAsia="zh-CN" w:bidi="zh-CN"/>
                    </w:rPr>
                    <w:t>设专门的管理人员，并建立严格的危废暂存、转移制度。严格检查、照章办事，及时消除事故隐患。</w:t>
                  </w:r>
                </w:p>
                <w:p w14:paraId="1B4F3A7B">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（4）编制突发环境事件应急预案和危废专项预案。</w:t>
                  </w:r>
                </w:p>
                <w:p w14:paraId="1572105E">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常见事故应急措施：</w:t>
                  </w:r>
                </w:p>
                <w:p w14:paraId="32CAC269">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本项目危废间可能发生散落、火灾等事故，简要提出如下应急措施：</w:t>
                  </w:r>
                </w:p>
                <w:p w14:paraId="12248798">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1）泄露应急措施</w:t>
                  </w:r>
                </w:p>
                <w:p w14:paraId="58706ED3">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危险废物散落时：少量散落时先进行散落的围堵，避免污染扩散，然后转移至安全地区，送到危废间暂存；</w:t>
                  </w:r>
                </w:p>
                <w:p w14:paraId="16A18DD7">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2）火灾应急措施</w:t>
                  </w:r>
                </w:p>
                <w:p w14:paraId="3A50233E">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危险废物等可能引发火灾，火灾过程还可能产生刺激性烟雾、次生废气及事故废水，本项目发生火灾的几率很小，但是一旦发生火灾应采取以下应急措施：</w:t>
                  </w:r>
                </w:p>
                <w:p w14:paraId="7FA9D3E5">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cs="Times New Roman"/>
                      <w:color w:val="000000"/>
                      <w:sz w:val="21"/>
                      <w:szCs w:val="21"/>
                      <w:u w:val="none" w:color="auto"/>
                      <w:lang w:val="en-US" w:eastAsia="zh-CN" w:bidi="zh-CN"/>
                    </w:rPr>
                  </w:pPr>
                  <w:r>
                    <w:rPr>
                      <w:rFonts w:hint="eastAsia" w:ascii="Times New Roman" w:hAnsi="Times New Roman" w:eastAsia="宋体" w:cs="Times New Roman"/>
                      <w:color w:val="000000"/>
                      <w:sz w:val="21"/>
                      <w:szCs w:val="21"/>
                      <w:u w:val="none" w:color="auto"/>
                      <w:lang w:val="en-US" w:eastAsia="zh-CN" w:bidi="zh-CN"/>
                    </w:rPr>
                    <w:t>①现场指挥人员及时做好人员疏散工作，指导抢险人员正确配备和使用个人安全防护用品，做好现场排烟工作，维护火场秩序；</w:t>
                  </w:r>
                </w:p>
                <w:p w14:paraId="269D06AE">
                  <w:pPr>
                    <w:keepNext w:val="0"/>
                    <w:keepLines w:val="0"/>
                    <w:pageBreakBefore w:val="0"/>
                    <w:widowControl/>
                    <w:numPr>
                      <w:ilvl w:val="0"/>
                      <w:numId w:val="0"/>
                    </w:numPr>
                    <w:kinsoku/>
                    <w:wordWrap/>
                    <w:overflowPunct/>
                    <w:topLinePunct w:val="0"/>
                    <w:autoSpaceDE w:val="0"/>
                    <w:autoSpaceDN w:val="0"/>
                    <w:bidi w:val="0"/>
                    <w:adjustRightInd/>
                    <w:snapToGrid/>
                    <w:spacing w:beforeAutospacing="0" w:afterAutospacing="0" w:line="360" w:lineRule="exact"/>
                    <w:ind w:leftChars="0" w:right="0" w:firstLine="0" w:firstLineChars="0"/>
                    <w:jc w:val="both"/>
                    <w:textAlignment w:val="auto"/>
                    <w:rPr>
                      <w:rFonts w:hint="eastAsia" w:ascii="Times New Roman" w:hAnsi="Times New Roman" w:eastAsia="宋体"/>
                      <w:b/>
                      <w:sz w:val="21"/>
                      <w:szCs w:val="21"/>
                    </w:rPr>
                  </w:pPr>
                  <w:r>
                    <w:rPr>
                      <w:rFonts w:hint="eastAsia" w:ascii="Times New Roman" w:hAnsi="Times New Roman" w:eastAsia="宋体" w:cs="Times New Roman"/>
                      <w:color w:val="000000"/>
                      <w:sz w:val="21"/>
                      <w:szCs w:val="21"/>
                      <w:u w:val="none" w:color="auto"/>
                      <w:lang w:val="en-US" w:eastAsia="zh-CN" w:bidi="zh-CN"/>
                    </w:rPr>
                    <w:t>②有现场人员受伤立即将其救离灾区，保持其呼吸道畅通，由医务人员进行抢救，可用大量冷水湿敷，如出现因烟熏导致心跳骤停时，立即行心肺复苏术，并组织车辆及时运送就近医院进行抢救与治疗。</w:t>
                  </w:r>
                </w:p>
              </w:tc>
            </w:tr>
            <w:tr w14:paraId="6A4C147B">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8225" w:type="dxa"/>
                  <w:gridSpan w:val="2"/>
                  <w:tcBorders>
                    <w:tl2br w:val="nil"/>
                    <w:tr2bl w:val="nil"/>
                  </w:tcBorders>
                  <w:vAlign w:val="center"/>
                </w:tcPr>
                <w:p w14:paraId="73F70869">
                  <w:pPr>
                    <w:widowControl/>
                    <w:wordWrap/>
                    <w:autoSpaceDE w:val="0"/>
                    <w:autoSpaceDN w:val="0"/>
                    <w:adjustRightInd/>
                    <w:snapToGrid/>
                    <w:spacing w:beforeAutospacing="0" w:afterAutospacing="0" w:line="360" w:lineRule="exact"/>
                    <w:jc w:val="both"/>
                    <w:textAlignment w:val="auto"/>
                    <w:rPr>
                      <w:rFonts w:hint="eastAsia" w:ascii="Times New Roman" w:hAnsi="Times New Roman" w:eastAsia="宋体"/>
                      <w:b/>
                      <w:sz w:val="21"/>
                      <w:szCs w:val="21"/>
                    </w:rPr>
                  </w:pPr>
                  <w:r>
                    <w:rPr>
                      <w:rFonts w:hint="eastAsia" w:ascii="Times New Roman" w:hAnsi="Times New Roman" w:eastAsia="宋体" w:cs="宋体"/>
                      <w:color w:val="000000"/>
                      <w:kern w:val="0"/>
                      <w:sz w:val="21"/>
                      <w:szCs w:val="21"/>
                      <w:lang w:val="en-US" w:eastAsia="zh-CN"/>
                    </w:rPr>
                    <w:t>填表说明（列出项目相关信息及评价说明）：危险物质的总量与其临界量比值</w:t>
                  </w:r>
                  <w:r>
                    <w:rPr>
                      <w:rFonts w:hint="default" w:ascii="Times New Roman" w:hAnsi="Times New Roman" w:eastAsia="宋体" w:cs="Times New Roman"/>
                      <w:color w:val="000000"/>
                      <w:kern w:val="0"/>
                      <w:sz w:val="21"/>
                      <w:szCs w:val="21"/>
                      <w:lang w:val="en-US" w:eastAsia="zh-CN"/>
                    </w:rPr>
                    <w:t>Q</w:t>
                  </w:r>
                  <w:r>
                    <w:rPr>
                      <w:rFonts w:hint="eastAsia" w:ascii="Times New Roman" w:hAnsi="Times New Roman" w:eastAsia="宋体" w:cs="宋体"/>
                      <w:color w:val="000000"/>
                      <w:kern w:val="0"/>
                      <w:sz w:val="21"/>
                      <w:szCs w:val="21"/>
                      <w:lang w:val="en-US" w:eastAsia="zh-CN"/>
                    </w:rPr>
                    <w:t>＜</w:t>
                  </w:r>
                  <w:r>
                    <w:rPr>
                      <w:rFonts w:hint="default" w:ascii="Times New Roman" w:hAnsi="Times New Roman" w:eastAsia="宋体" w:cs="Times New Roman"/>
                      <w:color w:val="000000"/>
                      <w:kern w:val="0"/>
                      <w:sz w:val="21"/>
                      <w:szCs w:val="21"/>
                      <w:lang w:val="en-US" w:eastAsia="zh-CN"/>
                    </w:rPr>
                    <w:t>1</w:t>
                  </w:r>
                  <w:r>
                    <w:rPr>
                      <w:rFonts w:hint="eastAsia" w:ascii="Times New Roman" w:hAnsi="Times New Roman" w:eastAsia="宋体" w:cs="宋体"/>
                      <w:color w:val="000000"/>
                      <w:kern w:val="0"/>
                      <w:sz w:val="21"/>
                      <w:szCs w:val="21"/>
                      <w:lang w:val="en-US" w:eastAsia="zh-CN"/>
                    </w:rPr>
                    <w:t>，本项目环境风险潜势为Ⅰ；</w:t>
                  </w:r>
                </w:p>
              </w:tc>
            </w:tr>
          </w:tbl>
          <w:p w14:paraId="322A0BF8">
            <w:pPr>
              <w:widowControl w:val="0"/>
              <w:wordWrap/>
              <w:autoSpaceDE w:val="0"/>
              <w:autoSpaceDN w:val="0"/>
              <w:adjustRightInd/>
              <w:snapToGrid/>
              <w:spacing w:beforeAutospacing="0" w:afterAutospacing="0" w:line="520" w:lineRule="exact"/>
              <w:ind w:firstLine="482" w:firstLineChars="200"/>
              <w:textAlignment w:val="auto"/>
              <w:rPr>
                <w:rFonts w:hint="default" w:ascii="Times New Roman" w:hAnsi="Times New Roman" w:eastAsia="宋体" w:cs="宋体"/>
                <w:b/>
                <w:bCs/>
                <w:color w:val="000000"/>
                <w:sz w:val="24"/>
                <w:szCs w:val="24"/>
                <w:u w:val="none"/>
              </w:rPr>
            </w:pPr>
            <w:r>
              <w:rPr>
                <w:rFonts w:hint="eastAsia" w:ascii="Times New Roman" w:hAnsi="Times New Roman" w:cs="宋体"/>
                <w:b/>
                <w:bCs/>
                <w:color w:val="000000"/>
                <w:sz w:val="24"/>
                <w:szCs w:val="24"/>
                <w:u w:val="none"/>
                <w:lang w:val="en-US" w:eastAsia="zh-CN"/>
              </w:rPr>
              <w:t>七</w:t>
            </w:r>
            <w:r>
              <w:rPr>
                <w:rFonts w:hint="default" w:ascii="Times New Roman" w:hAnsi="Times New Roman" w:eastAsia="宋体" w:cs="宋体"/>
                <w:b/>
                <w:bCs/>
                <w:color w:val="000000"/>
                <w:sz w:val="24"/>
                <w:szCs w:val="24"/>
                <w:u w:val="none"/>
              </w:rPr>
              <w:t>、</w:t>
            </w:r>
            <w:r>
              <w:rPr>
                <w:rFonts w:hint="eastAsia" w:ascii="Times New Roman" w:hAnsi="Times New Roman" w:eastAsia="宋体" w:cs="宋体"/>
                <w:b/>
                <w:bCs/>
                <w:color w:val="000000"/>
                <w:sz w:val="24"/>
                <w:szCs w:val="24"/>
                <w:u w:val="none"/>
              </w:rPr>
              <w:t>环保投资估算</w:t>
            </w:r>
          </w:p>
          <w:p w14:paraId="6445E741">
            <w:pPr>
              <w:widowControl w:val="0"/>
              <w:wordWrap/>
              <w:autoSpaceDE w:val="0"/>
              <w:autoSpaceDN w:val="0"/>
              <w:adjustRightInd/>
              <w:snapToGrid/>
              <w:spacing w:beforeAutospacing="0" w:afterAutospacing="0" w:line="520" w:lineRule="exact"/>
              <w:ind w:firstLine="480" w:firstLineChars="200"/>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本工程总投资约为</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4"/>
                <w:szCs w:val="24"/>
                <w:u w:val="none"/>
                <w14:textFill>
                  <w14:solidFill>
                    <w14:schemeClr w14:val="tx1"/>
                  </w14:solidFill>
                </w14:textFill>
              </w:rPr>
              <w:t>万元，</w:t>
            </w: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环保投资</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9万元，环保投资</w:t>
            </w:r>
            <w:r>
              <w:rPr>
                <w:rFonts w:hint="default" w:ascii="Times New Roman" w:hAnsi="Times New Roman" w:eastAsia="宋体" w:cs="Times New Roman"/>
                <w:color w:val="000000" w:themeColor="text1"/>
                <w:sz w:val="24"/>
                <w:szCs w:val="24"/>
                <w:u w:val="none"/>
                <w14:textFill>
                  <w14:solidFill>
                    <w14:schemeClr w14:val="tx1"/>
                  </w14:solidFill>
                </w14:textFill>
              </w:rPr>
              <w:t>占总投资的比例约为</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u w:val="none"/>
                <w14:textFill>
                  <w14:solidFill>
                    <w14:schemeClr w14:val="tx1"/>
                  </w14:solidFill>
                </w14:textFill>
              </w:rPr>
              <w:t>%，见下表。</w:t>
            </w:r>
          </w:p>
          <w:p w14:paraId="393B6997">
            <w:pPr>
              <w:widowControl w:val="0"/>
              <w:tabs>
                <w:tab w:val="left" w:pos="6843"/>
              </w:tabs>
              <w:wordWrap/>
              <w:autoSpaceDE w:val="0"/>
              <w:autoSpaceDN w:val="0"/>
              <w:adjustRightInd w:val="0"/>
              <w:snapToGrid w:val="0"/>
              <w:spacing w:beforeAutospacing="0" w:afterAutospacing="0" w:line="52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bidi="zh-CN"/>
              </w:rPr>
            </w:pPr>
            <w:r>
              <w:rPr>
                <w:rFonts w:hint="default" w:ascii="Times New Roman" w:hAnsi="Times New Roman" w:eastAsia="黑体" w:cs="Times New Roman"/>
                <w:b w:val="0"/>
                <w:bCs w:val="0"/>
                <w:color w:val="auto"/>
                <w:kern w:val="0"/>
                <w:sz w:val="24"/>
                <w:szCs w:val="24"/>
                <w:lang w:val="en-US" w:eastAsia="zh-CN" w:bidi="zh-CN"/>
              </w:rPr>
              <w:t>表</w:t>
            </w:r>
            <w:r>
              <w:rPr>
                <w:rFonts w:hint="eastAsia" w:ascii="Times New Roman" w:hAnsi="Times New Roman" w:eastAsia="黑体" w:cs="Times New Roman"/>
                <w:b w:val="0"/>
                <w:bCs w:val="0"/>
                <w:color w:val="auto"/>
                <w:kern w:val="0"/>
                <w:sz w:val="24"/>
                <w:szCs w:val="24"/>
                <w:lang w:val="en-US" w:eastAsia="zh-CN" w:bidi="zh-CN"/>
              </w:rPr>
              <w:t xml:space="preserve">4-23  </w:t>
            </w:r>
            <w:r>
              <w:rPr>
                <w:rFonts w:hint="default" w:ascii="Times New Roman" w:hAnsi="Times New Roman" w:eastAsia="黑体" w:cs="Times New Roman"/>
                <w:b w:val="0"/>
                <w:bCs w:val="0"/>
                <w:color w:val="auto"/>
                <w:kern w:val="0"/>
                <w:sz w:val="24"/>
                <w:szCs w:val="24"/>
                <w:lang w:val="en-US" w:eastAsia="zh-CN" w:bidi="zh-CN"/>
              </w:rPr>
              <w:t>环保投资一览表</w:t>
            </w:r>
          </w:p>
          <w:tbl>
            <w:tblPr>
              <w:tblStyle w:val="23"/>
              <w:tblW w:w="8225" w:type="dxa"/>
              <w:jc w:val="center"/>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Layout w:type="fixed"/>
              <w:tblCellMar>
                <w:top w:w="0" w:type="dxa"/>
                <w:left w:w="108" w:type="dxa"/>
                <w:bottom w:w="0" w:type="dxa"/>
                <w:right w:w="108" w:type="dxa"/>
              </w:tblCellMar>
            </w:tblPr>
            <w:tblGrid>
              <w:gridCol w:w="442"/>
              <w:gridCol w:w="576"/>
              <w:gridCol w:w="788"/>
              <w:gridCol w:w="1185"/>
              <w:gridCol w:w="4033"/>
              <w:gridCol w:w="1201"/>
            </w:tblGrid>
            <w:tr w14:paraId="67F6A77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23" w:hRule="atLeast"/>
                <w:jc w:val="center"/>
              </w:trPr>
              <w:tc>
                <w:tcPr>
                  <w:tcW w:w="1018" w:type="dxa"/>
                  <w:gridSpan w:val="2"/>
                  <w:tcBorders>
                    <w:tl2br w:val="nil"/>
                    <w:tr2bl w:val="nil"/>
                  </w:tcBorders>
                  <w:vAlign w:val="center"/>
                </w:tcPr>
                <w:p w14:paraId="59767FC2">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项目</w:t>
                  </w:r>
                </w:p>
              </w:tc>
              <w:tc>
                <w:tcPr>
                  <w:tcW w:w="6006" w:type="dxa"/>
                  <w:gridSpan w:val="3"/>
                  <w:tcBorders>
                    <w:tl2br w:val="nil"/>
                    <w:tr2bl w:val="nil"/>
                  </w:tcBorders>
                  <w:vAlign w:val="center"/>
                </w:tcPr>
                <w:p w14:paraId="68F7E44B">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内容</w:t>
                  </w:r>
                </w:p>
              </w:tc>
              <w:tc>
                <w:tcPr>
                  <w:tcW w:w="1201" w:type="dxa"/>
                  <w:tcBorders>
                    <w:tl2br w:val="nil"/>
                    <w:tr2bl w:val="nil"/>
                  </w:tcBorders>
                  <w:vAlign w:val="center"/>
                </w:tcPr>
                <w:p w14:paraId="1A1E31F9">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b/>
                      <w:bCs/>
                      <w:color w:val="000000"/>
                      <w:kern w:val="21"/>
                      <w:sz w:val="21"/>
                      <w:szCs w:val="21"/>
                      <w:u w:val="none"/>
                    </w:rPr>
                  </w:pPr>
                  <w:r>
                    <w:rPr>
                      <w:rFonts w:hint="default" w:ascii="Times New Roman" w:hAnsi="Times New Roman" w:eastAsia="宋体" w:cs="Times New Roman"/>
                      <w:b/>
                      <w:bCs/>
                      <w:color w:val="000000"/>
                      <w:kern w:val="21"/>
                      <w:sz w:val="21"/>
                      <w:szCs w:val="21"/>
                      <w:u w:val="none"/>
                    </w:rPr>
                    <w:t>投资（万元）</w:t>
                  </w:r>
                </w:p>
              </w:tc>
            </w:tr>
            <w:tr w14:paraId="5F10081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30" w:hRule="atLeast"/>
                <w:jc w:val="center"/>
              </w:trPr>
              <w:tc>
                <w:tcPr>
                  <w:tcW w:w="442" w:type="dxa"/>
                  <w:vMerge w:val="restart"/>
                  <w:tcBorders>
                    <w:tl2br w:val="nil"/>
                    <w:tr2bl w:val="nil"/>
                  </w:tcBorders>
                  <w:vAlign w:val="center"/>
                </w:tcPr>
                <w:p w14:paraId="33C0034E">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运</w:t>
                  </w:r>
                </w:p>
                <w:p w14:paraId="2A1551E8">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营</w:t>
                  </w:r>
                </w:p>
                <w:p w14:paraId="69FD7A3B">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期</w:t>
                  </w:r>
                </w:p>
              </w:tc>
              <w:tc>
                <w:tcPr>
                  <w:tcW w:w="576" w:type="dxa"/>
                  <w:vMerge w:val="restart"/>
                  <w:tcBorders>
                    <w:tl2br w:val="nil"/>
                    <w:tr2bl w:val="nil"/>
                  </w:tcBorders>
                  <w:vAlign w:val="center"/>
                </w:tcPr>
                <w:p w14:paraId="1B25AD8B">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eastAsia="宋体" w:cs="Times New Roman"/>
                      <w:color w:val="000000"/>
                      <w:kern w:val="21"/>
                      <w:sz w:val="21"/>
                      <w:szCs w:val="21"/>
                      <w:u w:val="none"/>
                      <w:lang w:eastAsia="zh-CN"/>
                    </w:rPr>
                  </w:pPr>
                  <w:r>
                    <w:rPr>
                      <w:rFonts w:hint="eastAsia" w:ascii="Times New Roman" w:hAnsi="Times New Roman" w:cs="Times New Roman"/>
                      <w:color w:val="000000"/>
                      <w:kern w:val="21"/>
                      <w:sz w:val="21"/>
                      <w:szCs w:val="21"/>
                      <w:u w:val="none"/>
                      <w:lang w:eastAsia="zh-CN"/>
                    </w:rPr>
                    <w:t>废气</w:t>
                  </w:r>
                </w:p>
              </w:tc>
              <w:tc>
                <w:tcPr>
                  <w:tcW w:w="1973" w:type="dxa"/>
                  <w:gridSpan w:val="2"/>
                  <w:tcBorders>
                    <w:tl2br w:val="nil"/>
                    <w:tr2bl w:val="nil"/>
                  </w:tcBorders>
                  <w:vAlign w:val="center"/>
                </w:tcPr>
                <w:p w14:paraId="2082BCAF">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吹塑废气</w:t>
                  </w:r>
                </w:p>
              </w:tc>
              <w:tc>
                <w:tcPr>
                  <w:tcW w:w="4033" w:type="dxa"/>
                  <w:tcBorders>
                    <w:tl2br w:val="nil"/>
                    <w:tr2bl w:val="nil"/>
                  </w:tcBorders>
                  <w:vAlign w:val="center"/>
                </w:tcPr>
                <w:p w14:paraId="07153D65">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bCs/>
                      <w:color w:val="000000" w:themeColor="text1"/>
                      <w:sz w:val="21"/>
                      <w:szCs w:val="21"/>
                      <w:u w:val="none"/>
                      <w:lang w:val="en-US"/>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吹塑车间二次密闭，集气罩</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收集后通过二级活性炭处理，尾气由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1201" w:type="dxa"/>
                  <w:vMerge w:val="restart"/>
                  <w:tcBorders>
                    <w:tl2br w:val="nil"/>
                    <w:tr2bl w:val="nil"/>
                  </w:tcBorders>
                  <w:vAlign w:val="center"/>
                </w:tcPr>
                <w:p w14:paraId="77ACC6DA">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cs="Times New Roman"/>
                      <w:bCs/>
                      <w:color w:val="000000"/>
                      <w:sz w:val="21"/>
                      <w:szCs w:val="21"/>
                      <w:u w:val="none"/>
                    </w:rPr>
                  </w:pPr>
                  <w:r>
                    <w:rPr>
                      <w:rFonts w:hint="eastAsia" w:ascii="Times New Roman" w:hAnsi="Times New Roman" w:cs="Times New Roman"/>
                      <w:color w:val="000000"/>
                      <w:kern w:val="21"/>
                      <w:sz w:val="21"/>
                      <w:szCs w:val="21"/>
                      <w:u w:val="none"/>
                      <w:lang w:val="en-US" w:eastAsia="zh-CN"/>
                    </w:rPr>
                    <w:t>4</w:t>
                  </w:r>
                </w:p>
              </w:tc>
            </w:tr>
            <w:tr w14:paraId="225DEE9F">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590" w:hRule="atLeast"/>
                <w:jc w:val="center"/>
              </w:trPr>
              <w:tc>
                <w:tcPr>
                  <w:tcW w:w="442" w:type="dxa"/>
                  <w:vMerge w:val="continue"/>
                  <w:tcBorders>
                    <w:tl2br w:val="nil"/>
                    <w:tr2bl w:val="nil"/>
                  </w:tcBorders>
                  <w:vAlign w:val="center"/>
                </w:tcPr>
                <w:p w14:paraId="31ED7668">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786BFAC9">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kern w:val="21"/>
                      <w:sz w:val="21"/>
                      <w:szCs w:val="21"/>
                      <w:u w:val="none"/>
                      <w:lang w:eastAsia="zh-CN"/>
                    </w:rPr>
                  </w:pPr>
                </w:p>
              </w:tc>
              <w:tc>
                <w:tcPr>
                  <w:tcW w:w="1973" w:type="dxa"/>
                  <w:gridSpan w:val="2"/>
                  <w:tcBorders>
                    <w:tl2br w:val="nil"/>
                    <w:tr2bl w:val="nil"/>
                  </w:tcBorders>
                  <w:vAlign w:val="center"/>
                </w:tcPr>
                <w:p w14:paraId="541EEB10">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危废暂存间废气</w:t>
                  </w:r>
                </w:p>
              </w:tc>
              <w:tc>
                <w:tcPr>
                  <w:tcW w:w="4033" w:type="dxa"/>
                  <w:tcBorders>
                    <w:tl2br w:val="nil"/>
                    <w:tr2bl w:val="nil"/>
                  </w:tcBorders>
                  <w:vAlign w:val="center"/>
                </w:tcPr>
                <w:p w14:paraId="5C46082E">
                  <w:pPr>
                    <w:widowControl w:val="0"/>
                    <w:wordWrap/>
                    <w:adjustRightInd/>
                    <w:snapToGrid/>
                    <w:spacing w:beforeAutospacing="0" w:afterAutospacing="0" w:line="360" w:lineRule="exact"/>
                    <w:ind w:left="0" w:leftChars="0" w:right="0" w:rightChars="0" w:firstLine="0" w:firstLineChars="0"/>
                    <w:jc w:val="both"/>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负压收集后与</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吹塑废气</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通过二级活性炭处理，尾气由</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根</w:t>
                  </w:r>
                  <w: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15m</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高排气筒</w:t>
                  </w:r>
                  <w:r>
                    <w:rPr>
                      <w:rFonts w:hint="eastAsia" w:ascii="Times New Roman" w:hAnsi="Times New Roman" w:cs="宋体"/>
                      <w:color w:val="000000" w:themeColor="text1"/>
                      <w:sz w:val="24"/>
                      <w:szCs w:val="24"/>
                      <w:lang w:val="en-US" w:eastAsia="zh-CN"/>
                      <w14:textFill>
                        <w14:solidFill>
                          <w14:schemeClr w14:val="tx1"/>
                        </w14:solidFill>
                      </w14:textFill>
                    </w:rPr>
                    <w:t>（DA001）</w:t>
                  </w:r>
                  <w:r>
                    <w:rPr>
                      <w:rFonts w:hint="eastAsia"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t>排放。</w:t>
                  </w:r>
                </w:p>
              </w:tc>
              <w:tc>
                <w:tcPr>
                  <w:tcW w:w="1201" w:type="dxa"/>
                  <w:vMerge w:val="continue"/>
                  <w:tcBorders>
                    <w:tl2br w:val="nil"/>
                    <w:tr2bl w:val="nil"/>
                  </w:tcBorders>
                  <w:vAlign w:val="center"/>
                </w:tcPr>
                <w:p w14:paraId="1F9DBDC3">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cs="Times New Roman"/>
                      <w:color w:val="000000"/>
                      <w:kern w:val="21"/>
                      <w:sz w:val="21"/>
                      <w:szCs w:val="21"/>
                      <w:u w:val="none"/>
                      <w:lang w:val="en-US" w:eastAsia="zh-CN"/>
                    </w:rPr>
                  </w:pPr>
                </w:p>
              </w:tc>
            </w:tr>
            <w:tr w14:paraId="5184D3C3">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30" w:hRule="atLeast"/>
                <w:jc w:val="center"/>
              </w:trPr>
              <w:tc>
                <w:tcPr>
                  <w:tcW w:w="442" w:type="dxa"/>
                  <w:vMerge w:val="continue"/>
                  <w:tcBorders>
                    <w:tl2br w:val="nil"/>
                    <w:tr2bl w:val="nil"/>
                  </w:tcBorders>
                  <w:vAlign w:val="center"/>
                </w:tcPr>
                <w:p w14:paraId="605B5F71">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2E8E0803">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kern w:val="21"/>
                      <w:sz w:val="21"/>
                      <w:szCs w:val="21"/>
                      <w:u w:val="none"/>
                      <w:lang w:eastAsia="zh-CN"/>
                    </w:rPr>
                  </w:pPr>
                </w:p>
              </w:tc>
              <w:tc>
                <w:tcPr>
                  <w:tcW w:w="1973" w:type="dxa"/>
                  <w:gridSpan w:val="2"/>
                  <w:tcBorders>
                    <w:tl2br w:val="nil"/>
                    <w:tr2bl w:val="nil"/>
                  </w:tcBorders>
                  <w:vAlign w:val="center"/>
                </w:tcPr>
                <w:p w14:paraId="3437932C">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化妆废气</w:t>
                  </w:r>
                </w:p>
              </w:tc>
              <w:tc>
                <w:tcPr>
                  <w:tcW w:w="4033" w:type="dxa"/>
                  <w:tcBorders>
                    <w:tl2br w:val="nil"/>
                    <w:tr2bl w:val="nil"/>
                  </w:tcBorders>
                  <w:vAlign w:val="center"/>
                </w:tcPr>
                <w:p w14:paraId="3E8DC5AC">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产生量少，化妆间二次密闭，无组织排放</w:t>
                  </w:r>
                </w:p>
              </w:tc>
              <w:tc>
                <w:tcPr>
                  <w:tcW w:w="1201" w:type="dxa"/>
                  <w:vMerge w:val="continue"/>
                  <w:tcBorders>
                    <w:tl2br w:val="nil"/>
                    <w:tr2bl w:val="nil"/>
                  </w:tcBorders>
                  <w:vAlign w:val="center"/>
                </w:tcPr>
                <w:p w14:paraId="0B1B909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cs="Times New Roman"/>
                      <w:color w:val="000000"/>
                      <w:kern w:val="21"/>
                      <w:sz w:val="21"/>
                      <w:szCs w:val="21"/>
                      <w:u w:val="none"/>
                      <w:lang w:val="en-US" w:eastAsia="zh-CN"/>
                    </w:rPr>
                  </w:pPr>
                </w:p>
              </w:tc>
            </w:tr>
            <w:tr w14:paraId="02B3AB01">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30" w:hRule="atLeast"/>
                <w:jc w:val="center"/>
              </w:trPr>
              <w:tc>
                <w:tcPr>
                  <w:tcW w:w="442" w:type="dxa"/>
                  <w:vMerge w:val="continue"/>
                  <w:tcBorders>
                    <w:tl2br w:val="nil"/>
                    <w:tr2bl w:val="nil"/>
                  </w:tcBorders>
                  <w:vAlign w:val="center"/>
                </w:tcPr>
                <w:p w14:paraId="15406E80">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0C5DD8E4">
                  <w:pPr>
                    <w:widowControl w:val="0"/>
                    <w:wordWrap/>
                    <w:autoSpaceDE w:val="0"/>
                    <w:autoSpaceDN w:val="0"/>
                    <w:adjustRightInd/>
                    <w:snapToGrid/>
                    <w:spacing w:beforeAutospacing="0" w:after="0" w:afterAutospacing="0" w:line="360" w:lineRule="exact"/>
                    <w:jc w:val="center"/>
                    <w:textAlignment w:val="auto"/>
                    <w:rPr>
                      <w:rFonts w:hint="eastAsia" w:ascii="Times New Roman" w:hAnsi="Times New Roman" w:cs="Times New Roman"/>
                      <w:color w:val="000000"/>
                      <w:kern w:val="21"/>
                      <w:sz w:val="21"/>
                      <w:szCs w:val="21"/>
                      <w:u w:val="none"/>
                      <w:lang w:eastAsia="zh-CN"/>
                    </w:rPr>
                  </w:pPr>
                </w:p>
              </w:tc>
              <w:tc>
                <w:tcPr>
                  <w:tcW w:w="1973" w:type="dxa"/>
                  <w:gridSpan w:val="2"/>
                  <w:tcBorders>
                    <w:tl2br w:val="nil"/>
                    <w:tr2bl w:val="nil"/>
                  </w:tcBorders>
                  <w:vAlign w:val="center"/>
                </w:tcPr>
                <w:p w14:paraId="4222E388">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粉碎</w:t>
                  </w:r>
                </w:p>
              </w:tc>
              <w:tc>
                <w:tcPr>
                  <w:tcW w:w="4033" w:type="dxa"/>
                  <w:tcBorders>
                    <w:tl2br w:val="nil"/>
                    <w:tr2bl w:val="nil"/>
                  </w:tcBorders>
                  <w:vAlign w:val="center"/>
                </w:tcPr>
                <w:p w14:paraId="04605483">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color="auto"/>
                      <w:lang w:val="en-US" w:eastAsia="zh-CN"/>
                      <w14:textFill>
                        <w14:solidFill>
                          <w14:schemeClr w14:val="tx1"/>
                        </w14:solidFill>
                      </w14:textFill>
                    </w:rPr>
                    <w:t>车间二次密闭</w:t>
                  </w:r>
                </w:p>
              </w:tc>
              <w:tc>
                <w:tcPr>
                  <w:tcW w:w="1201" w:type="dxa"/>
                  <w:vMerge w:val="continue"/>
                  <w:tcBorders>
                    <w:tl2br w:val="nil"/>
                    <w:tr2bl w:val="nil"/>
                  </w:tcBorders>
                  <w:vAlign w:val="center"/>
                </w:tcPr>
                <w:p w14:paraId="0CB28829">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eastAsia" w:ascii="Times New Roman" w:hAnsi="Times New Roman" w:cs="Times New Roman"/>
                      <w:color w:val="000000"/>
                      <w:kern w:val="21"/>
                      <w:sz w:val="21"/>
                      <w:szCs w:val="21"/>
                      <w:u w:val="none"/>
                      <w:lang w:val="en-US" w:eastAsia="zh-CN"/>
                    </w:rPr>
                  </w:pPr>
                </w:p>
              </w:tc>
            </w:tr>
            <w:tr w14:paraId="43A680C5">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5AA34AF3">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tcBorders>
                    <w:tl2br w:val="nil"/>
                    <w:tr2bl w:val="nil"/>
                  </w:tcBorders>
                  <w:vAlign w:val="center"/>
                </w:tcPr>
                <w:p w14:paraId="530A4FED">
                  <w:pPr>
                    <w:widowControl w:val="0"/>
                    <w:wordWrap/>
                    <w:autoSpaceDE w:val="0"/>
                    <w:autoSpaceDN w:val="0"/>
                    <w:adjustRightInd/>
                    <w:snapToGrid/>
                    <w:spacing w:beforeAutospacing="0" w:after="0" w:afterAutospacing="0" w:line="360" w:lineRule="exact"/>
                    <w:ind w:left="0" w:leftChars="0" w:right="0"/>
                    <w:jc w:val="center"/>
                    <w:textAlignment w:val="auto"/>
                    <w:rPr>
                      <w:rFonts w:hint="eastAsia" w:ascii="Times New Roman" w:hAnsi="Times New Roman" w:eastAsia="宋体" w:cs="Times New Roman"/>
                      <w:color w:val="000000"/>
                      <w:kern w:val="21"/>
                      <w:sz w:val="21"/>
                      <w:szCs w:val="21"/>
                      <w:u w:val="none"/>
                      <w:lang w:eastAsia="zh-CN"/>
                    </w:rPr>
                  </w:pPr>
                  <w:r>
                    <w:rPr>
                      <w:rFonts w:hint="eastAsia" w:ascii="Times New Roman" w:hAnsi="Times New Roman" w:eastAsia="宋体" w:cs="Times New Roman"/>
                      <w:color w:val="000000"/>
                      <w:kern w:val="21"/>
                      <w:sz w:val="21"/>
                      <w:szCs w:val="21"/>
                      <w:u w:val="none"/>
                      <w:lang w:eastAsia="zh-CN"/>
                    </w:rPr>
                    <w:t>废水</w:t>
                  </w:r>
                </w:p>
              </w:tc>
              <w:tc>
                <w:tcPr>
                  <w:tcW w:w="1973" w:type="dxa"/>
                  <w:gridSpan w:val="2"/>
                  <w:tcBorders>
                    <w:tl2br w:val="nil"/>
                    <w:tr2bl w:val="nil"/>
                  </w:tcBorders>
                  <w:vAlign w:val="center"/>
                </w:tcPr>
                <w:p w14:paraId="2EBA74B3">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eastAsia="宋体" w:cs="Times New Roman"/>
                      <w:color w:val="000000"/>
                      <w:sz w:val="21"/>
                      <w:szCs w:val="21"/>
                      <w:u w:val="none"/>
                      <w:lang w:val="en-US" w:eastAsia="zh-CN"/>
                    </w:rPr>
                  </w:pPr>
                  <w:r>
                    <w:rPr>
                      <w:rFonts w:hint="eastAsia" w:ascii="Times New Roman" w:hAnsi="Times New Roman" w:cs="Times New Roman"/>
                      <w:bCs/>
                      <w:color w:val="000000"/>
                      <w:sz w:val="21"/>
                      <w:szCs w:val="21"/>
                      <w:lang w:val="en-US" w:eastAsia="zh-CN"/>
                    </w:rPr>
                    <w:t>职工生活污水</w:t>
                  </w:r>
                </w:p>
              </w:tc>
              <w:tc>
                <w:tcPr>
                  <w:tcW w:w="4033" w:type="dxa"/>
                  <w:tcBorders>
                    <w:tl2br w:val="nil"/>
                    <w:tr2bl w:val="nil"/>
                  </w:tcBorders>
                  <w:vAlign w:val="center"/>
                </w:tcPr>
                <w:p w14:paraId="70EF651D">
                  <w:pPr>
                    <w:widowControl w:val="0"/>
                    <w:wordWrap/>
                    <w:autoSpaceDE w:val="0"/>
                    <w:autoSpaceDN w:val="0"/>
                    <w:adjustRightInd/>
                    <w:snapToGrid/>
                    <w:spacing w:beforeAutospacing="0" w:after="0" w:afterAutospacing="0" w:line="360" w:lineRule="exact"/>
                    <w:ind w:left="0" w:leftChars="0" w:right="0"/>
                    <w:jc w:val="both"/>
                    <w:textAlignment w:val="auto"/>
                    <w:outlineLvl w:val="1"/>
                    <w:rPr>
                      <w:rFonts w:hint="eastAsia" w:ascii="Times New Roman" w:hAnsi="Times New Roman" w:eastAsia="宋体" w:cs="Times New Roman"/>
                      <w:color w:val="000000"/>
                      <w:sz w:val="21"/>
                      <w:szCs w:val="21"/>
                      <w:u w:val="none"/>
                      <w:lang w:val="en-US" w:eastAsia="zh-CN"/>
                    </w:rPr>
                  </w:pPr>
                  <w:r>
                    <w:rPr>
                      <w:rFonts w:hint="eastAsia" w:ascii="Times New Roman" w:hAnsi="Times New Roman" w:cs="Times New Roman"/>
                      <w:sz w:val="21"/>
                      <w:szCs w:val="21"/>
                      <w:u w:val="none" w:color="auto"/>
                      <w:lang w:val="en-US" w:eastAsia="zh-CN"/>
                    </w:rPr>
                    <w:t>依托化粪池</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（20m</w:t>
                  </w:r>
                  <w:r>
                    <w:rPr>
                      <w:rFonts w:hint="eastAsia" w:ascii="Times New Roman" w:hAnsi="Times New Roman" w:cs="宋体"/>
                      <w:color w:val="000000" w:themeColor="text1"/>
                      <w:kern w:val="0"/>
                      <w:sz w:val="21"/>
                      <w:szCs w:val="21"/>
                      <w:u w:val="none" w:color="auto"/>
                      <w:vertAlign w:val="superscript"/>
                      <w:lang w:val="en-US" w:eastAsia="zh-CN" w:bidi="zh-CN"/>
                      <w14:textFill>
                        <w14:solidFill>
                          <w14:schemeClr w14:val="tx1"/>
                        </w14:solidFill>
                      </w14:textFill>
                    </w:rPr>
                    <w:t>3</w:t>
                  </w:r>
                  <w:r>
                    <w:rPr>
                      <w:rFonts w:hint="eastAsia" w:ascii="Times New Roman" w:hAnsi="Times New Roman" w:cs="宋体"/>
                      <w:color w:val="000000" w:themeColor="text1"/>
                      <w:kern w:val="0"/>
                      <w:sz w:val="21"/>
                      <w:szCs w:val="21"/>
                      <w:u w:val="none" w:color="auto"/>
                      <w:lang w:val="en-US" w:eastAsia="zh-CN" w:bidi="zh-CN"/>
                      <w14:textFill>
                        <w14:solidFill>
                          <w14:schemeClr w14:val="tx1"/>
                        </w14:solidFill>
                      </w14:textFill>
                    </w:rPr>
                    <w:t>）</w:t>
                  </w:r>
                  <w:r>
                    <w:rPr>
                      <w:rFonts w:hint="eastAsia" w:ascii="Times New Roman" w:hAnsi="Times New Roman" w:cs="Times New Roman"/>
                      <w:sz w:val="21"/>
                      <w:szCs w:val="21"/>
                      <w:u w:val="none" w:color="auto"/>
                      <w:lang w:val="en-US" w:eastAsia="zh-CN"/>
                    </w:rPr>
                    <w:t>处理后进入许昌市鸿瀚环境技术管理有限公司</w:t>
                  </w:r>
                </w:p>
              </w:tc>
              <w:tc>
                <w:tcPr>
                  <w:tcW w:w="1201" w:type="dxa"/>
                  <w:tcBorders>
                    <w:tl2br w:val="nil"/>
                    <w:tr2bl w:val="nil"/>
                  </w:tcBorders>
                  <w:vAlign w:val="center"/>
                </w:tcPr>
                <w:p w14:paraId="50E458D7">
                  <w:pPr>
                    <w:widowControl w:val="0"/>
                    <w:wordWrap/>
                    <w:autoSpaceDE w:val="0"/>
                    <w:autoSpaceDN w:val="0"/>
                    <w:adjustRightInd/>
                    <w:snapToGrid/>
                    <w:spacing w:beforeAutospacing="0" w:after="0" w:afterAutospacing="0" w:line="360" w:lineRule="exact"/>
                    <w:ind w:left="0" w:leftChars="0" w:right="0"/>
                    <w:jc w:val="center"/>
                    <w:textAlignment w:val="auto"/>
                    <w:outlineLvl w:val="1"/>
                    <w:rPr>
                      <w:rFonts w:hint="default" w:ascii="Times New Roman" w:hAnsi="Times New Roman" w:eastAsia="宋体"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0</w:t>
                  </w:r>
                </w:p>
              </w:tc>
            </w:tr>
            <w:tr w14:paraId="7AC6A1BC">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312" w:hRule="atLeast"/>
                <w:jc w:val="center"/>
              </w:trPr>
              <w:tc>
                <w:tcPr>
                  <w:tcW w:w="442" w:type="dxa"/>
                  <w:vMerge w:val="continue"/>
                  <w:tcBorders>
                    <w:tl2br w:val="nil"/>
                    <w:tr2bl w:val="nil"/>
                  </w:tcBorders>
                  <w:vAlign w:val="center"/>
                </w:tcPr>
                <w:p w14:paraId="5DE4A2CF">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restart"/>
                  <w:tcBorders>
                    <w:tl2br w:val="nil"/>
                    <w:tr2bl w:val="nil"/>
                  </w:tcBorders>
                  <w:vAlign w:val="center"/>
                </w:tcPr>
                <w:p w14:paraId="49D5471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default" w:ascii="Times New Roman" w:hAnsi="Times New Roman" w:cs="宋体"/>
                      <w:color w:val="000000"/>
                      <w:kern w:val="0"/>
                      <w:sz w:val="21"/>
                      <w:szCs w:val="21"/>
                      <w:u w:val="none"/>
                      <w:lang w:val="en-US" w:eastAsia="zh-CN" w:bidi="zh-CN"/>
                    </w:rPr>
                    <w:t>固废</w:t>
                  </w:r>
                </w:p>
              </w:tc>
              <w:tc>
                <w:tcPr>
                  <w:tcW w:w="788" w:type="dxa"/>
                  <w:vMerge w:val="restart"/>
                  <w:tcBorders>
                    <w:tl2br w:val="nil"/>
                    <w:tr2bl w:val="nil"/>
                  </w:tcBorders>
                  <w:vAlign w:val="center"/>
                </w:tcPr>
                <w:p w14:paraId="6CE8039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default" w:ascii="Times New Roman" w:hAnsi="Times New Roman" w:cs="宋体"/>
                      <w:color w:val="000000"/>
                      <w:kern w:val="0"/>
                      <w:sz w:val="21"/>
                      <w:szCs w:val="21"/>
                      <w:u w:val="none"/>
                      <w:lang w:val="en-US" w:eastAsia="zh-CN" w:bidi="zh-CN"/>
                    </w:rPr>
                    <w:t>一般固废</w:t>
                  </w:r>
                </w:p>
              </w:tc>
              <w:tc>
                <w:tcPr>
                  <w:tcW w:w="1185" w:type="dxa"/>
                  <w:tcBorders>
                    <w:tl2br w:val="nil"/>
                    <w:tr2bl w:val="nil"/>
                  </w:tcBorders>
                  <w:vAlign w:val="center"/>
                </w:tcPr>
                <w:p w14:paraId="2B29715D">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宋体"/>
                      <w:color w:val="000000"/>
                      <w:kern w:val="0"/>
                      <w:sz w:val="21"/>
                      <w:szCs w:val="21"/>
                      <w:u w:val="none"/>
                      <w:lang w:val="en-US" w:eastAsia="zh-CN" w:bidi="zh-CN"/>
                    </w:rPr>
                  </w:pPr>
                  <w:r>
                    <w:rPr>
                      <w:rFonts w:hint="eastAsia" w:ascii="Times New Roman" w:hAnsi="Times New Roman" w:eastAsia="宋体" w:cs="Times New Roman"/>
                      <w:sz w:val="21"/>
                      <w:szCs w:val="21"/>
                      <w:u w:val="none" w:color="auto"/>
                      <w:lang w:val="en-US" w:eastAsia="zh-CN"/>
                    </w:rPr>
                    <w:t>生活垃圾</w:t>
                  </w:r>
                </w:p>
              </w:tc>
              <w:tc>
                <w:tcPr>
                  <w:tcW w:w="4033" w:type="dxa"/>
                  <w:tcBorders>
                    <w:tl2br w:val="nil"/>
                    <w:tr2bl w:val="nil"/>
                  </w:tcBorders>
                  <w:vAlign w:val="center"/>
                </w:tcPr>
                <w:p w14:paraId="5C786E57">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环卫部门定期清运</w:t>
                  </w:r>
                </w:p>
              </w:tc>
              <w:tc>
                <w:tcPr>
                  <w:tcW w:w="1201" w:type="dxa"/>
                  <w:tcBorders>
                    <w:tl2br w:val="nil"/>
                    <w:tr2bl w:val="nil"/>
                  </w:tcBorders>
                  <w:vAlign w:val="center"/>
                </w:tcPr>
                <w:p w14:paraId="03757D2B">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0.5</w:t>
                  </w:r>
                </w:p>
              </w:tc>
            </w:tr>
            <w:tr w14:paraId="0C84209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00" w:hRule="atLeast"/>
                <w:jc w:val="center"/>
              </w:trPr>
              <w:tc>
                <w:tcPr>
                  <w:tcW w:w="442" w:type="dxa"/>
                  <w:vMerge w:val="continue"/>
                  <w:tcBorders>
                    <w:tl2br w:val="nil"/>
                    <w:tr2bl w:val="nil"/>
                  </w:tcBorders>
                  <w:vAlign w:val="center"/>
                </w:tcPr>
                <w:p w14:paraId="1A786B4C">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762CA11C">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788" w:type="dxa"/>
                  <w:vMerge w:val="continue"/>
                  <w:tcBorders>
                    <w:tl2br w:val="nil"/>
                    <w:tr2bl w:val="nil"/>
                  </w:tcBorders>
                  <w:vAlign w:val="center"/>
                </w:tcPr>
                <w:p w14:paraId="72882713">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1185" w:type="dxa"/>
                  <w:tcBorders>
                    <w:tl2br w:val="nil"/>
                    <w:tr2bl w:val="nil"/>
                  </w:tcBorders>
                  <w:vAlign w:val="center"/>
                </w:tcPr>
                <w:p w14:paraId="560527C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宋体"/>
                      <w:color w:val="000000"/>
                      <w:kern w:val="0"/>
                      <w:sz w:val="21"/>
                      <w:szCs w:val="21"/>
                      <w:u w:val="none"/>
                      <w:lang w:val="en-US" w:eastAsia="zh-CN" w:bidi="zh-CN"/>
                    </w:rPr>
                  </w:pPr>
                  <w:r>
                    <w:rPr>
                      <w:rFonts w:hint="eastAsia" w:ascii="Times New Roman" w:hAnsi="Times New Roman" w:cs="Times New Roman"/>
                      <w:sz w:val="21"/>
                      <w:szCs w:val="21"/>
                      <w:u w:val="none" w:color="auto"/>
                      <w:lang w:val="en-US" w:eastAsia="zh-CN"/>
                    </w:rPr>
                    <w:t>废包装袋</w:t>
                  </w:r>
                </w:p>
              </w:tc>
              <w:tc>
                <w:tcPr>
                  <w:tcW w:w="4033" w:type="dxa"/>
                  <w:vMerge w:val="restart"/>
                  <w:tcBorders>
                    <w:tl2br w:val="nil"/>
                    <w:tr2bl w:val="nil"/>
                  </w:tcBorders>
                  <w:vAlign w:val="center"/>
                </w:tcPr>
                <w:p w14:paraId="08613FED">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一般固废暂存间（10m</w:t>
                  </w:r>
                  <w:r>
                    <w:rPr>
                      <w:rFonts w:hint="eastAsia" w:ascii="Times New Roman" w:hAnsi="Times New Roman" w:cs="宋体"/>
                      <w:color w:val="000000"/>
                      <w:kern w:val="0"/>
                      <w:sz w:val="21"/>
                      <w:szCs w:val="21"/>
                      <w:u w:val="none"/>
                      <w:vertAlign w:val="superscript"/>
                      <w:lang w:val="en-US" w:eastAsia="zh-CN" w:bidi="zh-CN"/>
                    </w:rPr>
                    <w:t>2</w:t>
                  </w:r>
                  <w:r>
                    <w:rPr>
                      <w:rFonts w:hint="eastAsia" w:ascii="Times New Roman" w:hAnsi="Times New Roman" w:cs="宋体"/>
                      <w:color w:val="000000"/>
                      <w:kern w:val="0"/>
                      <w:sz w:val="21"/>
                      <w:szCs w:val="21"/>
                      <w:u w:val="none"/>
                      <w:lang w:val="en-US" w:eastAsia="zh-CN" w:bidi="zh-CN"/>
                    </w:rPr>
                    <w:t>）暂存后外售综合利用</w:t>
                  </w:r>
                </w:p>
              </w:tc>
              <w:tc>
                <w:tcPr>
                  <w:tcW w:w="1201" w:type="dxa"/>
                  <w:vMerge w:val="restart"/>
                  <w:tcBorders>
                    <w:tl2br w:val="nil"/>
                    <w:tr2bl w:val="nil"/>
                  </w:tcBorders>
                  <w:vAlign w:val="center"/>
                </w:tcPr>
                <w:p w14:paraId="2F9847D3">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0.5</w:t>
                  </w:r>
                </w:p>
              </w:tc>
            </w:tr>
            <w:tr w14:paraId="1CF60299">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100" w:hRule="atLeast"/>
                <w:jc w:val="center"/>
              </w:trPr>
              <w:tc>
                <w:tcPr>
                  <w:tcW w:w="442" w:type="dxa"/>
                  <w:vMerge w:val="continue"/>
                  <w:tcBorders>
                    <w:tl2br w:val="nil"/>
                    <w:tr2bl w:val="nil"/>
                  </w:tcBorders>
                  <w:vAlign w:val="center"/>
                </w:tcPr>
                <w:p w14:paraId="2B1D29BE">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350CD4E6">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788" w:type="dxa"/>
                  <w:vMerge w:val="continue"/>
                  <w:tcBorders>
                    <w:tl2br w:val="nil"/>
                    <w:tr2bl w:val="nil"/>
                  </w:tcBorders>
                  <w:vAlign w:val="center"/>
                </w:tcPr>
                <w:p w14:paraId="7C8D3B68">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1185" w:type="dxa"/>
                  <w:tcBorders>
                    <w:tl2br w:val="nil"/>
                    <w:tr2bl w:val="nil"/>
                  </w:tcBorders>
                  <w:vAlign w:val="center"/>
                </w:tcPr>
                <w:p w14:paraId="466CF410">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废化妆瓶</w:t>
                  </w:r>
                </w:p>
              </w:tc>
              <w:tc>
                <w:tcPr>
                  <w:tcW w:w="4033" w:type="dxa"/>
                  <w:vMerge w:val="continue"/>
                  <w:tcBorders>
                    <w:tl2br w:val="nil"/>
                    <w:tr2bl w:val="nil"/>
                  </w:tcBorders>
                  <w:vAlign w:val="center"/>
                </w:tcPr>
                <w:p w14:paraId="368D7615">
                  <w:pPr>
                    <w:widowControl w:val="0"/>
                    <w:wordWrap/>
                    <w:adjustRightInd w:val="0"/>
                    <w:snapToGrid w:val="0"/>
                    <w:spacing w:beforeAutospacing="0" w:afterAutospacing="0" w:line="360" w:lineRule="exact"/>
                    <w:ind w:left="0" w:leftChars="0" w:right="0"/>
                    <w:jc w:val="center"/>
                    <w:textAlignment w:val="auto"/>
                    <w:rPr>
                      <w:rFonts w:hint="eastAsia" w:ascii="Times New Roman" w:hAnsi="Times New Roman" w:cs="宋体"/>
                      <w:color w:val="000000"/>
                      <w:kern w:val="0"/>
                      <w:sz w:val="21"/>
                      <w:szCs w:val="21"/>
                      <w:u w:val="none"/>
                      <w:lang w:val="en-US" w:eastAsia="zh-CN" w:bidi="zh-CN"/>
                    </w:rPr>
                  </w:pPr>
                </w:p>
              </w:tc>
              <w:tc>
                <w:tcPr>
                  <w:tcW w:w="1201" w:type="dxa"/>
                  <w:vMerge w:val="continue"/>
                  <w:tcBorders>
                    <w:tl2br w:val="nil"/>
                    <w:tr2bl w:val="nil"/>
                  </w:tcBorders>
                  <w:vAlign w:val="center"/>
                </w:tcPr>
                <w:p w14:paraId="60736941">
                  <w:pPr>
                    <w:widowControl w:val="0"/>
                    <w:wordWrap/>
                    <w:autoSpaceDE w:val="0"/>
                    <w:autoSpaceDN w:val="0"/>
                    <w:adjustRightInd/>
                    <w:snapToGrid/>
                    <w:spacing w:beforeAutospacing="0" w:after="0" w:afterAutospacing="0" w:line="360" w:lineRule="exact"/>
                    <w:jc w:val="center"/>
                    <w:textAlignment w:val="auto"/>
                    <w:outlineLvl w:val="1"/>
                    <w:rPr>
                      <w:rFonts w:hint="eastAsia" w:ascii="Times New Roman" w:hAnsi="Times New Roman" w:cs="Times New Roman"/>
                      <w:color w:val="000000"/>
                      <w:kern w:val="21"/>
                      <w:sz w:val="21"/>
                      <w:szCs w:val="21"/>
                      <w:u w:val="none"/>
                      <w:lang w:val="en-US" w:eastAsia="zh-CN"/>
                    </w:rPr>
                  </w:pPr>
                </w:p>
              </w:tc>
            </w:tr>
            <w:tr w14:paraId="1D60B58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442" w:type="dxa"/>
                  <w:vMerge w:val="continue"/>
                  <w:tcBorders>
                    <w:tl2br w:val="nil"/>
                    <w:tr2bl w:val="nil"/>
                  </w:tcBorders>
                  <w:vAlign w:val="center"/>
                </w:tcPr>
                <w:p w14:paraId="7111FB3F">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vMerge w:val="continue"/>
                  <w:tcBorders>
                    <w:tl2br w:val="nil"/>
                    <w:tr2bl w:val="nil"/>
                  </w:tcBorders>
                  <w:vAlign w:val="center"/>
                </w:tcPr>
                <w:p w14:paraId="6676325B">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p>
              </w:tc>
              <w:tc>
                <w:tcPr>
                  <w:tcW w:w="788" w:type="dxa"/>
                  <w:tcBorders>
                    <w:tl2br w:val="nil"/>
                    <w:tr2bl w:val="nil"/>
                  </w:tcBorders>
                  <w:vAlign w:val="center"/>
                </w:tcPr>
                <w:p w14:paraId="23C94561">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危险废物</w:t>
                  </w:r>
                </w:p>
              </w:tc>
              <w:tc>
                <w:tcPr>
                  <w:tcW w:w="1185" w:type="dxa"/>
                  <w:tcBorders>
                    <w:tl2br w:val="nil"/>
                    <w:tr2bl w:val="nil"/>
                  </w:tcBorders>
                  <w:vAlign w:val="center"/>
                </w:tcPr>
                <w:p w14:paraId="3FA161A1">
                  <w:pPr>
                    <w:widowControl w:val="0"/>
                    <w:wordWrap/>
                    <w:adjustRightInd/>
                    <w:snapToGrid/>
                    <w:spacing w:beforeAutospacing="0" w:afterAutospacing="0" w:line="360" w:lineRule="exact"/>
                    <w:ind w:left="0" w:leftChars="0" w:right="0" w:rightChars="0" w:firstLine="0" w:firstLineChars="0"/>
                    <w:jc w:val="center"/>
                    <w:textAlignment w:val="auto"/>
                    <w:outlineLvl w:val="9"/>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废活性炭</w:t>
                  </w:r>
                </w:p>
              </w:tc>
              <w:tc>
                <w:tcPr>
                  <w:tcW w:w="4033" w:type="dxa"/>
                  <w:tcBorders>
                    <w:tl2br w:val="nil"/>
                    <w:tr2bl w:val="nil"/>
                  </w:tcBorders>
                  <w:vAlign w:val="center"/>
                </w:tcPr>
                <w:p w14:paraId="2B944017">
                  <w:pPr>
                    <w:widowControl w:val="0"/>
                    <w:wordWrap/>
                    <w:adjustRightInd w:val="0"/>
                    <w:snapToGrid w:val="0"/>
                    <w:spacing w:beforeAutospacing="0" w:afterAutospacing="0" w:line="360" w:lineRule="exact"/>
                    <w:ind w:left="0" w:leftChars="0" w:right="0"/>
                    <w:jc w:val="center"/>
                    <w:textAlignment w:val="auto"/>
                    <w:rPr>
                      <w:rFonts w:hint="default" w:ascii="Times New Roman" w:hAnsi="Times New Roman" w:cs="宋体"/>
                      <w:color w:val="000000"/>
                      <w:kern w:val="0"/>
                      <w:sz w:val="21"/>
                      <w:szCs w:val="21"/>
                      <w:u w:val="none"/>
                      <w:lang w:val="en-US" w:eastAsia="zh-CN" w:bidi="zh-CN"/>
                    </w:rPr>
                  </w:pPr>
                  <w:r>
                    <w:rPr>
                      <w:rFonts w:hint="eastAsia" w:ascii="Times New Roman" w:hAnsi="Times New Roman" w:cs="宋体"/>
                      <w:color w:val="000000"/>
                      <w:kern w:val="0"/>
                      <w:sz w:val="21"/>
                      <w:szCs w:val="21"/>
                      <w:u w:val="none"/>
                      <w:lang w:val="en-US" w:eastAsia="zh-CN" w:bidi="zh-CN"/>
                    </w:rPr>
                    <w:t>危废暂存间暂存（10m</w:t>
                  </w:r>
                  <w:r>
                    <w:rPr>
                      <w:rFonts w:hint="eastAsia" w:ascii="Times New Roman" w:hAnsi="Times New Roman" w:cs="宋体"/>
                      <w:color w:val="000000"/>
                      <w:kern w:val="0"/>
                      <w:sz w:val="21"/>
                      <w:szCs w:val="21"/>
                      <w:u w:val="none"/>
                      <w:vertAlign w:val="superscript"/>
                      <w:lang w:val="en-US" w:eastAsia="zh-CN" w:bidi="zh-CN"/>
                    </w:rPr>
                    <w:t>2</w:t>
                  </w:r>
                  <w:r>
                    <w:rPr>
                      <w:rFonts w:hint="eastAsia" w:ascii="Times New Roman" w:hAnsi="Times New Roman" w:cs="宋体"/>
                      <w:color w:val="000000"/>
                      <w:kern w:val="0"/>
                      <w:sz w:val="21"/>
                      <w:szCs w:val="21"/>
                      <w:u w:val="none"/>
                      <w:lang w:val="en-US" w:eastAsia="zh-CN" w:bidi="zh-CN"/>
                    </w:rPr>
                    <w:t>），定期交有资质单位处理</w:t>
                  </w:r>
                </w:p>
              </w:tc>
              <w:tc>
                <w:tcPr>
                  <w:tcW w:w="1201" w:type="dxa"/>
                  <w:tcBorders>
                    <w:tl2br w:val="nil"/>
                    <w:tr2bl w:val="nil"/>
                  </w:tcBorders>
                  <w:vAlign w:val="center"/>
                </w:tcPr>
                <w:p w14:paraId="70685F39">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2</w:t>
                  </w:r>
                </w:p>
              </w:tc>
            </w:tr>
            <w:tr w14:paraId="1F12132D">
              <w:tblPrEx>
                <w:tblBorders>
                  <w:top w:val="single" w:color="000040" w:sz="4" w:space="0"/>
                  <w:left w:val="single" w:color="000040" w:sz="4" w:space="0"/>
                  <w:bottom w:val="single" w:color="000040" w:sz="4" w:space="0"/>
                  <w:right w:val="single" w:color="000040" w:sz="4" w:space="0"/>
                  <w:insideH w:val="single" w:color="000040" w:sz="4" w:space="0"/>
                  <w:insideV w:val="single" w:color="000040" w:sz="4" w:space="0"/>
                </w:tblBorders>
                <w:tblCellMar>
                  <w:top w:w="0" w:type="dxa"/>
                  <w:left w:w="108" w:type="dxa"/>
                  <w:bottom w:w="0" w:type="dxa"/>
                  <w:right w:w="108" w:type="dxa"/>
                </w:tblCellMar>
              </w:tblPrEx>
              <w:trPr>
                <w:trHeight w:val="710" w:hRule="atLeast"/>
                <w:jc w:val="center"/>
              </w:trPr>
              <w:tc>
                <w:tcPr>
                  <w:tcW w:w="442" w:type="dxa"/>
                  <w:vMerge w:val="continue"/>
                  <w:tcBorders>
                    <w:tl2br w:val="nil"/>
                    <w:tr2bl w:val="nil"/>
                  </w:tcBorders>
                  <w:vAlign w:val="center"/>
                </w:tcPr>
                <w:p w14:paraId="44C5B94A">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p>
              </w:tc>
              <w:tc>
                <w:tcPr>
                  <w:tcW w:w="576" w:type="dxa"/>
                  <w:tcBorders>
                    <w:tl2br w:val="nil"/>
                    <w:tr2bl w:val="nil"/>
                  </w:tcBorders>
                  <w:vAlign w:val="center"/>
                </w:tcPr>
                <w:p w14:paraId="364CFE31">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噪声</w:t>
                  </w:r>
                </w:p>
              </w:tc>
              <w:tc>
                <w:tcPr>
                  <w:tcW w:w="6006" w:type="dxa"/>
                  <w:gridSpan w:val="3"/>
                  <w:tcBorders>
                    <w:tl2br w:val="nil"/>
                    <w:tr2bl w:val="nil"/>
                  </w:tcBorders>
                  <w:vAlign w:val="center"/>
                </w:tcPr>
                <w:p w14:paraId="44CCB462">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rPr>
                  </w:pPr>
                  <w:r>
                    <w:rPr>
                      <w:rFonts w:hint="default" w:ascii="Times New Roman" w:hAnsi="Times New Roman" w:eastAsia="宋体" w:cs="Times New Roman"/>
                      <w:color w:val="000000"/>
                      <w:kern w:val="21"/>
                      <w:sz w:val="21"/>
                      <w:szCs w:val="21"/>
                      <w:u w:val="none"/>
                    </w:rPr>
                    <w:t>高噪声设备采取减振、消声、隔声等综合措施</w:t>
                  </w:r>
                </w:p>
              </w:tc>
              <w:tc>
                <w:tcPr>
                  <w:tcW w:w="1201" w:type="dxa"/>
                  <w:tcBorders>
                    <w:tl2br w:val="nil"/>
                    <w:tr2bl w:val="nil"/>
                  </w:tcBorders>
                  <w:vAlign w:val="center"/>
                </w:tcPr>
                <w:p w14:paraId="4A61DD5F">
                  <w:pPr>
                    <w:widowControl w:val="0"/>
                    <w:wordWrap/>
                    <w:autoSpaceDE w:val="0"/>
                    <w:autoSpaceDN w:val="0"/>
                    <w:adjustRightInd/>
                    <w:snapToGrid/>
                    <w:spacing w:beforeAutospacing="0" w:after="0" w:afterAutospacing="0" w:line="360" w:lineRule="exact"/>
                    <w:jc w:val="center"/>
                    <w:textAlignment w:val="auto"/>
                    <w:outlineLvl w:val="1"/>
                    <w:rPr>
                      <w:rFonts w:hint="default" w:ascii="Times New Roman" w:hAnsi="Times New Roman" w:eastAsia="宋体" w:cs="Times New Roman"/>
                      <w:color w:val="000000"/>
                      <w:kern w:val="21"/>
                      <w:sz w:val="21"/>
                      <w:szCs w:val="21"/>
                      <w:u w:val="none"/>
                      <w:lang w:val="en-US" w:eastAsia="zh-CN"/>
                    </w:rPr>
                  </w:pPr>
                  <w:r>
                    <w:rPr>
                      <w:rFonts w:hint="eastAsia" w:ascii="Times New Roman" w:hAnsi="Times New Roman" w:cs="Times New Roman"/>
                      <w:color w:val="000000"/>
                      <w:kern w:val="21"/>
                      <w:sz w:val="21"/>
                      <w:szCs w:val="21"/>
                      <w:u w:val="none"/>
                      <w:lang w:val="en-US" w:eastAsia="zh-CN"/>
                    </w:rPr>
                    <w:t>2</w:t>
                  </w:r>
                </w:p>
              </w:tc>
            </w:tr>
          </w:tbl>
          <w:p w14:paraId="4036BAD3">
            <w:pPr>
              <w:pStyle w:val="44"/>
              <w:widowControl w:val="0"/>
              <w:numPr>
                <w:ilvl w:val="0"/>
                <w:numId w:val="0"/>
              </w:numPr>
              <w:wordWrap/>
              <w:autoSpaceDE w:val="0"/>
              <w:adjustRightInd/>
              <w:snapToGrid/>
              <w:spacing w:before="0" w:beforeAutospacing="0" w:afterAutospacing="0" w:line="360" w:lineRule="auto"/>
              <w:ind w:right="0"/>
              <w:jc w:val="both"/>
              <w:textAlignment w:val="auto"/>
              <w:rPr>
                <w:rFonts w:hint="default" w:ascii="Times New Roman" w:hAnsi="Times New Roman" w:cs="Times New Roman"/>
                <w:b w:val="0"/>
                <w:bCs w:val="0"/>
                <w:color w:val="000000"/>
                <w:sz w:val="24"/>
                <w:szCs w:val="24"/>
                <w:u w:val="none"/>
                <w:lang w:val="en-US" w:eastAsia="zh-CN" w:bidi="zh-CN"/>
              </w:rPr>
            </w:pPr>
          </w:p>
        </w:tc>
      </w:tr>
    </w:tbl>
    <w:p w14:paraId="18E2F32A">
      <w:pPr>
        <w:pStyle w:val="10"/>
        <w:widowControl w:val="0"/>
        <w:wordWrap/>
        <w:autoSpaceDE w:val="0"/>
        <w:autoSpaceDN w:val="0"/>
        <w:adjustRightInd/>
        <w:snapToGrid/>
        <w:spacing w:before="58"/>
        <w:ind w:left="0" w:right="0"/>
        <w:jc w:val="center"/>
        <w:textAlignment w:val="auto"/>
      </w:pPr>
      <w:r>
        <w:t>五、环境保护措施监督检查清单</w:t>
      </w:r>
    </w:p>
    <w:tbl>
      <w:tblPr>
        <w:tblStyle w:val="23"/>
        <w:tblpPr w:leftFromText="180" w:rightFromText="180" w:vertAnchor="text" w:horzAnchor="page" w:tblpXSpec="center" w:tblpY="188"/>
        <w:tblOverlap w:val="never"/>
        <w:tblW w:w="9089"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538"/>
        <w:gridCol w:w="1562"/>
        <w:gridCol w:w="1512"/>
        <w:gridCol w:w="2298"/>
        <w:gridCol w:w="2179"/>
      </w:tblGrid>
      <w:tr w14:paraId="54652EE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1538" w:type="dxa"/>
            <w:tcBorders>
              <w:tl2br w:val="nil"/>
              <w:tr2bl w:val="nil"/>
            </w:tcBorders>
            <w:vAlign w:val="top"/>
          </w:tcPr>
          <w:p w14:paraId="57FA6DB0">
            <w:pPr>
              <w:pStyle w:val="44"/>
              <w:keepNext w:val="0"/>
              <w:keepLines w:val="0"/>
              <w:pageBreakBefore w:val="0"/>
              <w:kinsoku/>
              <w:wordWrap/>
              <w:overflowPunct/>
              <w:topLinePunct w:val="0"/>
              <w:autoSpaceDE w:val="0"/>
              <w:autoSpaceDN w:val="0"/>
              <w:bidi w:val="0"/>
              <w:spacing w:before="3" w:beforeAutospacing="0" w:afterAutospacing="0" w:line="400" w:lineRule="exact"/>
              <w:ind w:left="947"/>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zh-CN" w:eastAsia="zh-CN" w:bidi="zh-CN"/>
              </w:rPr>
              <mc:AlternateContent>
                <mc:Choice Requires="wps">
                  <w:drawing>
                    <wp:anchor distT="0" distB="0" distL="114300" distR="114300" simplePos="0" relativeHeight="251659264" behindDoc="1" locked="0" layoutInCell="1" allowOverlap="1">
                      <wp:simplePos x="0" y="0"/>
                      <wp:positionH relativeFrom="page">
                        <wp:posOffset>2540</wp:posOffset>
                      </wp:positionH>
                      <wp:positionV relativeFrom="paragraph">
                        <wp:posOffset>8255</wp:posOffset>
                      </wp:positionV>
                      <wp:extent cx="951230" cy="754380"/>
                      <wp:effectExtent l="3175" t="3810" r="17145" b="3810"/>
                      <wp:wrapNone/>
                      <wp:docPr id="25" name="Line 1026"/>
                      <wp:cNvGraphicFramePr/>
                      <a:graphic xmlns:a="http://schemas.openxmlformats.org/drawingml/2006/main">
                        <a:graphicData uri="http://schemas.microsoft.com/office/word/2010/wordprocessingShape">
                          <wps:wsp>
                            <wps:cNvCnPr/>
                            <wps:spPr>
                              <a:xfrm>
                                <a:off x="0" y="0"/>
                                <a:ext cx="951230" cy="75438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Line 1026" o:spid="_x0000_s1026" o:spt="20" style="position:absolute;left:0pt;margin-left:0.2pt;margin-top:0.65pt;height:59.4pt;width:74.9pt;mso-position-horizontal-relative:page;z-index:-251657216;mso-width-relative:page;mso-height-relative:page;" filled="f" stroked="t" coordsize="21600,21600" o:gfxdata="UEsDBAoAAAAAAIdO4kAAAAAAAAAAAAAAAAAEAAAAZHJzL1BLAwQUAAAACACHTuJAjZVjFNUAAAAG&#10;AQAADwAAAGRycy9kb3ducmV2LnhtbE2OzU7DMBCE70i8g7VI3Kid8JeGOD2AQOoBVbQVZzfeJiHx&#10;Oordpn17tie4zc6MZr9icXK9OOIYWk8akpkCgVR521KtYbt5v8tAhGjImt4TajhjgEV5fVWY3PqJ&#10;vvC4jrXgEQq50dDEOORShqpBZ8LMD0ic7f3oTORzrKUdzcTjrpepUk/SmZb4Q2MGfG2w6tYHp+Ez&#10;k29+1X1X559p85Fly27+vNxqfXuTqBcQEU/xrwwXfEaHkpl2/kA2iF7DA/fYvQdxCR9VCmLHIlUJ&#10;yLKQ//HLX1BLAwQUAAAACACHTuJADDli5OQBAADhAwAADgAAAGRycy9lMm9Eb2MueG1srVNNb9sw&#10;DL0P2H8QdF/spEvWGnF6aNZdii3Ath/ASLItQF8QlTj596PkLN26Sw7zQaZE6pHvkVo/nqxhRxVR&#10;e9fy+azmTDnhpXZ9y3/+eP5wzxkmcBKMd6rlZ4X8cfP+3XoMjVr4wRupIiMQh80YWj6kFJqqQjEo&#10;CzjzQTlydj5aSLSNfSUjjIRuTbWo61U1+ihD9EIh0ul2cvILYrwF0HedFmrrxcEqlybUqAwkooSD&#10;Dsg3pdquUyJ96zpUiZmWE9NUVkpC9j6v1WYNTR8hDFpcSoBbSnjDyYJ2lPQKtYUE7BD1P1BWi+jR&#10;d2kmvK0mIkURYjGv32jzfYCgCheSGsNVdPx/sOLrcReZli1fLDlzYKnjL9opNq8Xq6zOGLChoCe3&#10;i5cdhl3MVE9dtPlPJNipKHq+KqpOiQk6fFjOF3ektSDXp+XHu/uiePV6OURMX5S3LBstN5S66AjH&#10;F0yUkEJ/h+RcxrGx5av6YUWYQNPXUdfJtIEYoOvLXfRGy2dtTL6Bsd8/mciOkCegfJkW4f4VlpNs&#10;AYcprrim2RgUyM9OsnQOJI2jJ8FzCVZJzoyiF5QtAoQmgTa3RFJq46iCrOykZbb2Xp6pE4cQdT+Q&#10;EvNSZfZQ50u9lynNo/XnviC9vszN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2VYxTVAAAABgEA&#10;AA8AAAAAAAAAAQAgAAAAIgAAAGRycy9kb3ducmV2LnhtbFBLAQIUABQAAAAIAIdO4kAMOWLk5AEA&#10;AOEDAAAOAAAAAAAAAAEAIAAAACQBAABkcnMvZTJvRG9jLnhtbFBLBQYAAAAABgAGAFkBAAB6BQAA&#10;AAA=&#10;">
                      <v:fill on="f" focussize="0,0"/>
                      <v:stroke weight="0.48pt" color="#000000" joinstyle="round"/>
                      <v:imagedata o:title=""/>
                      <o:lock v:ext="edit" aspectratio="f"/>
                    </v:line>
                  </w:pict>
                </mc:Fallback>
              </mc:AlternateContent>
            </w:r>
            <w:r>
              <w:rPr>
                <w:rFonts w:hint="default" w:ascii="Times New Roman" w:hAnsi="Times New Roman" w:eastAsia="宋体" w:cs="Times New Roman"/>
                <w:sz w:val="24"/>
                <w:szCs w:val="24"/>
                <w:u w:val="none"/>
              </w:rPr>
              <w:t>内容</w:t>
            </w:r>
          </w:p>
          <w:p w14:paraId="0D96E1B9">
            <w:pPr>
              <w:pStyle w:val="44"/>
              <w:keepNext w:val="0"/>
              <w:keepLines w:val="0"/>
              <w:pageBreakBefore w:val="0"/>
              <w:kinsoku/>
              <w:wordWrap/>
              <w:overflowPunct/>
              <w:topLinePunct w:val="0"/>
              <w:autoSpaceDE w:val="0"/>
              <w:autoSpaceDN w:val="0"/>
              <w:bidi w:val="0"/>
              <w:spacing w:before="2" w:beforeAutospacing="0" w:afterAutospacing="0" w:line="400" w:lineRule="exact"/>
              <w:ind w:left="107"/>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要素</w:t>
            </w:r>
          </w:p>
        </w:tc>
        <w:tc>
          <w:tcPr>
            <w:tcW w:w="1562" w:type="dxa"/>
            <w:tcBorders>
              <w:tl2br w:val="nil"/>
              <w:tr2bl w:val="nil"/>
            </w:tcBorders>
            <w:vAlign w:val="center"/>
          </w:tcPr>
          <w:p w14:paraId="20B198BE">
            <w:pPr>
              <w:pStyle w:val="44"/>
              <w:keepNext w:val="0"/>
              <w:keepLines w:val="0"/>
              <w:pageBreakBefore w:val="0"/>
              <w:kinsoku/>
              <w:wordWrap/>
              <w:overflowPunct/>
              <w:topLinePunct w:val="0"/>
              <w:autoSpaceDE w:val="0"/>
              <w:autoSpaceDN w:val="0"/>
              <w:bidi w:val="0"/>
              <w:spacing w:before="2" w:beforeAutospacing="0" w:afterAutospacing="0" w:line="400" w:lineRule="exact"/>
              <w:ind w:left="252" w:right="71" w:hanging="53"/>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排放口</w:t>
            </w:r>
            <w:r>
              <w:rPr>
                <w:rFonts w:hint="eastAsia"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编号、名称</w:t>
            </w:r>
            <w:r>
              <w:rPr>
                <w:rFonts w:hint="eastAsia"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/污染源</w:t>
            </w:r>
          </w:p>
        </w:tc>
        <w:tc>
          <w:tcPr>
            <w:tcW w:w="1512" w:type="dxa"/>
            <w:tcBorders>
              <w:tl2br w:val="nil"/>
              <w:tr2bl w:val="nil"/>
            </w:tcBorders>
            <w:vAlign w:val="center"/>
          </w:tcPr>
          <w:p w14:paraId="4BC2C9A0">
            <w:pPr>
              <w:pStyle w:val="44"/>
              <w:keepNext w:val="0"/>
              <w:keepLines w:val="0"/>
              <w:pageBreakBefore w:val="0"/>
              <w:kinsoku/>
              <w:wordWrap/>
              <w:overflowPunct/>
              <w:topLinePunct w:val="0"/>
              <w:autoSpaceDE w:val="0"/>
              <w:autoSpaceDN w:val="0"/>
              <w:bidi w:val="0"/>
              <w:spacing w:before="137" w:beforeAutospacing="0" w:afterAutospacing="0" w:line="400" w:lineRule="exact"/>
              <w:ind w:left="388" w:right="268"/>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污染物项目</w:t>
            </w:r>
          </w:p>
        </w:tc>
        <w:tc>
          <w:tcPr>
            <w:tcW w:w="2298" w:type="dxa"/>
            <w:tcBorders>
              <w:tl2br w:val="nil"/>
              <w:tr2bl w:val="nil"/>
            </w:tcBorders>
            <w:vAlign w:val="center"/>
          </w:tcPr>
          <w:p w14:paraId="551A79DE">
            <w:pPr>
              <w:pStyle w:val="44"/>
              <w:keepNext w:val="0"/>
              <w:keepLines w:val="0"/>
              <w:pageBreakBefore w:val="0"/>
              <w:kinsoku/>
              <w:wordWrap/>
              <w:overflowPunct/>
              <w:topLinePunct w:val="0"/>
              <w:autoSpaceDE w:val="0"/>
              <w:autoSpaceDN w:val="0"/>
              <w:bidi w:val="0"/>
              <w:spacing w:before="137" w:beforeAutospacing="0" w:afterAutospacing="0" w:line="400" w:lineRule="exact"/>
              <w:ind w:left="282" w:right="161"/>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环境保护措施</w:t>
            </w:r>
          </w:p>
        </w:tc>
        <w:tc>
          <w:tcPr>
            <w:tcW w:w="2179" w:type="dxa"/>
            <w:tcBorders>
              <w:tl2br w:val="nil"/>
              <w:tr2bl w:val="nil"/>
            </w:tcBorders>
            <w:vAlign w:val="center"/>
          </w:tcPr>
          <w:p w14:paraId="117E36F4">
            <w:pPr>
              <w:pStyle w:val="44"/>
              <w:keepNext w:val="0"/>
              <w:keepLines w:val="0"/>
              <w:pageBreakBefore w:val="0"/>
              <w:kinsoku/>
              <w:wordWrap/>
              <w:overflowPunct/>
              <w:topLinePunct w:val="0"/>
              <w:autoSpaceDE w:val="0"/>
              <w:autoSpaceDN w:val="0"/>
              <w:bidi w:val="0"/>
              <w:spacing w:before="137" w:beforeAutospacing="0" w:afterAutospacing="0" w:line="400" w:lineRule="exact"/>
              <w:ind w:left="497" w:right="365"/>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执行标准</w:t>
            </w:r>
          </w:p>
        </w:tc>
      </w:tr>
      <w:tr w14:paraId="3F301C9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760" w:hRule="atLeast"/>
          <w:jc w:val="center"/>
        </w:trPr>
        <w:tc>
          <w:tcPr>
            <w:tcW w:w="1538" w:type="dxa"/>
            <w:vMerge w:val="restart"/>
            <w:tcBorders>
              <w:tl2br w:val="nil"/>
              <w:tr2bl w:val="nil"/>
            </w:tcBorders>
            <w:vAlign w:val="center"/>
          </w:tcPr>
          <w:p w14:paraId="615B9DD7">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大气环境</w:t>
            </w:r>
          </w:p>
        </w:tc>
        <w:tc>
          <w:tcPr>
            <w:tcW w:w="1562" w:type="dxa"/>
            <w:tcBorders>
              <w:tl2br w:val="nil"/>
              <w:tr2bl w:val="nil"/>
            </w:tcBorders>
            <w:vAlign w:val="center"/>
          </w:tcPr>
          <w:p w14:paraId="1F814689">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DA001</w:t>
            </w:r>
          </w:p>
        </w:tc>
        <w:tc>
          <w:tcPr>
            <w:tcW w:w="1512" w:type="dxa"/>
            <w:tcBorders>
              <w:tl2br w:val="nil"/>
              <w:tr2bl w:val="nil"/>
            </w:tcBorders>
            <w:vAlign w:val="center"/>
          </w:tcPr>
          <w:p w14:paraId="32D2D434">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非甲烷总烃</w:t>
            </w:r>
          </w:p>
        </w:tc>
        <w:tc>
          <w:tcPr>
            <w:tcW w:w="2298" w:type="dxa"/>
            <w:tcBorders>
              <w:tl2br w:val="nil"/>
              <w:tr2bl w:val="nil"/>
            </w:tcBorders>
            <w:vAlign w:val="center"/>
          </w:tcPr>
          <w:p w14:paraId="50967B65">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both"/>
              <w:textAlignment w:val="auto"/>
              <w:outlineLvl w:val="9"/>
              <w:rPr>
                <w:rFonts w:hint="eastAsia"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吹塑车间二次密闭，集气罩收集后进入二级活性炭装置处理，由</w:t>
            </w:r>
            <w:r>
              <w:rPr>
                <w:rFonts w:hint="default" w:ascii="Times New Roman" w:hAnsi="Times New Roman" w:cs="Times New Roman"/>
                <w:b w:val="0"/>
                <w:bCs w:val="0"/>
                <w:color w:val="000000"/>
                <w:sz w:val="24"/>
                <w:szCs w:val="24"/>
                <w:u w:val="none"/>
                <w:lang w:val="en-US" w:eastAsia="zh-CN" w:bidi="zh-CN"/>
              </w:rPr>
              <w:t>1</w:t>
            </w:r>
            <w:r>
              <w:rPr>
                <w:rFonts w:hint="eastAsia" w:ascii="Times New Roman" w:hAnsi="Times New Roman" w:cs="Times New Roman"/>
                <w:b w:val="0"/>
                <w:bCs w:val="0"/>
                <w:color w:val="000000"/>
                <w:sz w:val="24"/>
                <w:szCs w:val="24"/>
                <w:u w:val="none"/>
                <w:lang w:val="en-US" w:eastAsia="zh-CN" w:bidi="zh-CN"/>
              </w:rPr>
              <w:t>根</w:t>
            </w:r>
            <w:r>
              <w:rPr>
                <w:rFonts w:hint="default" w:ascii="Times New Roman" w:hAnsi="Times New Roman" w:cs="Times New Roman"/>
                <w:b w:val="0"/>
                <w:bCs w:val="0"/>
                <w:color w:val="000000"/>
                <w:sz w:val="24"/>
                <w:szCs w:val="24"/>
                <w:u w:val="none"/>
                <w:lang w:val="en-US" w:eastAsia="zh-CN" w:bidi="zh-CN"/>
              </w:rPr>
              <w:t>15m</w:t>
            </w:r>
            <w:r>
              <w:rPr>
                <w:rFonts w:hint="eastAsia" w:ascii="Times New Roman" w:hAnsi="Times New Roman" w:cs="Times New Roman"/>
                <w:b w:val="0"/>
                <w:bCs w:val="0"/>
                <w:color w:val="000000"/>
                <w:sz w:val="24"/>
                <w:szCs w:val="24"/>
                <w:u w:val="none"/>
                <w:lang w:val="en-US" w:eastAsia="zh-CN" w:bidi="zh-CN"/>
              </w:rPr>
              <w:t>高排气筒（</w:t>
            </w:r>
            <w:r>
              <w:rPr>
                <w:rFonts w:hint="default" w:ascii="Times New Roman" w:hAnsi="Times New Roman" w:cs="Times New Roman"/>
                <w:b w:val="0"/>
                <w:bCs w:val="0"/>
                <w:color w:val="000000"/>
                <w:sz w:val="24"/>
                <w:szCs w:val="24"/>
                <w:u w:val="none"/>
                <w:lang w:val="en-US" w:eastAsia="zh-CN" w:bidi="zh-CN"/>
              </w:rPr>
              <w:t>DA001</w:t>
            </w:r>
            <w:r>
              <w:rPr>
                <w:rFonts w:hint="eastAsia" w:ascii="Times New Roman" w:hAnsi="Times New Roman" w:cs="Times New Roman"/>
                <w:b w:val="0"/>
                <w:bCs w:val="0"/>
                <w:color w:val="000000"/>
                <w:sz w:val="24"/>
                <w:szCs w:val="24"/>
                <w:u w:val="none"/>
                <w:lang w:val="en-US" w:eastAsia="zh-CN" w:bidi="zh-CN"/>
              </w:rPr>
              <w:t>）排放。</w:t>
            </w:r>
          </w:p>
        </w:tc>
        <w:tc>
          <w:tcPr>
            <w:tcW w:w="2179" w:type="dxa"/>
            <w:vMerge w:val="restart"/>
            <w:tcBorders>
              <w:tl2br w:val="nil"/>
              <w:tr2bl w:val="nil"/>
            </w:tcBorders>
            <w:vAlign w:val="center"/>
          </w:tcPr>
          <w:p w14:paraId="0FBCC872">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kern w:val="0"/>
                <w:sz w:val="24"/>
                <w:szCs w:val="24"/>
                <w:u w:val="none"/>
                <w:lang w:val="en-US" w:eastAsia="zh-CN" w:bidi="zh-CN"/>
              </w:rPr>
            </w:pPr>
            <w:r>
              <w:rPr>
                <w:rFonts w:hint="eastAsia" w:ascii="Times New Roman" w:hAnsi="Times New Roman" w:eastAsia="宋体" w:cs="Times New Roman"/>
                <w:b w:val="0"/>
                <w:bCs w:val="0"/>
                <w:color w:val="000000"/>
                <w:sz w:val="24"/>
                <w:szCs w:val="24"/>
                <w:u w:val="none"/>
                <w:lang w:val="en-US" w:eastAsia="zh-CN" w:bidi="zh-CN"/>
              </w:rPr>
              <w:t>《合成树脂工业污染物排放标准》（GB31572-2015）表5、</w:t>
            </w:r>
            <w:r>
              <w:rPr>
                <w:rFonts w:hint="default" w:ascii="Times New Roman" w:hAnsi="Times New Roman" w:eastAsia="宋体" w:cs="Times New Roman"/>
                <w:b w:val="0"/>
                <w:bCs w:val="0"/>
                <w:color w:val="000000"/>
                <w:sz w:val="24"/>
                <w:szCs w:val="24"/>
                <w:u w:val="none"/>
                <w:lang w:val="en-US" w:eastAsia="zh-CN" w:bidi="zh-CN"/>
              </w:rPr>
              <w:t>《关于全省开展工业企业挥发性有机物专项治理工作中排放建议值的通知》（豫环攻坚办〔2017〕162号）</w:t>
            </w:r>
            <w:r>
              <w:rPr>
                <w:rFonts w:hint="eastAsia" w:ascii="Times New Roman" w:hAnsi="Times New Roman" w:eastAsia="宋体" w:cs="Times New Roman"/>
                <w:b w:val="0"/>
                <w:bCs w:val="0"/>
                <w:color w:val="000000"/>
                <w:sz w:val="24"/>
                <w:szCs w:val="24"/>
                <w:u w:val="none"/>
                <w:lang w:val="en-US" w:eastAsia="zh-CN" w:bidi="zh-CN"/>
              </w:rPr>
              <w:t>、</w:t>
            </w:r>
            <w:r>
              <w:rPr>
                <w:rFonts w:hint="default" w:ascii="Times New Roman" w:hAnsi="Times New Roman" w:eastAsia="宋体" w:cs="Times New Roman"/>
                <w:b w:val="0"/>
                <w:bCs w:val="0"/>
                <w:color w:val="000000"/>
                <w:sz w:val="24"/>
                <w:szCs w:val="24"/>
                <w:u w:val="none"/>
                <w:lang w:val="en-US" w:eastAsia="zh-CN" w:bidi="zh-CN"/>
              </w:rPr>
              <w:t>《</w:t>
            </w:r>
            <w:r>
              <w:rPr>
                <w:rFonts w:hint="eastAsia" w:ascii="Times New Roman" w:hAnsi="Times New Roman" w:eastAsia="宋体" w:cs="Times New Roman"/>
                <w:b w:val="0"/>
                <w:bCs w:val="0"/>
                <w:color w:val="000000"/>
                <w:sz w:val="24"/>
                <w:szCs w:val="24"/>
                <w:u w:val="none"/>
                <w:lang w:val="en-US" w:eastAsia="zh-CN" w:bidi="zh-CN"/>
              </w:rPr>
              <w:t>河南省重污染天气重点行业应急减排（2024年修订版）</w:t>
            </w:r>
            <w:r>
              <w:rPr>
                <w:rFonts w:hint="default" w:ascii="Times New Roman" w:hAnsi="Times New Roman" w:eastAsia="宋体" w:cs="Times New Roman"/>
                <w:b w:val="0"/>
                <w:bCs w:val="0"/>
                <w:color w:val="000000"/>
                <w:sz w:val="24"/>
                <w:szCs w:val="24"/>
                <w:u w:val="none"/>
                <w:lang w:val="en-US" w:eastAsia="zh-CN" w:bidi="zh-CN"/>
              </w:rPr>
              <w:t>》</w:t>
            </w:r>
            <w:r>
              <w:rPr>
                <w:rFonts w:hint="eastAsia" w:ascii="Times New Roman" w:hAnsi="Times New Roman" w:eastAsia="宋体" w:cs="Times New Roman"/>
                <w:b w:val="0"/>
                <w:bCs w:val="0"/>
                <w:color w:val="000000"/>
                <w:sz w:val="24"/>
                <w:szCs w:val="24"/>
                <w:u w:val="none"/>
                <w:lang w:val="en-US" w:eastAsia="zh-CN" w:bidi="zh-CN"/>
              </w:rPr>
              <w:t>塑料制品行业A级企业绩效分级指标</w:t>
            </w:r>
            <w:r>
              <w:rPr>
                <w:rFonts w:hint="eastAsia" w:ascii="Times New Roman" w:hAnsi="Times New Roman" w:cs="Times New Roman"/>
                <w:b w:val="0"/>
                <w:bCs w:val="0"/>
                <w:color w:val="000000"/>
                <w:sz w:val="24"/>
                <w:szCs w:val="24"/>
                <w:u w:val="none"/>
                <w:lang w:val="en-US" w:eastAsia="zh-CN" w:bidi="zh-CN"/>
              </w:rPr>
              <w:t>、</w:t>
            </w:r>
            <w:r>
              <w:rPr>
                <w:rFonts w:hint="eastAsia" w:ascii="Times New Roman" w:hAnsi="Times New Roman" w:eastAsia="宋体" w:cs="Times New Roman"/>
                <w:b w:val="0"/>
                <w:bCs w:val="0"/>
                <w:color w:val="000000"/>
                <w:sz w:val="24"/>
                <w:szCs w:val="24"/>
                <w:u w:val="none"/>
                <w:lang w:val="en-US" w:eastAsia="zh-CN" w:bidi="zh-CN"/>
              </w:rPr>
              <w:t>《大气污染物综合排放标准》</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GB16297-1996</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begin"/>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separate"/>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挥发性有机物无组织排放控制标准（GB37822</w:t>
            </w:r>
            <w:r>
              <w:rPr>
                <w:rFonts w:hint="eastAsia" w:ascii="Times New Roman" w:hAnsi="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t>2019）</w:t>
            </w:r>
            <w:r>
              <w:rPr>
                <w:rFonts w:hint="default" w:ascii="Times New Roman" w:hAnsi="Times New Roman" w:eastAsia="宋体"/>
                <w:color w:val="000000" w:themeColor="text1"/>
                <w:sz w:val="24"/>
                <w:szCs w:val="24"/>
                <w:u w:val="none" w:color="auto"/>
                <w:lang w:val="en-US" w:eastAsia="zh-CN"/>
                <w14:textFill>
                  <w14:solidFill>
                    <w14:schemeClr w14:val="tx1"/>
                  </w14:solidFill>
                </w14:textFill>
              </w:rPr>
              <w:fldChar w:fldCharType="end"/>
            </w:r>
          </w:p>
        </w:tc>
      </w:tr>
      <w:tr w14:paraId="5BF4BBC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8" w:type="dxa"/>
            <w:vMerge w:val="continue"/>
            <w:tcBorders>
              <w:tl2br w:val="nil"/>
              <w:tr2bl w:val="nil"/>
            </w:tcBorders>
            <w:vAlign w:val="center"/>
          </w:tcPr>
          <w:p w14:paraId="05A210D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p>
        </w:tc>
        <w:tc>
          <w:tcPr>
            <w:tcW w:w="1562" w:type="dxa"/>
            <w:tcBorders>
              <w:tl2br w:val="nil"/>
              <w:tr2bl w:val="nil"/>
            </w:tcBorders>
            <w:vAlign w:val="center"/>
          </w:tcPr>
          <w:p w14:paraId="798512D4">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无组织废气</w:t>
            </w:r>
          </w:p>
        </w:tc>
        <w:tc>
          <w:tcPr>
            <w:tcW w:w="1512" w:type="dxa"/>
            <w:tcBorders>
              <w:tl2br w:val="nil"/>
              <w:tr2bl w:val="nil"/>
            </w:tcBorders>
            <w:vAlign w:val="center"/>
          </w:tcPr>
          <w:p w14:paraId="5A5772E9">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非甲烷总烃</w:t>
            </w:r>
          </w:p>
        </w:tc>
        <w:tc>
          <w:tcPr>
            <w:tcW w:w="2298" w:type="dxa"/>
            <w:vMerge w:val="restart"/>
            <w:tcBorders>
              <w:tl2br w:val="nil"/>
              <w:tr2bl w:val="nil"/>
            </w:tcBorders>
            <w:vAlign w:val="center"/>
          </w:tcPr>
          <w:p w14:paraId="1EAF522B">
            <w:pPr>
              <w:keepNext w:val="0"/>
              <w:keepLines w:val="0"/>
              <w:pageBreakBefore w:val="0"/>
              <w:widowControl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车间二次密闭，</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强化生产过程管理，减小对环境影响</w:t>
            </w:r>
          </w:p>
        </w:tc>
        <w:tc>
          <w:tcPr>
            <w:tcW w:w="2179" w:type="dxa"/>
            <w:vMerge w:val="continue"/>
            <w:tcBorders>
              <w:tl2br w:val="nil"/>
              <w:tr2bl w:val="nil"/>
            </w:tcBorders>
            <w:vAlign w:val="center"/>
          </w:tcPr>
          <w:p w14:paraId="1CF5C51B">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kern w:val="0"/>
                <w:sz w:val="24"/>
                <w:szCs w:val="24"/>
                <w:u w:val="none"/>
                <w:lang w:val="en-US" w:eastAsia="zh-CN" w:bidi="zh-CN"/>
              </w:rPr>
            </w:pPr>
          </w:p>
        </w:tc>
      </w:tr>
      <w:tr w14:paraId="2A73416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55" w:hRule="atLeast"/>
          <w:jc w:val="center"/>
        </w:trPr>
        <w:tc>
          <w:tcPr>
            <w:tcW w:w="1538" w:type="dxa"/>
            <w:vMerge w:val="continue"/>
            <w:tcBorders>
              <w:tl2br w:val="nil"/>
              <w:tr2bl w:val="nil"/>
            </w:tcBorders>
            <w:vAlign w:val="center"/>
          </w:tcPr>
          <w:p w14:paraId="06FAED38">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p>
        </w:tc>
        <w:tc>
          <w:tcPr>
            <w:tcW w:w="1562" w:type="dxa"/>
            <w:tcBorders>
              <w:tl2br w:val="nil"/>
              <w:tr2bl w:val="nil"/>
            </w:tcBorders>
            <w:vAlign w:val="center"/>
          </w:tcPr>
          <w:p w14:paraId="2D009CDB">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cs="Times New Roman"/>
                <w:b w:val="0"/>
                <w:bCs w:val="0"/>
                <w:color w:val="000000"/>
                <w:sz w:val="24"/>
                <w:szCs w:val="24"/>
                <w:u w:val="none"/>
                <w:lang w:val="en-US" w:eastAsia="zh-CN" w:bidi="zh-CN"/>
              </w:rPr>
            </w:pPr>
            <w:r>
              <w:rPr>
                <w:rFonts w:hint="eastAsia" w:ascii="Times New Roman" w:hAnsi="Times New Roman" w:cs="Times New Roman"/>
                <w:b w:val="0"/>
                <w:bCs w:val="0"/>
                <w:color w:val="000000"/>
                <w:sz w:val="24"/>
                <w:szCs w:val="24"/>
                <w:u w:val="none"/>
                <w:lang w:val="en-US" w:eastAsia="zh-CN" w:bidi="zh-CN"/>
              </w:rPr>
              <w:t>无组织废气</w:t>
            </w:r>
          </w:p>
        </w:tc>
        <w:tc>
          <w:tcPr>
            <w:tcW w:w="1512" w:type="dxa"/>
            <w:tcBorders>
              <w:tl2br w:val="nil"/>
              <w:tr2bl w:val="nil"/>
            </w:tcBorders>
            <w:vAlign w:val="center"/>
          </w:tcPr>
          <w:p w14:paraId="56552375">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default" w:ascii="Times New Roman" w:hAnsi="Times New Roman"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颗粒物</w:t>
            </w:r>
          </w:p>
        </w:tc>
        <w:tc>
          <w:tcPr>
            <w:tcW w:w="2298" w:type="dxa"/>
            <w:vMerge w:val="continue"/>
            <w:tcBorders>
              <w:tl2br w:val="nil"/>
              <w:tr2bl w:val="nil"/>
            </w:tcBorders>
            <w:vAlign w:val="center"/>
          </w:tcPr>
          <w:p w14:paraId="4F0E8992">
            <w:pPr>
              <w:keepNext w:val="0"/>
              <w:keepLines w:val="0"/>
              <w:pageBreakBefore w:val="0"/>
              <w:widowControl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pPr>
          </w:p>
        </w:tc>
        <w:tc>
          <w:tcPr>
            <w:tcW w:w="2179" w:type="dxa"/>
            <w:vMerge w:val="continue"/>
            <w:tcBorders>
              <w:tl2br w:val="nil"/>
              <w:tr2bl w:val="nil"/>
            </w:tcBorders>
            <w:vAlign w:val="center"/>
          </w:tcPr>
          <w:p w14:paraId="4DB99326">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宋体"/>
                <w:color w:val="000000"/>
                <w:kern w:val="0"/>
                <w:sz w:val="24"/>
                <w:szCs w:val="24"/>
                <w:u w:val="none"/>
                <w:lang w:val="en-US" w:eastAsia="zh-CN" w:bidi="zh-CN"/>
              </w:rPr>
            </w:pPr>
          </w:p>
        </w:tc>
      </w:tr>
      <w:tr w14:paraId="7D49A54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195" w:hRule="atLeast"/>
          <w:jc w:val="center"/>
        </w:trPr>
        <w:tc>
          <w:tcPr>
            <w:tcW w:w="1538" w:type="dxa"/>
            <w:vMerge w:val="restart"/>
            <w:tcBorders>
              <w:tl2br w:val="nil"/>
              <w:tr2bl w:val="nil"/>
            </w:tcBorders>
            <w:vAlign w:val="center"/>
          </w:tcPr>
          <w:p w14:paraId="6FA5484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地表水环境</w:t>
            </w:r>
          </w:p>
        </w:tc>
        <w:tc>
          <w:tcPr>
            <w:tcW w:w="1562" w:type="dxa"/>
            <w:tcBorders>
              <w:tl2br w:val="nil"/>
              <w:tr2bl w:val="nil"/>
            </w:tcBorders>
            <w:vAlign w:val="center"/>
          </w:tcPr>
          <w:p w14:paraId="58DC20A0">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ind w:left="0" w:leftChars="0" w:right="0" w:rightChars="0"/>
              <w:jc w:val="center"/>
              <w:textAlignment w:val="auto"/>
              <w:rPr>
                <w:rFonts w:hint="default"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bCs/>
                <w:color w:val="000000"/>
                <w:sz w:val="24"/>
                <w:szCs w:val="24"/>
                <w:lang w:val="en-US" w:eastAsia="zh-CN"/>
              </w:rPr>
              <w:t>职工生活污水</w:t>
            </w:r>
          </w:p>
        </w:tc>
        <w:tc>
          <w:tcPr>
            <w:tcW w:w="1512" w:type="dxa"/>
            <w:tcBorders>
              <w:tl2br w:val="nil"/>
              <w:tr2bl w:val="nil"/>
            </w:tcBorders>
            <w:vAlign w:val="center"/>
          </w:tcPr>
          <w:p w14:paraId="43A25182">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center"/>
              <w:textAlignment w:val="auto"/>
              <w:outlineLvl w:val="9"/>
              <w:rPr>
                <w:rFonts w:hint="eastAsia" w:ascii="Times New Roman" w:hAnsi="Times New Roman" w:eastAsia="宋体" w:cs="Times New Roman"/>
                <w:sz w:val="24"/>
                <w:szCs w:val="24"/>
                <w:u w:val="none"/>
                <w:lang w:eastAsia="zh-CN"/>
              </w:rPr>
            </w:pPr>
            <w:r>
              <w:rPr>
                <w:rFonts w:hint="eastAsia" w:ascii="Times New Roman" w:hAnsi="Times New Roman" w:cs="Times New Roman"/>
                <w:sz w:val="24"/>
                <w:szCs w:val="24"/>
                <w:u w:val="none"/>
                <w:lang w:val="en-US" w:eastAsia="zh-CN"/>
              </w:rPr>
              <w:t>pH、</w:t>
            </w:r>
            <w:r>
              <w:rPr>
                <w:rFonts w:hint="eastAsia" w:ascii="Times New Roman" w:hAnsi="Times New Roman" w:eastAsia="宋体" w:cs="Times New Roman"/>
                <w:sz w:val="24"/>
                <w:szCs w:val="24"/>
                <w:u w:val="none"/>
                <w:lang w:val="en-US" w:eastAsia="zh-CN"/>
              </w:rPr>
              <w:t>COD、NH</w:t>
            </w:r>
            <w:r>
              <w:rPr>
                <w:rFonts w:hint="eastAsia" w:ascii="Times New Roman" w:hAnsi="Times New Roman" w:eastAsia="宋体" w:cs="Times New Roman"/>
                <w:sz w:val="24"/>
                <w:szCs w:val="24"/>
                <w:u w:val="none"/>
                <w:vertAlign w:val="subscript"/>
                <w:lang w:val="en-US" w:eastAsia="zh-CN"/>
              </w:rPr>
              <w:t>3</w:t>
            </w:r>
            <w:r>
              <w:rPr>
                <w:rFonts w:hint="eastAsia" w:ascii="Times New Roman" w:hAnsi="Times New Roman" w:eastAsia="宋体" w:cs="Times New Roman"/>
                <w:sz w:val="24"/>
                <w:szCs w:val="24"/>
                <w:u w:val="none"/>
                <w:lang w:val="en-US" w:eastAsia="zh-CN"/>
              </w:rPr>
              <w:t>-N、SS</w:t>
            </w:r>
            <w:r>
              <w:rPr>
                <w:rFonts w:hint="eastAsia" w:ascii="Times New Roman" w:hAnsi="Times New Roman" w:cs="Times New Roman"/>
                <w:sz w:val="24"/>
                <w:szCs w:val="24"/>
                <w:u w:val="none"/>
                <w:lang w:val="en-US" w:eastAsia="zh-CN"/>
              </w:rPr>
              <w:t>、BOD</w:t>
            </w:r>
            <w:r>
              <w:rPr>
                <w:rFonts w:hint="eastAsia" w:ascii="Times New Roman" w:hAnsi="Times New Roman" w:cs="Times New Roman"/>
                <w:sz w:val="24"/>
                <w:szCs w:val="24"/>
                <w:u w:val="none"/>
                <w:vertAlign w:val="subscript"/>
                <w:lang w:val="en-US" w:eastAsia="zh-CN"/>
              </w:rPr>
              <w:t>5</w:t>
            </w:r>
          </w:p>
        </w:tc>
        <w:tc>
          <w:tcPr>
            <w:tcW w:w="2298" w:type="dxa"/>
            <w:tcBorders>
              <w:tl2br w:val="nil"/>
              <w:tr2bl w:val="nil"/>
            </w:tcBorders>
            <w:vAlign w:val="center"/>
          </w:tcPr>
          <w:p w14:paraId="4D932D2C">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eastAsia="宋体" w:cs="Times New Roman"/>
                <w:b w:val="0"/>
                <w:bCs w:val="0"/>
                <w:color w:val="000000"/>
                <w:sz w:val="24"/>
                <w:szCs w:val="24"/>
                <w:u w:val="none"/>
                <w:lang w:val="en-US" w:eastAsia="zh-CN" w:bidi="zh-CN"/>
              </w:rPr>
            </w:pPr>
            <w:r>
              <w:rPr>
                <w:rFonts w:hint="eastAsia" w:ascii="Times New Roman" w:hAnsi="Times New Roman" w:cs="Times New Roman"/>
                <w:sz w:val="24"/>
                <w:szCs w:val="24"/>
                <w:u w:val="none" w:color="auto"/>
                <w:lang w:val="en-US" w:eastAsia="zh-CN"/>
              </w:rPr>
              <w:t>生活污水依托厂区化粪池（20m</w:t>
            </w:r>
            <w:r>
              <w:rPr>
                <w:rFonts w:hint="eastAsia" w:ascii="Times New Roman" w:hAnsi="Times New Roman" w:cs="Times New Roman"/>
                <w:sz w:val="24"/>
                <w:szCs w:val="24"/>
                <w:u w:val="none" w:color="auto"/>
                <w:vertAlign w:val="superscript"/>
                <w:lang w:val="en-US" w:eastAsia="zh-CN"/>
              </w:rPr>
              <w:t>3</w:t>
            </w:r>
            <w:r>
              <w:rPr>
                <w:rFonts w:hint="eastAsia" w:ascii="Times New Roman" w:hAnsi="Times New Roman" w:cs="Times New Roman"/>
                <w:sz w:val="24"/>
                <w:szCs w:val="24"/>
                <w:u w:val="none" w:color="auto"/>
                <w:lang w:val="en-US" w:eastAsia="zh-CN"/>
              </w:rPr>
              <w:t>）处理后进入许昌市鸿瀚环境技术管理有限公司</w:t>
            </w:r>
          </w:p>
        </w:tc>
        <w:tc>
          <w:tcPr>
            <w:tcW w:w="2179" w:type="dxa"/>
            <w:vMerge w:val="restart"/>
            <w:tcBorders>
              <w:top w:val="single" w:color="auto" w:sz="4" w:space="0"/>
              <w:tl2br w:val="nil"/>
              <w:tr2bl w:val="nil"/>
            </w:tcBorders>
            <w:vAlign w:val="center"/>
          </w:tcPr>
          <w:p w14:paraId="3798E4AD">
            <w:pPr>
              <w:keepNext w:val="0"/>
              <w:keepLines w:val="0"/>
              <w:pageBreakBefore w:val="0"/>
              <w:widowControl w:val="0"/>
              <w:kinsoku/>
              <w:wordWrap/>
              <w:overflowPunct/>
              <w:topLinePunct w:val="0"/>
              <w:autoSpaceDE w:val="0"/>
              <w:autoSpaceDN w:val="0"/>
              <w:bidi w:val="0"/>
              <w:adjustRightInd/>
              <w:snapToGrid/>
              <w:spacing w:beforeAutospacing="0" w:afterAutospacing="0" w:line="400" w:lineRule="exact"/>
              <w:ind w:left="0" w:leftChars="0" w:right="0" w:firstLine="0" w:firstLineChars="0"/>
              <w:jc w:val="both"/>
              <w:textAlignment w:val="auto"/>
              <w:outlineLvl w:val="9"/>
              <w:rPr>
                <w:rFonts w:hint="default" w:ascii="Times New Roman" w:hAnsi="Times New Roman" w:eastAsia="宋体" w:cs="Times New Roman"/>
                <w:sz w:val="24"/>
                <w:szCs w:val="24"/>
                <w:u w:val="none"/>
                <w:lang w:val="en-US" w:eastAsia="zh-CN"/>
              </w:rPr>
            </w:pPr>
            <w:r>
              <w:rPr>
                <w:rFonts w:hint="eastAsia" w:ascii="Times New Roman" w:hAnsi="Times New Roman" w:eastAsia="宋体" w:cs="Times New Roman"/>
                <w:b w:val="0"/>
                <w:bCs w:val="0"/>
                <w:sz w:val="24"/>
                <w:szCs w:val="24"/>
                <w:lang w:val="en-US" w:eastAsia="zh-CN" w:bidi="zh-CN"/>
              </w:rPr>
              <w:t>《污水综合排放标准》（GB8978-1996）表4三级标准和</w:t>
            </w:r>
            <w:r>
              <w:rPr>
                <w:rFonts w:hint="eastAsia" w:ascii="Times New Roman" w:hAnsi="Times New Roman" w:cs="Times New Roman"/>
                <w:sz w:val="24"/>
                <w:szCs w:val="24"/>
                <w:u w:val="none" w:color="auto"/>
                <w:lang w:val="en-US"/>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p>
        </w:tc>
      </w:tr>
      <w:tr w14:paraId="5863D27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195" w:hRule="atLeast"/>
          <w:jc w:val="center"/>
        </w:trPr>
        <w:tc>
          <w:tcPr>
            <w:tcW w:w="1538" w:type="dxa"/>
            <w:vMerge w:val="continue"/>
            <w:tcBorders>
              <w:tl2br w:val="nil"/>
              <w:tr2bl w:val="nil"/>
            </w:tcBorders>
            <w:vAlign w:val="center"/>
          </w:tcPr>
          <w:p w14:paraId="0B4FEB1F">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rPr>
            </w:pPr>
          </w:p>
        </w:tc>
        <w:tc>
          <w:tcPr>
            <w:tcW w:w="1562" w:type="dxa"/>
            <w:tcBorders>
              <w:tl2br w:val="nil"/>
              <w:tr2bl w:val="nil"/>
            </w:tcBorders>
            <w:vAlign w:val="center"/>
          </w:tcPr>
          <w:p w14:paraId="52F376FD">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default" w:ascii="Times New Roman" w:hAnsi="Times New Roman" w:cs="Times New Roman"/>
                <w:bCs/>
                <w:color w:val="000000"/>
                <w:sz w:val="24"/>
                <w:szCs w:val="24"/>
                <w:lang w:val="en-US" w:eastAsia="zh-CN"/>
              </w:rPr>
            </w:pPr>
            <w:r>
              <w:rPr>
                <w:rFonts w:hint="eastAsia" w:ascii="Times New Roman" w:hAnsi="Times New Roman" w:cs="Times New Roman"/>
                <w:bCs/>
                <w:color w:val="000000"/>
                <w:sz w:val="24"/>
                <w:szCs w:val="24"/>
                <w:lang w:val="en-US" w:eastAsia="zh-CN"/>
              </w:rPr>
              <w:t>冷却水废水</w:t>
            </w:r>
          </w:p>
        </w:tc>
        <w:tc>
          <w:tcPr>
            <w:tcW w:w="1512" w:type="dxa"/>
            <w:tcBorders>
              <w:tl2br w:val="nil"/>
              <w:tr2bl w:val="nil"/>
            </w:tcBorders>
            <w:vAlign w:val="center"/>
          </w:tcPr>
          <w:p w14:paraId="0F0F250B">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cs="Times New Roman"/>
                <w:bCs/>
                <w:color w:val="000000"/>
                <w:sz w:val="24"/>
                <w:szCs w:val="24"/>
                <w:lang w:val="en-US" w:eastAsia="zh-CN"/>
              </w:rPr>
            </w:pPr>
            <w:r>
              <w:rPr>
                <w:rFonts w:hint="eastAsia" w:ascii="Times New Roman" w:hAnsi="Times New Roman" w:eastAsia="宋体" w:cs="Times New Roman"/>
                <w:sz w:val="24"/>
                <w:szCs w:val="24"/>
                <w:u w:val="none"/>
                <w:lang w:val="en-US" w:eastAsia="zh-CN"/>
              </w:rPr>
              <w:t>COD、NH</w:t>
            </w:r>
            <w:r>
              <w:rPr>
                <w:rFonts w:hint="eastAsia" w:ascii="Times New Roman" w:hAnsi="Times New Roman" w:eastAsia="宋体" w:cs="Times New Roman"/>
                <w:sz w:val="24"/>
                <w:szCs w:val="24"/>
                <w:u w:val="none"/>
                <w:vertAlign w:val="subscript"/>
                <w:lang w:val="en-US" w:eastAsia="zh-CN"/>
              </w:rPr>
              <w:t>3</w:t>
            </w:r>
            <w:r>
              <w:rPr>
                <w:rFonts w:hint="eastAsia" w:ascii="Times New Roman" w:hAnsi="Times New Roman" w:eastAsia="宋体" w:cs="Times New Roman"/>
                <w:sz w:val="24"/>
                <w:szCs w:val="24"/>
                <w:u w:val="none"/>
                <w:lang w:val="en-US" w:eastAsia="zh-CN"/>
              </w:rPr>
              <w:t>-N、SS</w:t>
            </w:r>
          </w:p>
        </w:tc>
        <w:tc>
          <w:tcPr>
            <w:tcW w:w="2298" w:type="dxa"/>
            <w:tcBorders>
              <w:tl2br w:val="nil"/>
              <w:tr2bl w:val="nil"/>
            </w:tcBorders>
            <w:vAlign w:val="center"/>
          </w:tcPr>
          <w:p w14:paraId="6632B9F5">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cs="Times New Roman"/>
                <w:bCs/>
                <w:color w:val="000000"/>
                <w:sz w:val="24"/>
                <w:szCs w:val="24"/>
                <w:lang w:val="en-US" w:eastAsia="zh-CN"/>
              </w:rPr>
            </w:pPr>
            <w:r>
              <w:rPr>
                <w:rFonts w:hint="eastAsia" w:ascii="Times New Roman" w:hAnsi="Times New Roman" w:cs="Times New Roman"/>
                <w:sz w:val="24"/>
                <w:szCs w:val="24"/>
                <w:u w:val="none" w:color="auto"/>
                <w:lang w:val="en-US" w:eastAsia="zh-CN"/>
              </w:rPr>
              <w:t>进入许昌市鸿瀚环境技术管理有限公司</w:t>
            </w:r>
          </w:p>
        </w:tc>
        <w:tc>
          <w:tcPr>
            <w:tcW w:w="2179" w:type="dxa"/>
            <w:vMerge w:val="continue"/>
            <w:tcBorders>
              <w:bottom w:val="single" w:color="auto" w:sz="4" w:space="0"/>
              <w:tl2br w:val="nil"/>
              <w:tr2bl w:val="nil"/>
            </w:tcBorders>
            <w:vAlign w:val="center"/>
          </w:tcPr>
          <w:p w14:paraId="1BDF69B3">
            <w:pPr>
              <w:keepNext w:val="0"/>
              <w:keepLines w:val="0"/>
              <w:pageBreakBefore w:val="0"/>
              <w:kinsoku/>
              <w:wordWrap/>
              <w:overflowPunct/>
              <w:topLinePunct w:val="0"/>
              <w:autoSpaceDE w:val="0"/>
              <w:autoSpaceDN w:val="0"/>
              <w:bidi w:val="0"/>
              <w:adjustRightInd/>
              <w:snapToGrid/>
              <w:spacing w:beforeAutospacing="0" w:after="0" w:afterAutospacing="0" w:line="400" w:lineRule="exact"/>
              <w:ind w:left="0" w:leftChars="0" w:right="0"/>
              <w:jc w:val="both"/>
              <w:textAlignment w:val="auto"/>
              <w:outlineLvl w:val="1"/>
              <w:rPr>
                <w:rFonts w:hint="eastAsia" w:ascii="Times New Roman" w:hAnsi="Times New Roman" w:cs="Times New Roman"/>
                <w:bCs/>
                <w:color w:val="000000"/>
                <w:sz w:val="24"/>
                <w:szCs w:val="24"/>
                <w:lang w:val="en-US" w:eastAsia="zh-CN"/>
              </w:rPr>
            </w:pPr>
          </w:p>
        </w:tc>
      </w:tr>
      <w:tr w14:paraId="572F89F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restart"/>
            <w:tcBorders>
              <w:tl2br w:val="nil"/>
              <w:tr2bl w:val="nil"/>
            </w:tcBorders>
            <w:vAlign w:val="center"/>
          </w:tcPr>
          <w:p w14:paraId="1DF9F49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声环境</w:t>
            </w:r>
          </w:p>
        </w:tc>
        <w:tc>
          <w:tcPr>
            <w:tcW w:w="1562" w:type="dxa"/>
            <w:vMerge w:val="restart"/>
            <w:tcBorders>
              <w:tl2br w:val="nil"/>
              <w:tr2bl w:val="nil"/>
            </w:tcBorders>
            <w:vAlign w:val="center"/>
          </w:tcPr>
          <w:p w14:paraId="6954A21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eastAsia="zh-CN"/>
              </w:rPr>
            </w:pPr>
            <w:r>
              <w:rPr>
                <w:rFonts w:hint="eastAsia" w:ascii="Times New Roman" w:hAnsi="Times New Roman" w:eastAsia="宋体" w:cs="Times New Roman"/>
                <w:sz w:val="24"/>
                <w:szCs w:val="24"/>
                <w:u w:val="none"/>
                <w:lang w:eastAsia="zh-CN"/>
              </w:rPr>
              <w:t>厂界</w:t>
            </w:r>
          </w:p>
        </w:tc>
        <w:tc>
          <w:tcPr>
            <w:tcW w:w="1512" w:type="dxa"/>
            <w:vMerge w:val="restart"/>
            <w:tcBorders>
              <w:tl2br w:val="nil"/>
              <w:tr2bl w:val="nil"/>
            </w:tcBorders>
            <w:vAlign w:val="center"/>
          </w:tcPr>
          <w:p w14:paraId="3A17ADA5">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Times New Roman"/>
                <w:sz w:val="24"/>
                <w:szCs w:val="24"/>
                <w:u w:val="none"/>
              </w:rPr>
            </w:pPr>
            <w:r>
              <w:rPr>
                <w:rFonts w:hint="eastAsia" w:ascii="Times New Roman" w:hAnsi="Times New Roman" w:eastAsia="宋体" w:cs="宋体"/>
                <w:sz w:val="24"/>
                <w:szCs w:val="24"/>
                <w:u w:val="none"/>
              </w:rPr>
              <w:t>等效连续A声级</w:t>
            </w:r>
          </w:p>
        </w:tc>
        <w:tc>
          <w:tcPr>
            <w:tcW w:w="2298" w:type="dxa"/>
            <w:vMerge w:val="restart"/>
            <w:tcBorders>
              <w:tl2br w:val="nil"/>
              <w:tr2bl w:val="nil"/>
            </w:tcBorders>
            <w:vAlign w:val="center"/>
          </w:tcPr>
          <w:p w14:paraId="22AAA7CD">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both"/>
              <w:textAlignment w:val="auto"/>
              <w:rPr>
                <w:rFonts w:hint="default" w:ascii="Times New Roman" w:hAnsi="Times New Roman" w:eastAsia="宋体" w:cs="Times New Roman"/>
                <w:sz w:val="24"/>
                <w:szCs w:val="24"/>
                <w:u w:val="none"/>
              </w:rPr>
            </w:pPr>
            <w:r>
              <w:rPr>
                <w:rFonts w:hint="default" w:ascii="Times New Roman" w:hAnsi="Times New Roman" w:eastAsia="宋体" w:cs="宋体"/>
                <w:sz w:val="24"/>
                <w:szCs w:val="24"/>
                <w:u w:val="none"/>
              </w:rPr>
              <w:t>设备采用减振、隔声等措施降噪，合理布局平面布置</w:t>
            </w:r>
          </w:p>
        </w:tc>
        <w:tc>
          <w:tcPr>
            <w:tcW w:w="2179" w:type="dxa"/>
            <w:vMerge w:val="restart"/>
            <w:tcBorders>
              <w:top w:val="single" w:color="auto" w:sz="4" w:space="0"/>
              <w:bottom w:val="single" w:color="auto" w:sz="4" w:space="0"/>
              <w:tl2br w:val="nil"/>
              <w:tr2bl w:val="nil"/>
            </w:tcBorders>
            <w:vAlign w:val="center"/>
          </w:tcPr>
          <w:p w14:paraId="55FD2B52">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both"/>
              <w:textAlignment w:val="auto"/>
              <w:rPr>
                <w:rFonts w:hint="default" w:ascii="Times New Roman" w:hAnsi="Times New Roman" w:eastAsia="宋体" w:cs="Times New Roman"/>
                <w:sz w:val="24"/>
                <w:szCs w:val="24"/>
                <w:u w:val="none"/>
              </w:rPr>
            </w:pPr>
            <w:r>
              <w:rPr>
                <w:rFonts w:hint="default" w:ascii="Times New Roman" w:hAnsi="Times New Roman" w:eastAsia="宋体" w:cs="宋体"/>
                <w:sz w:val="24"/>
                <w:szCs w:val="24"/>
                <w:u w:val="none"/>
              </w:rPr>
              <w:t>《工业企业厂界环境噪声排放标准》</w:t>
            </w:r>
            <w:r>
              <w:rPr>
                <w:rFonts w:hint="eastAsia" w:ascii="Times New Roman" w:hAnsi="Times New Roman" w:cs="宋体"/>
                <w:sz w:val="24"/>
                <w:szCs w:val="24"/>
                <w:u w:val="none"/>
                <w:lang w:eastAsia="zh-CN"/>
              </w:rPr>
              <w:t>（</w:t>
            </w:r>
            <w:r>
              <w:rPr>
                <w:rFonts w:hint="default" w:ascii="Times New Roman" w:hAnsi="Times New Roman" w:eastAsia="宋体" w:cs="宋体"/>
                <w:sz w:val="24"/>
                <w:szCs w:val="24"/>
                <w:u w:val="none"/>
              </w:rPr>
              <w:t>GB12348-2008</w:t>
            </w:r>
            <w:r>
              <w:rPr>
                <w:rFonts w:hint="eastAsia" w:ascii="Times New Roman" w:hAnsi="Times New Roman" w:cs="宋体"/>
                <w:sz w:val="24"/>
                <w:szCs w:val="24"/>
                <w:u w:val="none"/>
                <w:lang w:eastAsia="zh-CN"/>
              </w:rPr>
              <w:t>）</w:t>
            </w:r>
            <w:r>
              <w:rPr>
                <w:rFonts w:hint="eastAsia" w:ascii="Times New Roman" w:hAnsi="Times New Roman" w:cs="宋体"/>
                <w:sz w:val="24"/>
                <w:szCs w:val="24"/>
                <w:u w:val="none"/>
                <w:lang w:val="en-US" w:eastAsia="zh-CN"/>
              </w:rPr>
              <w:t>3</w:t>
            </w:r>
            <w:r>
              <w:rPr>
                <w:rFonts w:hint="default" w:ascii="Times New Roman" w:hAnsi="Times New Roman" w:eastAsia="宋体" w:cs="宋体"/>
                <w:sz w:val="24"/>
                <w:szCs w:val="24"/>
                <w:u w:val="none"/>
              </w:rPr>
              <w:t>类标准</w:t>
            </w:r>
          </w:p>
        </w:tc>
      </w:tr>
      <w:tr w14:paraId="38A3E5D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538" w:type="dxa"/>
            <w:vMerge w:val="continue"/>
            <w:tcBorders>
              <w:tl2br w:val="nil"/>
              <w:tr2bl w:val="nil"/>
            </w:tcBorders>
            <w:vAlign w:val="center"/>
          </w:tcPr>
          <w:p w14:paraId="17F449B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p>
        </w:tc>
        <w:tc>
          <w:tcPr>
            <w:tcW w:w="1562" w:type="dxa"/>
            <w:vMerge w:val="continue"/>
            <w:tcBorders>
              <w:tl2br w:val="nil"/>
              <w:tr2bl w:val="nil"/>
            </w:tcBorders>
            <w:vAlign w:val="center"/>
          </w:tcPr>
          <w:p w14:paraId="4E9AF3DB">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lang w:val="en-US" w:eastAsia="zh-CN"/>
              </w:rPr>
            </w:pPr>
          </w:p>
        </w:tc>
        <w:tc>
          <w:tcPr>
            <w:tcW w:w="1512" w:type="dxa"/>
            <w:vMerge w:val="continue"/>
            <w:tcBorders>
              <w:tl2br w:val="nil"/>
              <w:tr2bl w:val="nil"/>
            </w:tcBorders>
            <w:vAlign w:val="center"/>
          </w:tcPr>
          <w:p w14:paraId="6D7C9CD7">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eastAsia" w:ascii="Times New Roman" w:hAnsi="Times New Roman" w:eastAsia="宋体" w:cs="宋体"/>
                <w:sz w:val="24"/>
                <w:szCs w:val="24"/>
                <w:u w:val="none"/>
              </w:rPr>
            </w:pPr>
          </w:p>
        </w:tc>
        <w:tc>
          <w:tcPr>
            <w:tcW w:w="2298" w:type="dxa"/>
            <w:vMerge w:val="continue"/>
            <w:tcBorders>
              <w:tl2br w:val="nil"/>
              <w:tr2bl w:val="nil"/>
            </w:tcBorders>
            <w:vAlign w:val="center"/>
          </w:tcPr>
          <w:p w14:paraId="26EBCDB3">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宋体"/>
                <w:sz w:val="24"/>
                <w:szCs w:val="24"/>
                <w:u w:val="none"/>
              </w:rPr>
            </w:pPr>
          </w:p>
        </w:tc>
        <w:tc>
          <w:tcPr>
            <w:tcW w:w="2179" w:type="dxa"/>
            <w:vMerge w:val="continue"/>
            <w:tcBorders>
              <w:top w:val="single" w:color="auto" w:sz="4" w:space="0"/>
              <w:bottom w:val="single" w:color="auto" w:sz="4" w:space="0"/>
              <w:tl2br w:val="nil"/>
              <w:tr2bl w:val="nil"/>
            </w:tcBorders>
            <w:vAlign w:val="center"/>
          </w:tcPr>
          <w:p w14:paraId="3F2799CC">
            <w:pPr>
              <w:keepNext w:val="0"/>
              <w:keepLines w:val="0"/>
              <w:pageBreakBefore w:val="0"/>
              <w:kinsoku/>
              <w:wordWrap/>
              <w:overflowPunct/>
              <w:topLinePunct w:val="0"/>
              <w:autoSpaceDE w:val="0"/>
              <w:autoSpaceDN w:val="0"/>
              <w:bidi w:val="0"/>
              <w:adjustRightInd w:val="0"/>
              <w:snapToGrid w:val="0"/>
              <w:spacing w:beforeAutospacing="0" w:afterAutospacing="0" w:line="400" w:lineRule="exact"/>
              <w:ind w:left="0" w:leftChars="0" w:right="0"/>
              <w:jc w:val="center"/>
              <w:textAlignment w:val="auto"/>
              <w:rPr>
                <w:rFonts w:hint="default" w:ascii="Times New Roman" w:hAnsi="Times New Roman" w:eastAsia="宋体" w:cs="宋体"/>
                <w:sz w:val="24"/>
                <w:szCs w:val="24"/>
                <w:u w:val="none"/>
              </w:rPr>
            </w:pPr>
          </w:p>
        </w:tc>
      </w:tr>
      <w:tr w14:paraId="4A09A18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8" w:type="dxa"/>
            <w:tcBorders>
              <w:tl2br w:val="nil"/>
              <w:tr2bl w:val="nil"/>
            </w:tcBorders>
            <w:vAlign w:val="center"/>
          </w:tcPr>
          <w:p w14:paraId="2DE5DB8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电磁辐射</w:t>
            </w:r>
          </w:p>
        </w:tc>
        <w:tc>
          <w:tcPr>
            <w:tcW w:w="1562" w:type="dxa"/>
            <w:tcBorders>
              <w:tl2br w:val="nil"/>
              <w:tr2bl w:val="nil"/>
            </w:tcBorders>
            <w:vAlign w:val="center"/>
          </w:tcPr>
          <w:p w14:paraId="01B76528">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1512" w:type="dxa"/>
            <w:tcBorders>
              <w:tl2br w:val="nil"/>
              <w:tr2bl w:val="nil"/>
            </w:tcBorders>
            <w:vAlign w:val="center"/>
          </w:tcPr>
          <w:p w14:paraId="20DC70F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2298" w:type="dxa"/>
            <w:tcBorders>
              <w:tl2br w:val="nil"/>
              <w:tr2bl w:val="nil"/>
            </w:tcBorders>
            <w:vAlign w:val="center"/>
          </w:tcPr>
          <w:p w14:paraId="017AE78A">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c>
          <w:tcPr>
            <w:tcW w:w="2179" w:type="dxa"/>
            <w:tcBorders>
              <w:top w:val="single" w:color="auto" w:sz="4" w:space="0"/>
              <w:tl2br w:val="nil"/>
              <w:tr2bl w:val="nil"/>
            </w:tcBorders>
            <w:vAlign w:val="center"/>
          </w:tcPr>
          <w:p w14:paraId="7119ECC3">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r>
      <w:tr w14:paraId="0C2F636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538" w:type="dxa"/>
            <w:tcBorders>
              <w:tl2br w:val="nil"/>
              <w:tr2bl w:val="nil"/>
            </w:tcBorders>
            <w:vAlign w:val="center"/>
          </w:tcPr>
          <w:p w14:paraId="39A026A4">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宋体"/>
                <w:sz w:val="24"/>
                <w:szCs w:val="24"/>
                <w:u w:val="none"/>
              </w:rPr>
            </w:pPr>
            <w:r>
              <w:rPr>
                <w:rFonts w:hint="default" w:ascii="Times New Roman" w:hAnsi="Times New Roman" w:eastAsia="宋体" w:cs="宋体"/>
                <w:sz w:val="24"/>
                <w:szCs w:val="24"/>
                <w:u w:val="none"/>
              </w:rPr>
              <w:t>固体废物</w:t>
            </w:r>
          </w:p>
        </w:tc>
        <w:tc>
          <w:tcPr>
            <w:tcW w:w="7551" w:type="dxa"/>
            <w:gridSpan w:val="4"/>
            <w:tcBorders>
              <w:tl2br w:val="nil"/>
              <w:tr2bl w:val="nil"/>
            </w:tcBorders>
            <w:vAlign w:val="center"/>
          </w:tcPr>
          <w:p w14:paraId="2CF2020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both"/>
              <w:textAlignment w:val="auto"/>
              <w:rPr>
                <w:rFonts w:hint="default" w:ascii="Times New Roman" w:hAnsi="Times New Roman" w:eastAsia="宋体" w:cs="宋体"/>
                <w:sz w:val="24"/>
                <w:szCs w:val="24"/>
                <w:u w:val="none"/>
                <w:lang w:val="en-US"/>
              </w:rPr>
            </w:pPr>
            <w:r>
              <w:rPr>
                <w:rFonts w:hint="eastAsia" w:ascii="Times New Roman" w:hAnsi="Times New Roman" w:eastAsia="宋体" w:cs="宋体"/>
                <w:sz w:val="24"/>
                <w:szCs w:val="24"/>
                <w:u w:val="none"/>
                <w:lang w:eastAsia="zh-CN"/>
              </w:rPr>
              <w:t>生</w:t>
            </w:r>
            <w:r>
              <w:rPr>
                <w:rFonts w:hint="eastAsia" w:ascii="Times New Roman" w:hAnsi="Times New Roman" w:eastAsia="宋体" w:cs="宋体"/>
                <w:sz w:val="24"/>
                <w:szCs w:val="24"/>
                <w:u w:val="none"/>
                <w:lang w:val="en-US" w:eastAsia="zh-CN"/>
              </w:rPr>
              <w:t>活垃圾环卫部门定期清运。</w:t>
            </w:r>
            <w:r>
              <w:rPr>
                <w:rFonts w:hint="eastAsia" w:ascii="Times New Roman" w:hAnsi="Times New Roman" w:cs="宋体"/>
                <w:sz w:val="24"/>
                <w:szCs w:val="24"/>
                <w:u w:val="none"/>
                <w:lang w:val="en-US" w:eastAsia="zh-CN"/>
              </w:rPr>
              <w:t>废包装袋、废化妆瓶</w:t>
            </w:r>
            <w:r>
              <w:rPr>
                <w:rFonts w:hint="eastAsia" w:ascii="Times New Roman" w:hAnsi="Times New Roman" w:cs="宋体"/>
                <w:color w:val="000000"/>
                <w:kern w:val="0"/>
                <w:sz w:val="24"/>
                <w:szCs w:val="24"/>
                <w:u w:val="none"/>
                <w:lang w:val="en-US" w:eastAsia="zh-CN" w:bidi="zh-CN"/>
              </w:rPr>
              <w:t>一般固废暂存间（10m</w:t>
            </w:r>
            <w:r>
              <w:rPr>
                <w:rFonts w:hint="eastAsia" w:ascii="Times New Roman" w:hAnsi="Times New Roman" w:cs="宋体"/>
                <w:color w:val="000000"/>
                <w:kern w:val="0"/>
                <w:sz w:val="24"/>
                <w:szCs w:val="24"/>
                <w:u w:val="none"/>
                <w:vertAlign w:val="superscript"/>
                <w:lang w:val="en-US" w:eastAsia="zh-CN" w:bidi="zh-CN"/>
              </w:rPr>
              <w:t>2</w:t>
            </w:r>
            <w:r>
              <w:rPr>
                <w:rFonts w:hint="eastAsia" w:ascii="Times New Roman" w:hAnsi="Times New Roman" w:cs="宋体"/>
                <w:color w:val="000000"/>
                <w:kern w:val="0"/>
                <w:sz w:val="24"/>
                <w:szCs w:val="24"/>
                <w:u w:val="none"/>
                <w:lang w:val="en-US" w:eastAsia="zh-CN" w:bidi="zh-CN"/>
              </w:rPr>
              <w:t>）暂存后外售综合利用</w:t>
            </w:r>
            <w:r>
              <w:rPr>
                <w:rFonts w:hint="eastAsia" w:ascii="Times New Roman" w:hAnsi="Times New Roman" w:eastAsia="宋体" w:cs="宋体"/>
                <w:sz w:val="24"/>
                <w:szCs w:val="24"/>
                <w:u w:val="none"/>
                <w:lang w:val="en-US" w:eastAsia="zh-CN"/>
              </w:rPr>
              <w:t>。</w:t>
            </w:r>
            <w:r>
              <w:rPr>
                <w:rFonts w:hint="eastAsia" w:ascii="Times New Roman" w:hAnsi="Times New Roman" w:cs="宋体"/>
                <w:sz w:val="24"/>
                <w:szCs w:val="24"/>
                <w:u w:val="none"/>
                <w:lang w:val="en-US" w:eastAsia="zh-CN"/>
              </w:rPr>
              <w:t>废活性炭危废暂存间（10m</w:t>
            </w:r>
            <w:r>
              <w:rPr>
                <w:rFonts w:hint="eastAsia" w:ascii="Times New Roman" w:hAnsi="Times New Roman" w:cs="宋体"/>
                <w:sz w:val="24"/>
                <w:szCs w:val="24"/>
                <w:u w:val="none"/>
                <w:vertAlign w:val="superscript"/>
                <w:lang w:val="en-US" w:eastAsia="zh-CN"/>
              </w:rPr>
              <w:t>2</w:t>
            </w:r>
            <w:r>
              <w:rPr>
                <w:rFonts w:hint="eastAsia" w:ascii="Times New Roman" w:hAnsi="Times New Roman" w:cs="宋体"/>
                <w:sz w:val="24"/>
                <w:szCs w:val="24"/>
                <w:u w:val="none"/>
                <w:lang w:val="en-US" w:eastAsia="zh-CN"/>
              </w:rPr>
              <w:t>）暂存后定期交有资质单位处理</w:t>
            </w:r>
            <w:r>
              <w:rPr>
                <w:rFonts w:hint="eastAsia" w:ascii="Times New Roman" w:hAnsi="Times New Roman" w:eastAsia="宋体" w:cs="宋体"/>
                <w:sz w:val="24"/>
                <w:szCs w:val="24"/>
                <w:u w:val="none"/>
                <w:lang w:val="en-US" w:eastAsia="zh-CN"/>
              </w:rPr>
              <w:t>。</w:t>
            </w:r>
          </w:p>
        </w:tc>
      </w:tr>
      <w:tr w14:paraId="044285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538" w:type="dxa"/>
            <w:tcBorders>
              <w:tl2br w:val="nil"/>
              <w:tr2bl w:val="nil"/>
            </w:tcBorders>
            <w:vAlign w:val="center"/>
          </w:tcPr>
          <w:p w14:paraId="5D744861">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土壤及地下水污染防治措施</w:t>
            </w:r>
          </w:p>
        </w:tc>
        <w:tc>
          <w:tcPr>
            <w:tcW w:w="7551" w:type="dxa"/>
            <w:gridSpan w:val="4"/>
            <w:tcBorders>
              <w:tl2br w:val="nil"/>
              <w:tr2bl w:val="nil"/>
            </w:tcBorders>
            <w:vAlign w:val="center"/>
          </w:tcPr>
          <w:p w14:paraId="6F6041E5">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r>
      <w:tr w14:paraId="1E16D16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538" w:type="dxa"/>
            <w:tcBorders>
              <w:tl2br w:val="nil"/>
              <w:tr2bl w:val="nil"/>
            </w:tcBorders>
            <w:vAlign w:val="center"/>
          </w:tcPr>
          <w:p w14:paraId="5D50A520">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生态保护措施</w:t>
            </w:r>
          </w:p>
        </w:tc>
        <w:tc>
          <w:tcPr>
            <w:tcW w:w="7551" w:type="dxa"/>
            <w:gridSpan w:val="4"/>
            <w:tcBorders>
              <w:tl2br w:val="nil"/>
              <w:tr2bl w:val="nil"/>
            </w:tcBorders>
            <w:vAlign w:val="center"/>
          </w:tcPr>
          <w:p w14:paraId="7AEB7AC2">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w:t>
            </w:r>
          </w:p>
        </w:tc>
      </w:tr>
      <w:tr w14:paraId="31E1006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38" w:type="dxa"/>
            <w:tcBorders>
              <w:tl2br w:val="nil"/>
              <w:tr2bl w:val="nil"/>
            </w:tcBorders>
            <w:vAlign w:val="center"/>
          </w:tcPr>
          <w:p w14:paraId="5CF97029">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环境风险防范措施</w:t>
            </w:r>
          </w:p>
        </w:tc>
        <w:tc>
          <w:tcPr>
            <w:tcW w:w="7551" w:type="dxa"/>
            <w:gridSpan w:val="4"/>
            <w:tcBorders>
              <w:tl2br w:val="nil"/>
              <w:tr2bl w:val="nil"/>
            </w:tcBorders>
            <w:vAlign w:val="center"/>
          </w:tcPr>
          <w:p w14:paraId="3307127D">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both"/>
              <w:textAlignment w:val="auto"/>
              <w:rPr>
                <w:rFonts w:hint="default" w:ascii="Times New Roman" w:hAnsi="Times New Roman" w:eastAsia="宋体" w:cs="Times New Roman"/>
                <w:sz w:val="24"/>
                <w:szCs w:val="24"/>
                <w:u w:val="none"/>
                <w:lang w:val="en-US"/>
              </w:rPr>
            </w:pPr>
            <w:r>
              <w:rPr>
                <w:rFonts w:hint="default" w:ascii="Times New Roman" w:hAnsi="Times New Roman" w:eastAsia="宋体" w:cs="仿宋_GB2312"/>
                <w:color w:val="000000"/>
                <w:kern w:val="0"/>
                <w:sz w:val="24"/>
                <w:szCs w:val="24"/>
                <w:u w:val="none"/>
                <w:lang w:val="en-US" w:eastAsia="zh-CN"/>
              </w:rPr>
              <w:t>加强项目管理、完善事故应急预案</w:t>
            </w:r>
            <w:r>
              <w:rPr>
                <w:rFonts w:hint="eastAsia" w:ascii="Times New Roman" w:hAnsi="Times New Roman" w:cs="仿宋_GB2312"/>
                <w:color w:val="000000"/>
                <w:kern w:val="0"/>
                <w:sz w:val="24"/>
                <w:szCs w:val="24"/>
                <w:u w:val="none"/>
                <w:lang w:val="en-US" w:eastAsia="zh-CN"/>
              </w:rPr>
              <w:t>。</w:t>
            </w:r>
          </w:p>
        </w:tc>
      </w:tr>
      <w:tr w14:paraId="1371782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6420" w:hRule="atLeast"/>
          <w:jc w:val="center"/>
        </w:trPr>
        <w:tc>
          <w:tcPr>
            <w:tcW w:w="1538" w:type="dxa"/>
            <w:tcBorders>
              <w:tl2br w:val="nil"/>
              <w:tr2bl w:val="nil"/>
            </w:tcBorders>
            <w:vAlign w:val="center"/>
          </w:tcPr>
          <w:p w14:paraId="1B9181C6">
            <w:pPr>
              <w:pStyle w:val="44"/>
              <w:keepNext w:val="0"/>
              <w:keepLines w:val="0"/>
              <w:pageBreakBefore w:val="0"/>
              <w:widowControl w:val="0"/>
              <w:kinsoku/>
              <w:wordWrap/>
              <w:overflowPunct/>
              <w:topLinePunct w:val="0"/>
              <w:autoSpaceDE w:val="0"/>
              <w:autoSpaceDN w:val="0"/>
              <w:bidi w:val="0"/>
              <w:adjustRightInd/>
              <w:snapToGrid/>
              <w:spacing w:before="0" w:beforeAutospacing="0" w:afterAutospacing="0" w:line="400" w:lineRule="exact"/>
              <w:ind w:left="0" w:right="0"/>
              <w:jc w:val="center"/>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其他环境管理要求</w:t>
            </w:r>
          </w:p>
        </w:tc>
        <w:tc>
          <w:tcPr>
            <w:tcW w:w="7551" w:type="dxa"/>
            <w:gridSpan w:val="4"/>
            <w:tcBorders>
              <w:tl2br w:val="nil"/>
              <w:tr2bl w:val="nil"/>
            </w:tcBorders>
            <w:vAlign w:val="center"/>
          </w:tcPr>
          <w:p w14:paraId="4ADFC0B6">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textAlignment w:val="auto"/>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①建立完善的环境管理制度，设立专</w:t>
            </w:r>
            <w:r>
              <w:rPr>
                <w:rFonts w:hint="eastAsia" w:ascii="Times New Roman" w:hAnsi="Times New Roman" w:cs="Times New Roman"/>
                <w:color w:val="000000"/>
                <w:sz w:val="24"/>
                <w:szCs w:val="24"/>
                <w:u w:val="none"/>
                <w:lang w:eastAsia="zh-CN"/>
              </w:rPr>
              <w:t>门的</w:t>
            </w:r>
            <w:r>
              <w:rPr>
                <w:rFonts w:hint="default" w:ascii="Times New Roman" w:hAnsi="Times New Roman" w:eastAsia="宋体" w:cs="Times New Roman"/>
                <w:color w:val="000000"/>
                <w:sz w:val="24"/>
                <w:szCs w:val="24"/>
                <w:u w:val="none"/>
              </w:rPr>
              <w:t>环境管理机构，建立完善的环境监测制度。</w:t>
            </w:r>
          </w:p>
          <w:p w14:paraId="25343D97">
            <w:pPr>
              <w:keepNext w:val="0"/>
              <w:keepLines w:val="0"/>
              <w:pageBreakBefore w:val="0"/>
              <w:widowControl w:val="0"/>
              <w:kinsoku/>
              <w:wordWrap/>
              <w:overflowPunct/>
              <w:topLinePunct w:val="0"/>
              <w:autoSpaceDE w:val="0"/>
              <w:autoSpaceDN w:val="0"/>
              <w:bidi w:val="0"/>
              <w:adjustRightInd w:val="0"/>
              <w:snapToGrid w:val="0"/>
              <w:spacing w:beforeAutospacing="0" w:afterAutospacing="0" w:line="400" w:lineRule="exac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color w:val="000000"/>
                <w:sz w:val="24"/>
                <w:szCs w:val="24"/>
                <w:u w:val="none"/>
              </w:rPr>
              <w:t>②按照环境监测计划对项目</w:t>
            </w:r>
            <w:r>
              <w:rPr>
                <w:rFonts w:hint="eastAsia" w:ascii="Times New Roman" w:hAnsi="Times New Roman" w:cs="Times New Roman"/>
                <w:color w:val="000000"/>
                <w:sz w:val="24"/>
                <w:szCs w:val="24"/>
                <w:u w:val="none"/>
                <w:lang w:val="en-US" w:eastAsia="zh-CN"/>
              </w:rPr>
              <w:t>废水、废气、</w:t>
            </w:r>
            <w:r>
              <w:rPr>
                <w:rFonts w:hint="default" w:ascii="Times New Roman" w:hAnsi="Times New Roman" w:eastAsia="宋体" w:cs="Times New Roman"/>
                <w:color w:val="000000"/>
                <w:sz w:val="24"/>
                <w:szCs w:val="24"/>
                <w:u w:val="none"/>
              </w:rPr>
              <w:t>噪声等定期进行监测。</w:t>
            </w:r>
          </w:p>
        </w:tc>
      </w:tr>
    </w:tbl>
    <w:p w14:paraId="21A30E61">
      <w:pPr>
        <w:spacing w:after="0"/>
        <w:jc w:val="center"/>
        <w:rPr>
          <w:sz w:val="21"/>
        </w:rPr>
        <w:sectPr>
          <w:pgSz w:w="11910" w:h="16840"/>
          <w:pgMar w:top="1701" w:right="1587" w:bottom="1984" w:left="1587" w:header="850" w:footer="1134" w:gutter="0"/>
          <w:pgBorders>
            <w:top w:val="none" w:sz="0" w:space="0"/>
            <w:left w:val="none" w:sz="0" w:space="0"/>
            <w:bottom w:val="none" w:sz="0" w:space="0"/>
            <w:right w:val="none" w:sz="0" w:space="0"/>
          </w:pgBorders>
          <w:pgNumType w:fmt="numberInDash"/>
          <w:cols w:space="720" w:num="1"/>
        </w:sectPr>
      </w:pPr>
    </w:p>
    <w:p w14:paraId="2E281BDC">
      <w:pPr>
        <w:pStyle w:val="10"/>
        <w:spacing w:before="58"/>
        <w:ind w:left="635" w:right="653"/>
        <w:jc w:val="center"/>
      </w:pPr>
      <w:r>
        <w:t>六、结论</w:t>
      </w:r>
    </w:p>
    <w:tbl>
      <w:tblPr>
        <w:tblStyle w:val="24"/>
        <w:tblW w:w="9466" w:type="dxa"/>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466"/>
      </w:tblGrid>
      <w:tr w14:paraId="71EEC95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940" w:hRule="atLeast"/>
        </w:trPr>
        <w:tc>
          <w:tcPr>
            <w:tcW w:w="9466" w:type="dxa"/>
            <w:tcBorders>
              <w:tl2br w:val="nil"/>
              <w:tr2bl w:val="nil"/>
            </w:tcBorders>
            <w:vAlign w:val="top"/>
          </w:tcPr>
          <w:p w14:paraId="1F52D976">
            <w:pPr>
              <w:pStyle w:val="3"/>
              <w:widowControl w:val="0"/>
              <w:tabs>
                <w:tab w:val="left" w:pos="7977"/>
              </w:tabs>
              <w:wordWrap/>
              <w:autoSpaceDE w:val="0"/>
              <w:autoSpaceDN w:val="0"/>
              <w:adjustRightInd/>
              <w:snapToGrid/>
              <w:spacing w:before="0" w:beforeAutospacing="0" w:after="0" w:afterAutospacing="0" w:line="520" w:lineRule="exact"/>
              <w:ind w:left="0" w:right="0" w:firstLine="480" w:firstLineChars="200"/>
              <w:jc w:val="both"/>
              <w:textAlignment w:val="auto"/>
              <w:outlineLvl w:val="1"/>
              <w:rPr>
                <w:rFonts w:hint="default"/>
              </w:rPr>
            </w:pPr>
            <w:r>
              <w:rPr>
                <w:rFonts w:hint="eastAsia" w:ascii="Times New Roman" w:hAnsi="Times New Roman" w:eastAsia="宋体" w:cs="Times New Roman"/>
                <w:b w:val="0"/>
                <w:bCs w:val="0"/>
                <w:sz w:val="24"/>
                <w:szCs w:val="28"/>
                <w:lang w:val="en-US" w:eastAsia="zh-CN" w:bidi="zh-CN"/>
              </w:rPr>
              <w:t>许昌益瑞斯工艺品有限公司年产10000件模特头项目</w:t>
            </w:r>
            <w:r>
              <w:rPr>
                <w:rFonts w:hint="default" w:ascii="Times New Roman" w:hAnsi="Times New Roman" w:eastAsia="宋体" w:cs="Times New Roman"/>
                <w:b w:val="0"/>
                <w:bCs w:val="0"/>
                <w:sz w:val="24"/>
                <w:szCs w:val="28"/>
                <w:lang w:val="zh-CN" w:eastAsia="zh-CN" w:bidi="zh-CN"/>
              </w:rPr>
              <w:t>符合国家产业</w:t>
            </w:r>
            <w:r>
              <w:rPr>
                <w:rFonts w:hint="default" w:ascii="Times New Roman" w:hAnsi="Times New Roman" w:eastAsia="宋体" w:cs="Times New Roman"/>
                <w:b w:val="0"/>
                <w:bCs w:val="0"/>
                <w:sz w:val="24"/>
                <w:szCs w:val="28"/>
                <w:lang w:val="en-US" w:eastAsia="zh-CN" w:bidi="zh-CN"/>
              </w:rPr>
              <w:t>政策要求，选址合理，符合清洁生产要求。工程建设符合国家产业政策，采取的</w:t>
            </w:r>
            <w:r>
              <w:rPr>
                <w:rFonts w:hint="eastAsia" w:ascii="Times New Roman" w:hAnsi="Times New Roman" w:eastAsia="宋体" w:cs="Times New Roman"/>
                <w:b w:val="0"/>
                <w:bCs w:val="0"/>
                <w:sz w:val="24"/>
                <w:szCs w:val="28"/>
                <w:lang w:val="en-US" w:eastAsia="zh-CN" w:bidi="zh-CN"/>
              </w:rPr>
              <w:t>“</w:t>
            </w:r>
            <w:r>
              <w:rPr>
                <w:rFonts w:hint="default" w:ascii="Times New Roman" w:hAnsi="Times New Roman" w:eastAsia="宋体" w:cs="Times New Roman"/>
                <w:b w:val="0"/>
                <w:bCs w:val="0"/>
                <w:sz w:val="24"/>
                <w:szCs w:val="28"/>
                <w:lang w:val="en-US" w:eastAsia="zh-CN" w:bidi="zh-CN"/>
              </w:rPr>
              <w:t>三废</w:t>
            </w:r>
            <w:r>
              <w:rPr>
                <w:rFonts w:hint="eastAsia" w:ascii="Times New Roman" w:hAnsi="Times New Roman" w:eastAsia="宋体" w:cs="Times New Roman"/>
                <w:b w:val="0"/>
                <w:bCs w:val="0"/>
                <w:sz w:val="24"/>
                <w:szCs w:val="28"/>
                <w:lang w:val="en-US" w:eastAsia="zh-CN" w:bidi="zh-CN"/>
              </w:rPr>
              <w:t>”</w:t>
            </w:r>
            <w:r>
              <w:rPr>
                <w:rFonts w:hint="default" w:ascii="Times New Roman" w:hAnsi="Times New Roman" w:eastAsia="宋体" w:cs="Times New Roman"/>
                <w:b w:val="0"/>
                <w:bCs w:val="0"/>
                <w:sz w:val="24"/>
                <w:szCs w:val="28"/>
                <w:lang w:val="en-US" w:eastAsia="zh-CN" w:bidi="zh-CN"/>
              </w:rPr>
              <w:t>及污染治理措施经济技术可行，措施有效；项目实施后可满足当地环保质量要求。评价认为，在严格执行</w:t>
            </w:r>
            <w:r>
              <w:rPr>
                <w:rFonts w:hint="eastAsia" w:ascii="Times New Roman" w:hAnsi="Times New Roman" w:eastAsia="宋体" w:cs="Times New Roman"/>
                <w:b w:val="0"/>
                <w:bCs w:val="0"/>
                <w:sz w:val="24"/>
                <w:szCs w:val="28"/>
                <w:lang w:val="en-US" w:eastAsia="zh-CN" w:bidi="zh-CN"/>
              </w:rPr>
              <w:t>“</w:t>
            </w:r>
            <w:r>
              <w:rPr>
                <w:rFonts w:hint="default" w:ascii="Times New Roman" w:hAnsi="Times New Roman" w:eastAsia="宋体" w:cs="Times New Roman"/>
                <w:b w:val="0"/>
                <w:bCs w:val="0"/>
                <w:sz w:val="24"/>
                <w:szCs w:val="28"/>
                <w:lang w:val="en-US" w:eastAsia="zh-CN" w:bidi="zh-CN"/>
              </w:rPr>
              <w:t>三同时</w:t>
            </w:r>
            <w:r>
              <w:rPr>
                <w:rFonts w:hint="eastAsia" w:ascii="Times New Roman" w:hAnsi="Times New Roman" w:eastAsia="宋体" w:cs="Times New Roman"/>
                <w:b w:val="0"/>
                <w:bCs w:val="0"/>
                <w:sz w:val="24"/>
                <w:szCs w:val="28"/>
                <w:lang w:val="en-US" w:eastAsia="zh-CN" w:bidi="zh-CN"/>
              </w:rPr>
              <w:t>”</w:t>
            </w:r>
            <w:r>
              <w:rPr>
                <w:rFonts w:hint="default" w:ascii="Times New Roman" w:hAnsi="Times New Roman" w:eastAsia="宋体" w:cs="Times New Roman"/>
                <w:b w:val="0"/>
                <w:bCs w:val="0"/>
                <w:sz w:val="24"/>
                <w:szCs w:val="28"/>
                <w:lang w:val="en-US" w:eastAsia="zh-CN" w:bidi="zh-CN"/>
              </w:rPr>
              <w:t>制度，在保证达标排放的前提下，从环境保护角度分析</w:t>
            </w:r>
            <w:r>
              <w:rPr>
                <w:rFonts w:hint="eastAsia" w:ascii="Times New Roman" w:hAnsi="Times New Roman" w:eastAsia="宋体" w:cs="Times New Roman"/>
                <w:b w:val="0"/>
                <w:bCs w:val="0"/>
                <w:sz w:val="24"/>
                <w:szCs w:val="28"/>
                <w:lang w:val="en-US" w:eastAsia="zh-CN" w:bidi="zh-CN"/>
              </w:rPr>
              <w:t>，</w:t>
            </w:r>
            <w:r>
              <w:rPr>
                <w:rFonts w:hint="default" w:ascii="Times New Roman" w:hAnsi="Times New Roman" w:eastAsia="宋体" w:cs="Times New Roman"/>
                <w:b w:val="0"/>
                <w:bCs w:val="0"/>
                <w:sz w:val="24"/>
                <w:szCs w:val="28"/>
                <w:lang w:val="en-US" w:eastAsia="zh-CN" w:bidi="zh-CN"/>
              </w:rPr>
              <w:t>本项目建设可行</w:t>
            </w:r>
            <w:r>
              <w:rPr>
                <w:rFonts w:hint="eastAsia" w:ascii="Times New Roman" w:hAnsi="Times New Roman" w:eastAsia="宋体" w:cs="Times New Roman"/>
                <w:b w:val="0"/>
                <w:bCs w:val="0"/>
                <w:sz w:val="24"/>
                <w:szCs w:val="28"/>
                <w:lang w:val="en-US" w:eastAsia="zh-CN" w:bidi="zh-CN"/>
              </w:rPr>
              <w:t>。</w:t>
            </w:r>
          </w:p>
        </w:tc>
      </w:tr>
    </w:tbl>
    <w:p w14:paraId="021350DA">
      <w:pPr>
        <w:pStyle w:val="10"/>
        <w:spacing w:before="58"/>
        <w:ind w:left="635" w:right="653"/>
        <w:jc w:val="center"/>
      </w:pPr>
    </w:p>
    <w:p w14:paraId="1DE3D5BA">
      <w:pPr>
        <w:pStyle w:val="10"/>
        <w:spacing w:before="10"/>
        <w:rPr>
          <w:sz w:val="18"/>
        </w:rPr>
        <w:sectPr>
          <w:pgSz w:w="11910" w:h="16840"/>
          <w:pgMar w:top="1580" w:right="1320" w:bottom="1000" w:left="1340" w:header="850" w:footer="1134" w:gutter="0"/>
          <w:pgBorders>
            <w:top w:val="none" w:sz="0" w:space="0"/>
            <w:left w:val="none" w:sz="0" w:space="0"/>
            <w:bottom w:val="none" w:sz="0" w:space="0"/>
            <w:right w:val="none" w:sz="0" w:space="0"/>
          </w:pgBorders>
          <w:pgNumType w:fmt="numberInDash"/>
          <w:cols w:space="720" w:num="1"/>
        </w:sectPr>
      </w:pPr>
    </w:p>
    <w:p w14:paraId="08F30E48">
      <w:pPr>
        <w:pStyle w:val="20"/>
        <w:adjustRightInd w:val="0"/>
        <w:snapToGrid w:val="0"/>
        <w:spacing w:before="0" w:beforeAutospacing="0" w:after="0" w:afterAutospacing="0" w:line="648"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14:paraId="41788D41">
      <w:pPr>
        <w:pStyle w:val="20"/>
        <w:adjustRightInd w:val="0"/>
        <w:snapToGrid w:val="0"/>
        <w:spacing w:before="0" w:beforeAutospacing="0" w:after="0" w:afterAutospacing="0" w:line="552"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481"/>
        <w:gridCol w:w="1304"/>
      </w:tblGrid>
      <w:tr w14:paraId="24DDAB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60228B4E">
            <w:pPr>
              <w:pStyle w:val="64"/>
              <w:spacing w:beforeLines="0" w:afterLines="0" w:line="240" w:lineRule="auto"/>
              <w:jc w:val="right"/>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项目</w:t>
            </w:r>
          </w:p>
          <w:p w14:paraId="6ECFF16E">
            <w:pPr>
              <w:pStyle w:val="64"/>
              <w:spacing w:beforeLines="0" w:afterLines="0" w:line="240" w:lineRule="auto"/>
              <w:jc w:val="left"/>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分类</w:t>
            </w:r>
          </w:p>
        </w:tc>
        <w:tc>
          <w:tcPr>
            <w:tcW w:w="1417" w:type="dxa"/>
            <w:tcMar>
              <w:left w:w="28" w:type="dxa"/>
              <w:right w:w="28" w:type="dxa"/>
            </w:tcMar>
            <w:vAlign w:val="center"/>
          </w:tcPr>
          <w:p w14:paraId="298D0C57">
            <w:pPr>
              <w:pStyle w:val="64"/>
              <w:spacing w:beforeLines="0" w:afterLines="0" w:line="240" w:lineRule="auto"/>
              <w:rPr>
                <w:rFonts w:hint="eastAsia" w:ascii="黑体" w:hAnsi="黑体" w:eastAsia="黑体" w:cs="宋体"/>
                <w:snapToGrid w:val="0"/>
                <w:color w:val="000000"/>
                <w:spacing w:val="-6"/>
                <w:kern w:val="21"/>
                <w:sz w:val="20"/>
                <w:szCs w:val="21"/>
              </w:rPr>
            </w:pPr>
            <w:r>
              <w:rPr>
                <w:rFonts w:hint="eastAsia" w:ascii="黑体" w:hAnsi="黑体" w:eastAsia="黑体" w:cs="宋体"/>
                <w:snapToGrid w:val="0"/>
                <w:color w:val="000000"/>
                <w:spacing w:val="-6"/>
                <w:kern w:val="21"/>
                <w:sz w:val="20"/>
                <w:szCs w:val="21"/>
              </w:rPr>
              <w:t>污染物名称</w:t>
            </w:r>
          </w:p>
        </w:tc>
        <w:tc>
          <w:tcPr>
            <w:tcW w:w="1701" w:type="dxa"/>
            <w:tcMar>
              <w:left w:w="28" w:type="dxa"/>
              <w:right w:w="28" w:type="dxa"/>
            </w:tcMar>
            <w:vAlign w:val="center"/>
          </w:tcPr>
          <w:p w14:paraId="4BD16106">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现有工程</w:t>
            </w:r>
          </w:p>
          <w:p w14:paraId="53A1FC4E">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1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①</w:t>
            </w:r>
            <w:r>
              <w:rPr>
                <w:rFonts w:hint="default" w:ascii="黑体" w:hAnsi="黑体" w:eastAsia="黑体" w:cs="Times New Roman"/>
                <w:snapToGrid w:val="0"/>
                <w:color w:val="000000"/>
                <w:spacing w:val="-6"/>
                <w:kern w:val="21"/>
                <w:sz w:val="20"/>
                <w:szCs w:val="21"/>
              </w:rPr>
              <w:fldChar w:fldCharType="end"/>
            </w:r>
          </w:p>
        </w:tc>
        <w:tc>
          <w:tcPr>
            <w:tcW w:w="1276" w:type="dxa"/>
            <w:tcMar>
              <w:left w:w="28" w:type="dxa"/>
              <w:right w:w="28" w:type="dxa"/>
            </w:tcMar>
            <w:vAlign w:val="center"/>
          </w:tcPr>
          <w:p w14:paraId="036FEC50">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现有工程</w:t>
            </w:r>
          </w:p>
          <w:p w14:paraId="11322D09">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许可排放量</w:t>
            </w:r>
          </w:p>
          <w:p w14:paraId="62752947">
            <w:pPr>
              <w:pStyle w:val="64"/>
              <w:spacing w:beforeLines="0" w:afterLines="0"/>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2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snapToGrid w:val="0"/>
                <w:color w:val="000000"/>
                <w:spacing w:val="-6"/>
                <w:kern w:val="21"/>
                <w:sz w:val="20"/>
                <w:szCs w:val="21"/>
              </w:rPr>
              <w:t>②</w:t>
            </w:r>
            <w:r>
              <w:rPr>
                <w:rFonts w:hint="default" w:ascii="黑体" w:hAnsi="黑体" w:eastAsia="黑体" w:cs="Times New Roman"/>
                <w:snapToGrid w:val="0"/>
                <w:color w:val="000000"/>
                <w:spacing w:val="-6"/>
                <w:kern w:val="21"/>
                <w:sz w:val="20"/>
                <w:szCs w:val="21"/>
              </w:rPr>
              <w:fldChar w:fldCharType="end"/>
            </w:r>
          </w:p>
        </w:tc>
        <w:tc>
          <w:tcPr>
            <w:tcW w:w="1701" w:type="dxa"/>
            <w:tcMar>
              <w:left w:w="28" w:type="dxa"/>
              <w:right w:w="28" w:type="dxa"/>
            </w:tcMar>
            <w:vAlign w:val="center"/>
          </w:tcPr>
          <w:p w14:paraId="58C99A73">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在建工程</w:t>
            </w:r>
          </w:p>
          <w:p w14:paraId="039982E9">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3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③</w:t>
            </w:r>
            <w:r>
              <w:rPr>
                <w:rFonts w:hint="default" w:ascii="黑体" w:hAnsi="黑体" w:eastAsia="黑体" w:cs="Times New Roman"/>
                <w:snapToGrid w:val="0"/>
                <w:color w:val="000000"/>
                <w:spacing w:val="-6"/>
                <w:kern w:val="21"/>
                <w:sz w:val="20"/>
                <w:szCs w:val="21"/>
              </w:rPr>
              <w:fldChar w:fldCharType="end"/>
            </w:r>
          </w:p>
        </w:tc>
        <w:tc>
          <w:tcPr>
            <w:tcW w:w="1559" w:type="dxa"/>
            <w:tcMar>
              <w:left w:w="28" w:type="dxa"/>
              <w:right w:w="28" w:type="dxa"/>
            </w:tcMar>
            <w:vAlign w:val="center"/>
          </w:tcPr>
          <w:p w14:paraId="6B3EF0C9">
            <w:pPr>
              <w:pStyle w:val="64"/>
              <w:spacing w:beforeLines="0" w:afterLines="0" w:line="240" w:lineRule="auto"/>
              <w:rPr>
                <w:rFonts w:hint="eastAsia"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本项目</w:t>
            </w:r>
          </w:p>
          <w:p w14:paraId="4B0D79A5">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排放量（固</w:t>
            </w:r>
            <w:r>
              <w:rPr>
                <w:rFonts w:hint="eastAsia" w:ascii="黑体" w:hAnsi="黑体" w:eastAsia="黑体" w:cs="Times New Roman"/>
                <w:snapToGrid w:val="0"/>
                <w:color w:val="000000"/>
                <w:spacing w:val="-6"/>
                <w:kern w:val="21"/>
                <w:sz w:val="20"/>
                <w:szCs w:val="21"/>
              </w:rPr>
              <w:t>体</w:t>
            </w:r>
            <w:r>
              <w:rPr>
                <w:rFonts w:hint="default" w:ascii="黑体" w:hAnsi="黑体" w:eastAsia="黑体" w:cs="Times New Roman"/>
                <w:snapToGrid w:val="0"/>
                <w:color w:val="000000"/>
                <w:spacing w:val="-6"/>
                <w:kern w:val="21"/>
                <w:sz w:val="20"/>
                <w:szCs w:val="21"/>
              </w:rPr>
              <w:t>废</w:t>
            </w:r>
            <w:r>
              <w:rPr>
                <w:rFonts w:hint="eastAsia" w:ascii="黑体" w:hAnsi="黑体" w:eastAsia="黑体" w:cs="Times New Roman"/>
                <w:snapToGrid w:val="0"/>
                <w:color w:val="000000"/>
                <w:spacing w:val="-6"/>
                <w:kern w:val="21"/>
                <w:sz w:val="20"/>
                <w:szCs w:val="21"/>
              </w:rPr>
              <w:t>物</w:t>
            </w:r>
            <w:r>
              <w:rPr>
                <w:rFonts w:hint="default" w:ascii="黑体" w:hAnsi="黑体" w:eastAsia="黑体" w:cs="Times New Roman"/>
                <w:snapToGrid w:val="0"/>
                <w:color w:val="000000"/>
                <w:spacing w:val="-6"/>
                <w:kern w:val="21"/>
                <w:sz w:val="20"/>
                <w:szCs w:val="21"/>
              </w:rPr>
              <w:t>产生量）</w:t>
            </w: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4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④</w:t>
            </w:r>
            <w:r>
              <w:rPr>
                <w:rFonts w:hint="default" w:ascii="黑体" w:hAnsi="黑体" w:eastAsia="黑体" w:cs="Times New Roman"/>
                <w:snapToGrid w:val="0"/>
                <w:color w:val="000000"/>
                <w:spacing w:val="-6"/>
                <w:kern w:val="21"/>
                <w:sz w:val="20"/>
                <w:szCs w:val="21"/>
              </w:rPr>
              <w:fldChar w:fldCharType="end"/>
            </w:r>
          </w:p>
        </w:tc>
        <w:tc>
          <w:tcPr>
            <w:tcW w:w="1761" w:type="dxa"/>
            <w:tcMar>
              <w:left w:w="28" w:type="dxa"/>
              <w:right w:w="28" w:type="dxa"/>
            </w:tcMar>
            <w:vAlign w:val="center"/>
          </w:tcPr>
          <w:p w14:paraId="7C752202">
            <w:pPr>
              <w:pStyle w:val="64"/>
              <w:spacing w:beforeLines="0" w:afterLines="0" w:line="240" w:lineRule="auto"/>
              <w:rPr>
                <w:rFonts w:hint="eastAsia"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以新带老削减量</w:t>
            </w:r>
          </w:p>
          <w:p w14:paraId="30D0D5B8">
            <w:pPr>
              <w:pStyle w:val="64"/>
              <w:spacing w:beforeLines="0" w:afterLines="0" w:line="240" w:lineRule="auto"/>
              <w:rPr>
                <w:rFonts w:hint="default"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（新建项目不填）</w:t>
            </w:r>
            <w:r>
              <w:rPr>
                <w:rFonts w:hint="default" w:ascii="黑体" w:hAnsi="黑体" w:eastAsia="黑体" w:cs="Times New Roman"/>
                <w:snapToGrid w:val="0"/>
                <w:color w:val="000000"/>
                <w:spacing w:val="-16"/>
                <w:kern w:val="21"/>
                <w:sz w:val="20"/>
                <w:szCs w:val="21"/>
              </w:rPr>
              <w:fldChar w:fldCharType="begin"/>
            </w:r>
            <w:r>
              <w:rPr>
                <w:rFonts w:hint="default" w:ascii="黑体" w:hAnsi="黑体" w:eastAsia="黑体" w:cs="Times New Roman"/>
                <w:snapToGrid w:val="0"/>
                <w:color w:val="000000"/>
                <w:spacing w:val="-16"/>
                <w:kern w:val="21"/>
                <w:sz w:val="20"/>
                <w:szCs w:val="21"/>
              </w:rPr>
              <w:instrText xml:space="preserve"> = 5 \* GB3 \* MERGEFORMAT </w:instrText>
            </w:r>
            <w:r>
              <w:rPr>
                <w:rFonts w:hint="default" w:ascii="黑体" w:hAnsi="黑体" w:eastAsia="黑体" w:cs="Times New Roman"/>
                <w:snapToGrid w:val="0"/>
                <w:color w:val="000000"/>
                <w:spacing w:val="-16"/>
                <w:kern w:val="21"/>
                <w:sz w:val="20"/>
                <w:szCs w:val="21"/>
              </w:rPr>
              <w:fldChar w:fldCharType="separate"/>
            </w:r>
            <w:r>
              <w:rPr>
                <w:rFonts w:hint="eastAsia" w:ascii="黑体" w:hAnsi="黑体" w:eastAsia="黑体" w:cs="宋体"/>
                <w:kern w:val="2"/>
                <w:sz w:val="20"/>
                <w:szCs w:val="21"/>
              </w:rPr>
              <w:t>⑤</w:t>
            </w:r>
            <w:r>
              <w:rPr>
                <w:rFonts w:hint="default" w:ascii="黑体" w:hAnsi="黑体" w:eastAsia="黑体" w:cs="Times New Roman"/>
                <w:snapToGrid w:val="0"/>
                <w:color w:val="000000"/>
                <w:spacing w:val="-16"/>
                <w:kern w:val="21"/>
                <w:sz w:val="20"/>
                <w:szCs w:val="21"/>
              </w:rPr>
              <w:fldChar w:fldCharType="end"/>
            </w:r>
          </w:p>
        </w:tc>
        <w:tc>
          <w:tcPr>
            <w:tcW w:w="1481" w:type="dxa"/>
            <w:tcMar>
              <w:left w:w="28" w:type="dxa"/>
              <w:right w:w="28" w:type="dxa"/>
            </w:tcMar>
            <w:vAlign w:val="center"/>
          </w:tcPr>
          <w:p w14:paraId="6CF775B9">
            <w:pPr>
              <w:pStyle w:val="64"/>
              <w:spacing w:beforeLines="0" w:afterLines="0" w:line="240" w:lineRule="auto"/>
              <w:rPr>
                <w:rFonts w:hint="eastAsia" w:ascii="黑体" w:hAnsi="黑体" w:eastAsia="黑体" w:cs="Times New Roman"/>
                <w:snapToGrid w:val="0"/>
                <w:color w:val="000000"/>
                <w:spacing w:val="-16"/>
                <w:kern w:val="21"/>
                <w:sz w:val="20"/>
                <w:szCs w:val="21"/>
              </w:rPr>
            </w:pPr>
            <w:r>
              <w:rPr>
                <w:rFonts w:hint="default" w:ascii="黑体" w:hAnsi="黑体" w:eastAsia="黑体" w:cs="Times New Roman"/>
                <w:snapToGrid w:val="0"/>
                <w:color w:val="000000"/>
                <w:spacing w:val="-16"/>
                <w:kern w:val="21"/>
                <w:sz w:val="20"/>
                <w:szCs w:val="21"/>
              </w:rPr>
              <w:t>本项目建成后</w:t>
            </w:r>
          </w:p>
          <w:p w14:paraId="677405A9">
            <w:pPr>
              <w:pStyle w:val="64"/>
              <w:spacing w:beforeLines="0" w:afterLines="0" w:line="240" w:lineRule="auto"/>
              <w:rPr>
                <w:rFonts w:hint="default" w:ascii="黑体" w:hAnsi="黑体" w:eastAsia="黑体" w:cs="Times New Roman"/>
                <w:snapToGrid w:val="0"/>
                <w:color w:val="000000"/>
                <w:spacing w:val="-16"/>
                <w:kern w:val="21"/>
                <w:sz w:val="20"/>
                <w:szCs w:val="21"/>
              </w:rPr>
            </w:pPr>
            <w:r>
              <w:rPr>
                <w:rFonts w:hint="eastAsia" w:ascii="黑体" w:hAnsi="黑体" w:eastAsia="黑体" w:cs="Times New Roman"/>
                <w:snapToGrid w:val="0"/>
                <w:color w:val="000000"/>
                <w:spacing w:val="-16"/>
                <w:kern w:val="21"/>
                <w:sz w:val="20"/>
                <w:szCs w:val="21"/>
              </w:rPr>
              <w:t>全厂</w:t>
            </w:r>
            <w:r>
              <w:rPr>
                <w:rFonts w:hint="default" w:ascii="黑体" w:hAnsi="黑体" w:eastAsia="黑体" w:cs="Times New Roman"/>
                <w:snapToGrid w:val="0"/>
                <w:color w:val="000000"/>
                <w:spacing w:val="-16"/>
                <w:kern w:val="21"/>
                <w:sz w:val="20"/>
                <w:szCs w:val="21"/>
              </w:rPr>
              <w:t>排放量（固</w:t>
            </w:r>
            <w:r>
              <w:rPr>
                <w:rFonts w:hint="eastAsia" w:ascii="黑体" w:hAnsi="黑体" w:eastAsia="黑体" w:cs="Times New Roman"/>
                <w:snapToGrid w:val="0"/>
                <w:color w:val="000000"/>
                <w:spacing w:val="-16"/>
                <w:kern w:val="21"/>
                <w:sz w:val="20"/>
                <w:szCs w:val="21"/>
              </w:rPr>
              <w:t>体</w:t>
            </w:r>
            <w:r>
              <w:rPr>
                <w:rFonts w:hint="default" w:ascii="黑体" w:hAnsi="黑体" w:eastAsia="黑体" w:cs="Times New Roman"/>
                <w:snapToGrid w:val="0"/>
                <w:color w:val="000000"/>
                <w:spacing w:val="-16"/>
                <w:kern w:val="21"/>
                <w:sz w:val="20"/>
                <w:szCs w:val="21"/>
              </w:rPr>
              <w:t>废</w:t>
            </w:r>
            <w:r>
              <w:rPr>
                <w:rFonts w:hint="eastAsia" w:ascii="黑体" w:hAnsi="黑体" w:eastAsia="黑体" w:cs="Times New Roman"/>
                <w:snapToGrid w:val="0"/>
                <w:color w:val="000000"/>
                <w:spacing w:val="-16"/>
                <w:kern w:val="21"/>
                <w:sz w:val="20"/>
                <w:szCs w:val="21"/>
              </w:rPr>
              <w:t>物</w:t>
            </w:r>
            <w:r>
              <w:rPr>
                <w:rFonts w:hint="default" w:ascii="黑体" w:hAnsi="黑体" w:eastAsia="黑体" w:cs="Times New Roman"/>
                <w:snapToGrid w:val="0"/>
                <w:color w:val="000000"/>
                <w:spacing w:val="-16"/>
                <w:kern w:val="21"/>
                <w:sz w:val="20"/>
                <w:szCs w:val="21"/>
              </w:rPr>
              <w:t>产生量）</w:t>
            </w:r>
            <w:r>
              <w:rPr>
                <w:rFonts w:hint="default" w:ascii="黑体" w:hAnsi="黑体" w:eastAsia="黑体" w:cs="Times New Roman"/>
                <w:snapToGrid w:val="0"/>
                <w:color w:val="000000"/>
                <w:spacing w:val="-16"/>
                <w:kern w:val="21"/>
                <w:sz w:val="20"/>
                <w:szCs w:val="21"/>
              </w:rPr>
              <w:fldChar w:fldCharType="begin"/>
            </w:r>
            <w:r>
              <w:rPr>
                <w:rFonts w:hint="default" w:ascii="黑体" w:hAnsi="黑体" w:eastAsia="黑体" w:cs="Times New Roman"/>
                <w:snapToGrid w:val="0"/>
                <w:color w:val="000000"/>
                <w:spacing w:val="-16"/>
                <w:kern w:val="21"/>
                <w:sz w:val="20"/>
                <w:szCs w:val="21"/>
              </w:rPr>
              <w:instrText xml:space="preserve"> = 6 \* GB3 \* MERGEFORMAT </w:instrText>
            </w:r>
            <w:r>
              <w:rPr>
                <w:rFonts w:hint="default" w:ascii="黑体" w:hAnsi="黑体" w:eastAsia="黑体" w:cs="Times New Roman"/>
                <w:snapToGrid w:val="0"/>
                <w:color w:val="000000"/>
                <w:spacing w:val="-16"/>
                <w:kern w:val="21"/>
                <w:sz w:val="20"/>
                <w:szCs w:val="21"/>
              </w:rPr>
              <w:fldChar w:fldCharType="separate"/>
            </w:r>
            <w:r>
              <w:rPr>
                <w:rFonts w:hint="eastAsia" w:ascii="黑体" w:hAnsi="黑体" w:eastAsia="黑体" w:cs="宋体"/>
                <w:kern w:val="2"/>
                <w:sz w:val="20"/>
                <w:szCs w:val="21"/>
              </w:rPr>
              <w:t>⑥</w:t>
            </w:r>
            <w:r>
              <w:rPr>
                <w:rFonts w:hint="default" w:ascii="黑体" w:hAnsi="黑体" w:eastAsia="黑体" w:cs="Times New Roman"/>
                <w:snapToGrid w:val="0"/>
                <w:color w:val="000000"/>
                <w:spacing w:val="-16"/>
                <w:kern w:val="21"/>
                <w:sz w:val="20"/>
                <w:szCs w:val="21"/>
              </w:rPr>
              <w:fldChar w:fldCharType="end"/>
            </w:r>
          </w:p>
        </w:tc>
        <w:tc>
          <w:tcPr>
            <w:tcW w:w="1304" w:type="dxa"/>
            <w:tcMar>
              <w:left w:w="28" w:type="dxa"/>
              <w:right w:w="28" w:type="dxa"/>
            </w:tcMar>
            <w:vAlign w:val="center"/>
          </w:tcPr>
          <w:p w14:paraId="6FB31E8F">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t>变化量</w:t>
            </w:r>
          </w:p>
          <w:p w14:paraId="6188BD31">
            <w:pPr>
              <w:pStyle w:val="64"/>
              <w:spacing w:beforeLines="0" w:afterLines="0" w:line="240" w:lineRule="auto"/>
              <w:rPr>
                <w:rFonts w:hint="default" w:ascii="黑体" w:hAnsi="黑体" w:eastAsia="黑体" w:cs="Times New Roman"/>
                <w:snapToGrid w:val="0"/>
                <w:color w:val="000000"/>
                <w:spacing w:val="-6"/>
                <w:kern w:val="21"/>
                <w:sz w:val="20"/>
                <w:szCs w:val="21"/>
              </w:rPr>
            </w:pPr>
            <w:r>
              <w:rPr>
                <w:rFonts w:hint="default" w:ascii="黑体" w:hAnsi="黑体" w:eastAsia="黑体" w:cs="Times New Roman"/>
                <w:snapToGrid w:val="0"/>
                <w:color w:val="000000"/>
                <w:spacing w:val="-6"/>
                <w:kern w:val="21"/>
                <w:sz w:val="20"/>
                <w:szCs w:val="21"/>
              </w:rPr>
              <w:fldChar w:fldCharType="begin"/>
            </w:r>
            <w:r>
              <w:rPr>
                <w:rFonts w:hint="default" w:ascii="黑体" w:hAnsi="黑体" w:eastAsia="黑体" w:cs="Times New Roman"/>
                <w:snapToGrid w:val="0"/>
                <w:color w:val="000000"/>
                <w:spacing w:val="-6"/>
                <w:kern w:val="21"/>
                <w:sz w:val="20"/>
                <w:szCs w:val="21"/>
              </w:rPr>
              <w:instrText xml:space="preserve"> = 7 \* GB3 \* MERGEFORMAT </w:instrText>
            </w:r>
            <w:r>
              <w:rPr>
                <w:rFonts w:hint="default" w:ascii="黑体" w:hAnsi="黑体" w:eastAsia="黑体" w:cs="Times New Roman"/>
                <w:snapToGrid w:val="0"/>
                <w:color w:val="000000"/>
                <w:spacing w:val="-6"/>
                <w:kern w:val="21"/>
                <w:sz w:val="20"/>
                <w:szCs w:val="21"/>
              </w:rPr>
              <w:fldChar w:fldCharType="separate"/>
            </w:r>
            <w:r>
              <w:rPr>
                <w:rFonts w:hint="eastAsia" w:ascii="黑体" w:hAnsi="黑体" w:eastAsia="黑体" w:cs="宋体"/>
                <w:kern w:val="2"/>
                <w:sz w:val="20"/>
                <w:szCs w:val="21"/>
              </w:rPr>
              <w:t>⑦</w:t>
            </w:r>
            <w:r>
              <w:rPr>
                <w:rFonts w:hint="default" w:ascii="黑体" w:hAnsi="黑体" w:eastAsia="黑体" w:cs="Times New Roman"/>
                <w:snapToGrid w:val="0"/>
                <w:color w:val="000000"/>
                <w:spacing w:val="-6"/>
                <w:kern w:val="21"/>
                <w:sz w:val="20"/>
                <w:szCs w:val="21"/>
              </w:rPr>
              <w:fldChar w:fldCharType="end"/>
            </w:r>
          </w:p>
        </w:tc>
      </w:tr>
      <w:tr w14:paraId="1054E1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55961DE8">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废气</w:t>
            </w:r>
          </w:p>
        </w:tc>
        <w:tc>
          <w:tcPr>
            <w:tcW w:w="1417" w:type="dxa"/>
            <w:vAlign w:val="center"/>
          </w:tcPr>
          <w:p w14:paraId="4CB7F0B3">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非甲烷总烃</w:t>
            </w:r>
          </w:p>
        </w:tc>
        <w:tc>
          <w:tcPr>
            <w:tcW w:w="1701" w:type="dxa"/>
            <w:vAlign w:val="center"/>
          </w:tcPr>
          <w:p w14:paraId="0BDFA2AF">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0.0152</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276" w:type="dxa"/>
            <w:vAlign w:val="center"/>
          </w:tcPr>
          <w:p w14:paraId="64B9BE1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0.027</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701" w:type="dxa"/>
            <w:vAlign w:val="center"/>
          </w:tcPr>
          <w:p w14:paraId="19626A1E">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6BDB23A8">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0.0119</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310D2F58">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0.0033</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481" w:type="dxa"/>
            <w:vAlign w:val="center"/>
          </w:tcPr>
          <w:p w14:paraId="7F55D305">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0.0119</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51B68520">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eastAsia="宋体" w:cs="宋体"/>
                <w:snapToGrid w:val="0"/>
                <w:color w:val="000000" w:themeColor="text1"/>
                <w:kern w:val="21"/>
                <w:sz w:val="20"/>
                <w:szCs w:val="21"/>
                <w:lang w:val="en-US" w:eastAsia="zh-CN"/>
                <w14:textFill>
                  <w14:solidFill>
                    <w14:schemeClr w14:val="tx1"/>
                  </w14:solidFill>
                </w14:textFill>
              </w:rPr>
              <w:t>-0.0033</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r>
      <w:tr w14:paraId="0A1762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37800BF">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14:paraId="7EF045D5">
            <w:pPr>
              <w:pStyle w:val="64"/>
              <w:spacing w:beforeLines="0" w:afterLines="0" w:line="240" w:lineRule="auto"/>
              <w:ind w:left="0" w:leftChars="0" w:right="0" w:rightChars="0" w:firstLine="0" w:firstLineChars="0"/>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hAnsi="宋体" w:cs="宋体"/>
                <w:snapToGrid w:val="0"/>
                <w:color w:val="000000" w:themeColor="text1"/>
                <w:kern w:val="21"/>
                <w:sz w:val="20"/>
                <w:szCs w:val="21"/>
                <w:lang w:val="en-US" w:eastAsia="zh-CN"/>
                <w14:textFill>
                  <w14:solidFill>
                    <w14:schemeClr w14:val="tx1"/>
                  </w14:solidFill>
                </w14:textFill>
              </w:rPr>
              <w:t>颗粒物</w:t>
            </w:r>
          </w:p>
        </w:tc>
        <w:tc>
          <w:tcPr>
            <w:tcW w:w="1701" w:type="dxa"/>
            <w:vAlign w:val="center"/>
          </w:tcPr>
          <w:p w14:paraId="536713F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3.75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10</w:t>
            </w:r>
            <w:r>
              <w:rPr>
                <w:rFonts w:hint="eastAsia" w:ascii="Times New Roman" w:hAnsi="宋体" w:eastAsia="宋体" w:cs="宋体"/>
                <w:snapToGrid w:val="0"/>
                <w:color w:val="000000" w:themeColor="text1"/>
                <w:kern w:val="21"/>
                <w:sz w:val="20"/>
                <w:szCs w:val="21"/>
                <w:vertAlign w:val="superscript"/>
                <w:lang w:val="en-US" w:eastAsia="zh-CN"/>
                <w14:textFill>
                  <w14:solidFill>
                    <w14:schemeClr w14:val="tx1"/>
                  </w14:solidFill>
                </w14:textFill>
              </w:rPr>
              <w:t>-5</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276" w:type="dxa"/>
            <w:vAlign w:val="center"/>
          </w:tcPr>
          <w:p w14:paraId="2705AFC9">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436C60BE">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p>
        </w:tc>
        <w:tc>
          <w:tcPr>
            <w:tcW w:w="1559" w:type="dxa"/>
            <w:vAlign w:val="center"/>
          </w:tcPr>
          <w:p w14:paraId="2D54BE3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3.75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10</w:t>
            </w:r>
            <w:r>
              <w:rPr>
                <w:rFonts w:hint="eastAsia" w:ascii="Times New Roman" w:hAnsi="宋体" w:eastAsia="宋体" w:cs="宋体"/>
                <w:snapToGrid w:val="0"/>
                <w:color w:val="000000" w:themeColor="text1"/>
                <w:kern w:val="21"/>
                <w:sz w:val="20"/>
                <w:szCs w:val="21"/>
                <w:vertAlign w:val="superscript"/>
                <w:lang w:val="en-US" w:eastAsia="zh-CN"/>
                <w14:textFill>
                  <w14:solidFill>
                    <w14:schemeClr w14:val="tx1"/>
                  </w14:solidFill>
                </w14:textFill>
              </w:rPr>
              <w:t>-5</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70B7996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p>
        </w:tc>
        <w:tc>
          <w:tcPr>
            <w:tcW w:w="1481" w:type="dxa"/>
            <w:vAlign w:val="center"/>
          </w:tcPr>
          <w:p w14:paraId="22D82DA7">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3.75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10</w:t>
            </w:r>
            <w:r>
              <w:rPr>
                <w:rFonts w:hint="eastAsia" w:ascii="Times New Roman" w:hAnsi="宋体" w:eastAsia="宋体" w:cs="宋体"/>
                <w:snapToGrid w:val="0"/>
                <w:color w:val="000000" w:themeColor="text1"/>
                <w:kern w:val="21"/>
                <w:sz w:val="20"/>
                <w:szCs w:val="21"/>
                <w:vertAlign w:val="superscript"/>
                <w:lang w:val="en-US" w:eastAsia="zh-CN"/>
                <w14:textFill>
                  <w14:solidFill>
                    <w14:schemeClr w14:val="tx1"/>
                  </w14:solidFill>
                </w14:textFill>
              </w:rPr>
              <w:t>-5</w:t>
            </w:r>
            <w:r>
              <w:rPr>
                <w:rFonts w:hint="default" w:ascii="Times New Roman" w:hAnsi="Times New Roman"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493EBAA1">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35296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FB44BB0">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14:paraId="1380A4F6">
            <w:pPr>
              <w:pStyle w:val="64"/>
              <w:spacing w:beforeLines="0" w:afterLines="0" w:line="240" w:lineRule="auto"/>
              <w:ind w:left="0" w:leftChars="0" w:right="0" w:rightChars="0" w:firstLine="0" w:firstLineChars="0"/>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2A8B4ADB">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276" w:type="dxa"/>
            <w:vAlign w:val="center"/>
          </w:tcPr>
          <w:p w14:paraId="4F018D4C">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0E8657B8">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559" w:type="dxa"/>
            <w:vAlign w:val="center"/>
          </w:tcPr>
          <w:p w14:paraId="71670128">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61" w:type="dxa"/>
            <w:vAlign w:val="center"/>
          </w:tcPr>
          <w:p w14:paraId="7BB09421">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481" w:type="dxa"/>
            <w:vAlign w:val="center"/>
          </w:tcPr>
          <w:p w14:paraId="5465F95C">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304" w:type="dxa"/>
            <w:vAlign w:val="center"/>
          </w:tcPr>
          <w:p w14:paraId="0E49FC72">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r>
      <w:tr w14:paraId="14B58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059D6D11">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废水</w:t>
            </w:r>
          </w:p>
        </w:tc>
        <w:tc>
          <w:tcPr>
            <w:tcW w:w="1417" w:type="dxa"/>
            <w:vAlign w:val="center"/>
          </w:tcPr>
          <w:p w14:paraId="7B9A7BAD">
            <w:pPr>
              <w:spacing w:beforeAutospacing="0" w:afterAutospacing="0" w:line="240" w:lineRule="auto"/>
              <w:ind w:left="0" w:leftChars="0" w:right="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COD</w:t>
            </w:r>
          </w:p>
        </w:tc>
        <w:tc>
          <w:tcPr>
            <w:tcW w:w="1701" w:type="dxa"/>
            <w:vAlign w:val="center"/>
          </w:tcPr>
          <w:p w14:paraId="7EB08F0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53664E9D">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3A13D5D0">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7C9C522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0.0065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34D1E36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34398739">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0.0065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3E87749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0.0065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01632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EA94604">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14:paraId="0792C2B3">
            <w:pPr>
              <w:spacing w:beforeAutospacing="0" w:afterAutospacing="0" w:line="240" w:lineRule="auto"/>
              <w:ind w:left="0" w:leftChars="0" w:right="0"/>
              <w:jc w:val="cente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氨氮</w:t>
            </w:r>
          </w:p>
        </w:tc>
        <w:tc>
          <w:tcPr>
            <w:tcW w:w="1701" w:type="dxa"/>
            <w:vAlign w:val="center"/>
          </w:tcPr>
          <w:p w14:paraId="737F5883">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48F2B7D0">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59DDB6E6">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5E33CDB4">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0.0003</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3A03D4C2">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4EBB9615">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0.0003</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3E434AEA">
            <w:pPr>
              <w:pStyle w:val="44"/>
              <w:widowControl w:val="0"/>
              <w:wordWrap/>
              <w:autoSpaceDE w:val="0"/>
              <w:autoSpaceDN w:val="0"/>
              <w:adjustRightInd/>
              <w:snapToGrid/>
              <w:spacing w:before="106" w:beforeAutospacing="0" w:afterAutospacing="0" w:line="240" w:lineRule="auto"/>
              <w:ind w:left="0" w:leftChars="0" w:right="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0.0003</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494005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472BE18B">
            <w:pPr>
              <w:pStyle w:val="64"/>
              <w:spacing w:beforeLines="0" w:afterLines="0" w:line="240" w:lineRule="auto"/>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一般工业</w:t>
            </w:r>
          </w:p>
          <w:p w14:paraId="0E6EAECB">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固体废物</w:t>
            </w:r>
          </w:p>
        </w:tc>
        <w:tc>
          <w:tcPr>
            <w:tcW w:w="1417" w:type="dxa"/>
            <w:vAlign w:val="center"/>
          </w:tcPr>
          <w:p w14:paraId="041B8160">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废包装袋</w:t>
            </w:r>
          </w:p>
        </w:tc>
        <w:tc>
          <w:tcPr>
            <w:tcW w:w="1701" w:type="dxa"/>
            <w:vAlign w:val="center"/>
          </w:tcPr>
          <w:p w14:paraId="2AA67505">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276" w:type="dxa"/>
            <w:vAlign w:val="center"/>
          </w:tcPr>
          <w:p w14:paraId="69EC9DF7">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789F3675">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33355C7E">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1742EA8F">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5B0E76C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0.1</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695F4E8F">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0D01A8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446EFF1">
            <w:pPr>
              <w:pStyle w:val="64"/>
              <w:spacing w:beforeLines="0" w:afterLines="0" w:line="240" w:lineRule="auto"/>
              <w:rPr>
                <w:rFonts w:hint="eastAsia" w:ascii="Times New Roman" w:hAnsi="宋体" w:cs="宋体"/>
                <w:snapToGrid w:val="0"/>
                <w:color w:val="000000"/>
                <w:kern w:val="21"/>
                <w:sz w:val="20"/>
                <w:szCs w:val="21"/>
              </w:rPr>
            </w:pPr>
          </w:p>
        </w:tc>
        <w:tc>
          <w:tcPr>
            <w:tcW w:w="1417" w:type="dxa"/>
            <w:vAlign w:val="center"/>
          </w:tcPr>
          <w:p w14:paraId="76115907">
            <w:pPr>
              <w:widowControl w:val="0"/>
              <w:wordWrap/>
              <w:autoSpaceDE w:val="0"/>
              <w:autoSpaceDN w:val="0"/>
              <w:adjustRightInd/>
              <w:snapToGrid/>
              <w:spacing w:beforeAutospacing="0" w:afterAutospacing="0" w:line="360" w:lineRule="exact"/>
              <w:ind w:left="0" w:leftChars="0" w:right="0" w:rightChars="0" w:firstLine="0" w:firstLineChars="0"/>
              <w:jc w:val="center"/>
              <w:textAlignment w:val="auto"/>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生活垃圾</w:t>
            </w:r>
          </w:p>
        </w:tc>
        <w:tc>
          <w:tcPr>
            <w:tcW w:w="1701" w:type="dxa"/>
            <w:vAlign w:val="center"/>
          </w:tcPr>
          <w:p w14:paraId="76D8475C">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0.75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276" w:type="dxa"/>
            <w:vAlign w:val="center"/>
          </w:tcPr>
          <w:p w14:paraId="709DD39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7B1F1826">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38530B9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2.25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4EB149E8">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74526969">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2.25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48452658">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1.5</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5AB8B4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C531D34">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14:paraId="3A35A092">
            <w:pPr>
              <w:pStyle w:val="64"/>
              <w:spacing w:beforeLines="0" w:afterLines="0" w:line="240" w:lineRule="auto"/>
              <w:ind w:left="0" w:leftChars="0" w:right="0" w:rightChars="0" w:firstLine="0" w:firstLineChars="0"/>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hAnsi="宋体" w:cs="宋体"/>
                <w:snapToGrid w:val="0"/>
                <w:color w:val="000000" w:themeColor="text1"/>
                <w:kern w:val="21"/>
                <w:sz w:val="20"/>
                <w:szCs w:val="21"/>
                <w:lang w:val="en-US" w:eastAsia="zh-CN"/>
                <w14:textFill>
                  <w14:solidFill>
                    <w14:schemeClr w14:val="tx1"/>
                  </w14:solidFill>
                </w14:textFill>
              </w:rPr>
              <w:t>废化妆瓶</w:t>
            </w:r>
          </w:p>
        </w:tc>
        <w:tc>
          <w:tcPr>
            <w:tcW w:w="1701" w:type="dxa"/>
            <w:vAlign w:val="center"/>
          </w:tcPr>
          <w:p w14:paraId="5525222F">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276" w:type="dxa"/>
            <w:vAlign w:val="center"/>
          </w:tcPr>
          <w:p w14:paraId="0E9E6B51">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701" w:type="dxa"/>
            <w:vAlign w:val="center"/>
          </w:tcPr>
          <w:p w14:paraId="3485E1FD">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0E1EDC04">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0.3kg</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/a</w:t>
            </w:r>
          </w:p>
        </w:tc>
        <w:tc>
          <w:tcPr>
            <w:tcW w:w="1761" w:type="dxa"/>
            <w:vAlign w:val="center"/>
          </w:tcPr>
          <w:p w14:paraId="41990B16">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w:t>
            </w:r>
          </w:p>
        </w:tc>
        <w:tc>
          <w:tcPr>
            <w:tcW w:w="1481" w:type="dxa"/>
            <w:vAlign w:val="center"/>
          </w:tcPr>
          <w:p w14:paraId="7BBBD175">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0.3kg</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/a</w:t>
            </w:r>
          </w:p>
        </w:tc>
        <w:tc>
          <w:tcPr>
            <w:tcW w:w="1304" w:type="dxa"/>
            <w:vAlign w:val="center"/>
          </w:tcPr>
          <w:p w14:paraId="255132B0">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Times New Roman" w:cs="宋体"/>
                <w:snapToGrid w:val="0"/>
                <w:color w:val="000000" w:themeColor="text1"/>
                <w:kern w:val="21"/>
                <w:sz w:val="20"/>
                <w:szCs w:val="21"/>
                <w:lang w:val="en-US" w:eastAsia="zh-CN"/>
                <w14:textFill>
                  <w14:solidFill>
                    <w14:schemeClr w14:val="tx1"/>
                  </w14:solidFill>
                </w14:textFill>
              </w:rPr>
            </w:pPr>
            <w:r>
              <w:rPr>
                <w:rFonts w:hint="eastAsia" w:ascii="Times New Roman" w:hAnsi="宋体" w:eastAsia="宋体"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0.3kg</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/a</w:t>
            </w:r>
          </w:p>
        </w:tc>
      </w:tr>
      <w:tr w14:paraId="7088F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CC055D8">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14:paraId="13B91917">
            <w:pPr>
              <w:pStyle w:val="64"/>
              <w:spacing w:beforeLines="0" w:afterLines="0" w:line="240" w:lineRule="auto"/>
              <w:ind w:left="0" w:leftChars="0" w:right="0" w:rightChars="0" w:firstLine="0" w:firstLineChars="0"/>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hAnsi="宋体" w:cs="宋体"/>
                <w:snapToGrid w:val="0"/>
                <w:color w:val="000000" w:themeColor="text1"/>
                <w:kern w:val="21"/>
                <w:sz w:val="20"/>
                <w:szCs w:val="21"/>
                <w:lang w:val="en-US" w:eastAsia="zh-CN"/>
                <w14:textFill>
                  <w14:solidFill>
                    <w14:schemeClr w14:val="tx1"/>
                  </w14:solidFill>
                </w14:textFill>
              </w:rPr>
              <w:t>废UV灯管</w:t>
            </w:r>
          </w:p>
        </w:tc>
        <w:tc>
          <w:tcPr>
            <w:tcW w:w="1701" w:type="dxa"/>
            <w:vAlign w:val="center"/>
          </w:tcPr>
          <w:p w14:paraId="475FDE57">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0.01t/a</w:t>
            </w:r>
          </w:p>
        </w:tc>
        <w:tc>
          <w:tcPr>
            <w:tcW w:w="1276" w:type="dxa"/>
            <w:vAlign w:val="center"/>
          </w:tcPr>
          <w:p w14:paraId="4CB4FE79">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228C9005">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宋体" w:cs="宋体"/>
                <w:snapToGrid w:val="0"/>
                <w:color w:val="000000" w:themeColor="text1"/>
                <w:kern w:val="21"/>
                <w:sz w:val="20"/>
                <w:szCs w:val="21"/>
                <w:lang w:val="en-US" w:eastAsia="zh-CN"/>
                <w14:textFill>
                  <w14:solidFill>
                    <w14:schemeClr w14:val="tx1"/>
                  </w14:solidFill>
                </w14:textFill>
              </w:rPr>
              <w:t>/</w:t>
            </w:r>
          </w:p>
        </w:tc>
        <w:tc>
          <w:tcPr>
            <w:tcW w:w="1559" w:type="dxa"/>
            <w:vAlign w:val="center"/>
          </w:tcPr>
          <w:p w14:paraId="71A1D0D8">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761" w:type="dxa"/>
            <w:vAlign w:val="center"/>
          </w:tcPr>
          <w:p w14:paraId="1CEF3476">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0.01t/a</w:t>
            </w:r>
          </w:p>
        </w:tc>
        <w:tc>
          <w:tcPr>
            <w:tcW w:w="1481" w:type="dxa"/>
            <w:vAlign w:val="center"/>
          </w:tcPr>
          <w:p w14:paraId="13DF4C3E">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w:t>
            </w:r>
          </w:p>
        </w:tc>
        <w:tc>
          <w:tcPr>
            <w:tcW w:w="1304" w:type="dxa"/>
            <w:vAlign w:val="center"/>
          </w:tcPr>
          <w:p w14:paraId="509FBCA7">
            <w:pPr>
              <w:spacing w:beforeLines="0" w:beforeAutospacing="0" w:afterLines="0" w:afterAutospacing="0" w:line="240" w:lineRule="auto"/>
              <w:ind w:left="0" w:leftChars="0" w:right="0" w:rightChars="0"/>
              <w:jc w:val="cente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-0.01t/a</w:t>
            </w:r>
          </w:p>
        </w:tc>
      </w:tr>
      <w:tr w14:paraId="2A372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0AD4935">
            <w:pPr>
              <w:pStyle w:val="64"/>
              <w:spacing w:beforeLines="0" w:afterLines="0" w:line="240" w:lineRule="auto"/>
              <w:rPr>
                <w:rFonts w:hint="eastAsia" w:ascii="Times New Roman" w:hAnsi="宋体" w:cs="宋体"/>
                <w:snapToGrid w:val="0"/>
                <w:color w:val="000000"/>
                <w:kern w:val="21"/>
                <w:sz w:val="20"/>
                <w:szCs w:val="21"/>
              </w:rPr>
            </w:pPr>
            <w:r>
              <w:rPr>
                <w:rFonts w:hint="eastAsia" w:ascii="Times New Roman" w:hAnsi="宋体" w:cs="宋体"/>
                <w:snapToGrid w:val="0"/>
                <w:color w:val="000000"/>
                <w:kern w:val="21"/>
                <w:sz w:val="20"/>
                <w:szCs w:val="21"/>
              </w:rPr>
              <w:t>危险废物</w:t>
            </w:r>
          </w:p>
        </w:tc>
        <w:tc>
          <w:tcPr>
            <w:tcW w:w="1417" w:type="dxa"/>
            <w:vAlign w:val="center"/>
          </w:tcPr>
          <w:p w14:paraId="6E4A974D">
            <w:pPr>
              <w:pStyle w:val="64"/>
              <w:spacing w:beforeLines="0" w:afterLines="0" w:line="240" w:lineRule="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hAnsi="宋体" w:cs="宋体"/>
                <w:snapToGrid w:val="0"/>
                <w:color w:val="000000" w:themeColor="text1"/>
                <w:kern w:val="21"/>
                <w:sz w:val="20"/>
                <w:szCs w:val="21"/>
                <w:lang w:val="en-US" w:eastAsia="zh-CN"/>
                <w14:textFill>
                  <w14:solidFill>
                    <w14:schemeClr w14:val="tx1"/>
                  </w14:solidFill>
                </w14:textFill>
              </w:rPr>
              <w:t>废活性炭</w:t>
            </w:r>
          </w:p>
        </w:tc>
        <w:tc>
          <w:tcPr>
            <w:tcW w:w="1701" w:type="dxa"/>
            <w:vAlign w:val="center"/>
          </w:tcPr>
          <w:p w14:paraId="6F1EEAFB">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0.2t/a</w:t>
            </w:r>
          </w:p>
        </w:tc>
        <w:tc>
          <w:tcPr>
            <w:tcW w:w="1276" w:type="dxa"/>
            <w:vAlign w:val="center"/>
          </w:tcPr>
          <w:p w14:paraId="6FA5DF8E">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w:t>
            </w:r>
          </w:p>
        </w:tc>
        <w:tc>
          <w:tcPr>
            <w:tcW w:w="1701" w:type="dxa"/>
            <w:vAlign w:val="center"/>
          </w:tcPr>
          <w:p w14:paraId="11A39142">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0</w:t>
            </w:r>
          </w:p>
        </w:tc>
        <w:tc>
          <w:tcPr>
            <w:tcW w:w="1559" w:type="dxa"/>
            <w:vAlign w:val="center"/>
          </w:tcPr>
          <w:p w14:paraId="4C525AAD">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0.0654</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761" w:type="dxa"/>
            <w:vAlign w:val="center"/>
          </w:tcPr>
          <w:p w14:paraId="116ACD46">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0.1346</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481" w:type="dxa"/>
            <w:vAlign w:val="center"/>
          </w:tcPr>
          <w:p w14:paraId="7060E5CA">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0.0654</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c>
          <w:tcPr>
            <w:tcW w:w="1304" w:type="dxa"/>
            <w:vAlign w:val="center"/>
          </w:tcPr>
          <w:p w14:paraId="745A0B6D">
            <w:pPr>
              <w:pStyle w:val="44"/>
              <w:widowControl w:val="0"/>
              <w:wordWrap/>
              <w:autoSpaceDE w:val="0"/>
              <w:autoSpaceDN w:val="0"/>
              <w:adjustRightInd/>
              <w:snapToGrid/>
              <w:spacing w:before="106" w:beforeAutospacing="0" w:afterAutospacing="0" w:line="240" w:lineRule="auto"/>
              <w:ind w:left="0" w:leftChars="0" w:right="0" w:rightChars="0"/>
              <w:jc w:val="center"/>
              <w:textAlignment w:val="auto"/>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pPr>
            <w:r>
              <w:rPr>
                <w:rFonts w:hint="eastAsia" w:ascii="Times New Roman" w:cs="宋体"/>
                <w:snapToGrid w:val="0"/>
                <w:color w:val="000000" w:themeColor="text1"/>
                <w:kern w:val="21"/>
                <w:sz w:val="20"/>
                <w:szCs w:val="21"/>
                <w:lang w:val="en-US" w:eastAsia="zh-CN"/>
                <w14:textFill>
                  <w14:solidFill>
                    <w14:schemeClr w14:val="tx1"/>
                  </w14:solidFill>
                </w14:textFill>
              </w:rPr>
              <w:t>-</w:t>
            </w:r>
            <w:r>
              <w:rPr>
                <w:rFonts w:hint="eastAsia" w:ascii="Times New Roman" w:hAnsi="Times New Roman" w:cs="宋体"/>
                <w:snapToGrid w:val="0"/>
                <w:color w:val="000000" w:themeColor="text1"/>
                <w:kern w:val="21"/>
                <w:sz w:val="20"/>
                <w:szCs w:val="21"/>
                <w:lang w:val="en-US" w:eastAsia="zh-CN"/>
                <w14:textFill>
                  <w14:solidFill>
                    <w14:schemeClr w14:val="tx1"/>
                  </w14:solidFill>
                </w14:textFill>
              </w:rPr>
              <w:t>0.1346</w:t>
            </w:r>
            <w:r>
              <w:rPr>
                <w:rFonts w:hint="default" w:ascii="Times New Roman" w:hAnsi="宋体" w:eastAsia="宋体" w:cs="宋体"/>
                <w:snapToGrid w:val="0"/>
                <w:color w:val="000000" w:themeColor="text1"/>
                <w:kern w:val="21"/>
                <w:sz w:val="20"/>
                <w:szCs w:val="21"/>
                <w:lang w:val="en-US" w:eastAsia="zh-CN"/>
                <w14:textFill>
                  <w14:solidFill>
                    <w14:schemeClr w14:val="tx1"/>
                  </w14:solidFill>
                </w14:textFill>
              </w:rPr>
              <w:t>t/a</w:t>
            </w:r>
          </w:p>
        </w:tc>
      </w:tr>
      <w:tr w14:paraId="5E990E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7D4BC15">
            <w:pPr>
              <w:pStyle w:val="64"/>
              <w:spacing w:beforeLines="0" w:afterLines="0" w:line="240" w:lineRule="auto"/>
              <w:rPr>
                <w:rFonts w:hint="default" w:ascii="Times New Roman" w:hAnsi="宋体" w:cs="宋体"/>
                <w:snapToGrid w:val="0"/>
                <w:color w:val="000000"/>
                <w:kern w:val="21"/>
                <w:sz w:val="20"/>
                <w:szCs w:val="21"/>
              </w:rPr>
            </w:pPr>
          </w:p>
        </w:tc>
        <w:tc>
          <w:tcPr>
            <w:tcW w:w="1417" w:type="dxa"/>
            <w:vAlign w:val="center"/>
          </w:tcPr>
          <w:p w14:paraId="17E92E54">
            <w:pPr>
              <w:pStyle w:val="64"/>
              <w:spacing w:beforeLines="0" w:afterLines="0" w:line="240" w:lineRule="auto"/>
              <w:ind w:left="0" w:leftChars="0" w:right="0" w:rightChars="0" w:firstLine="0" w:firstLineChars="0"/>
              <w:rPr>
                <w:rFonts w:hint="eastAsia" w:ascii="Times New Roman" w:hAnsi="宋体" w:eastAsia="宋体" w:cs="宋体"/>
                <w:snapToGrid w:val="0"/>
                <w:color w:val="000000"/>
                <w:kern w:val="21"/>
                <w:sz w:val="20"/>
                <w:szCs w:val="21"/>
                <w:lang w:val="en-US" w:eastAsia="zh-CN"/>
              </w:rPr>
            </w:pPr>
            <w:r>
              <w:rPr>
                <w:rFonts w:hint="eastAsia" w:ascii="Times New Roman" w:hAnsi="宋体" w:cs="宋体"/>
                <w:snapToGrid w:val="0"/>
                <w:color w:val="000000"/>
                <w:kern w:val="21"/>
                <w:sz w:val="20"/>
                <w:szCs w:val="21"/>
                <w:lang w:val="en-US" w:eastAsia="zh-CN"/>
              </w:rPr>
              <w:t>/</w:t>
            </w:r>
          </w:p>
        </w:tc>
        <w:tc>
          <w:tcPr>
            <w:tcW w:w="1701" w:type="dxa"/>
            <w:vAlign w:val="center"/>
          </w:tcPr>
          <w:p w14:paraId="3588F332">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276" w:type="dxa"/>
            <w:vAlign w:val="center"/>
          </w:tcPr>
          <w:p w14:paraId="571AA310">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701" w:type="dxa"/>
            <w:vAlign w:val="center"/>
          </w:tcPr>
          <w:p w14:paraId="436DB5A3">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559" w:type="dxa"/>
            <w:vAlign w:val="center"/>
          </w:tcPr>
          <w:p w14:paraId="331EEBBD">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761" w:type="dxa"/>
            <w:vAlign w:val="center"/>
          </w:tcPr>
          <w:p w14:paraId="76255B74">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481" w:type="dxa"/>
            <w:vAlign w:val="center"/>
          </w:tcPr>
          <w:p w14:paraId="16D3FB69">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c>
          <w:tcPr>
            <w:tcW w:w="1304" w:type="dxa"/>
            <w:vAlign w:val="center"/>
          </w:tcPr>
          <w:p w14:paraId="1411BE27">
            <w:pPr>
              <w:spacing w:beforeLines="0" w:beforeAutospacing="0" w:afterLines="0" w:afterAutospacing="0" w:line="240" w:lineRule="auto"/>
              <w:ind w:left="0" w:leftChars="0" w:right="0" w:rightChars="0"/>
              <w:jc w:val="center"/>
              <w:rPr>
                <w:rFonts w:hint="default" w:ascii="Times New Roman" w:hAnsi="宋体" w:cs="宋体"/>
                <w:snapToGrid w:val="0"/>
                <w:color w:val="000000"/>
                <w:kern w:val="21"/>
                <w:sz w:val="20"/>
                <w:szCs w:val="21"/>
              </w:rPr>
            </w:pPr>
            <w:r>
              <w:rPr>
                <w:rFonts w:hint="eastAsia" w:ascii="Times New Roman" w:hAnsi="宋体" w:cs="宋体"/>
                <w:snapToGrid w:val="0"/>
                <w:color w:val="000000"/>
                <w:kern w:val="21"/>
                <w:sz w:val="20"/>
                <w:szCs w:val="21"/>
                <w:lang w:val="en-US" w:eastAsia="zh-CN"/>
              </w:rPr>
              <w:t>/</w:t>
            </w:r>
          </w:p>
        </w:tc>
      </w:tr>
    </w:tbl>
    <w:p w14:paraId="2AF75A20">
      <w:pPr>
        <w:widowControl w:val="0"/>
        <w:wordWrap/>
        <w:autoSpaceDE w:val="0"/>
        <w:autoSpaceDN w:val="0"/>
        <w:adjustRightInd/>
        <w:snapToGrid/>
        <w:spacing w:before="0" w:line="240" w:lineRule="auto"/>
        <w:ind w:left="151" w:right="0" w:firstLine="0"/>
        <w:jc w:val="left"/>
        <w:textAlignment w:val="auto"/>
        <w:rPr>
          <w:sz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14:paraId="7AB37AA2">
      <w:pPr>
        <w:spacing w:after="0"/>
        <w:jc w:val="left"/>
        <w:rPr>
          <w:sz w:val="21"/>
        </w:rPr>
        <w:sectPr>
          <w:footerReference r:id="rId9" w:type="default"/>
          <w:footerReference r:id="rId10" w:type="even"/>
          <w:pgSz w:w="16840" w:h="11910" w:orient="landscape"/>
          <w:pgMar w:top="850" w:right="1420" w:bottom="850" w:left="1380" w:header="0" w:footer="817" w:gutter="0"/>
          <w:pgBorders>
            <w:top w:val="none" w:sz="0" w:space="0"/>
            <w:left w:val="none" w:sz="0" w:space="0"/>
            <w:bottom w:val="none" w:sz="0" w:space="0"/>
            <w:right w:val="none" w:sz="0" w:space="0"/>
          </w:pgBorders>
          <w:pgNumType w:fmt="numberInDash"/>
          <w:cols w:space="720" w:num="1"/>
        </w:sectPr>
      </w:pPr>
    </w:p>
    <w:p w14:paraId="174346C7">
      <w:pPr>
        <w:pStyle w:val="35"/>
        <w:spacing w:line="360" w:lineRule="auto"/>
        <w:jc w:val="right"/>
        <w:rPr>
          <w:sz w:val="30"/>
        </w:rPr>
      </w:pPr>
      <w:r>
        <w:rPr>
          <w:rFonts w:ascii="黑体" w:hAnsi="Times New Roman" w:eastAsia="黑体" w:cs="黑体"/>
          <w:b/>
          <w:color w:val="000000"/>
          <w:kern w:val="2"/>
          <w:sz w:val="30"/>
          <w:szCs w:val="24"/>
          <w:lang w:val="en-US" w:eastAsia="zh-CN" w:bidi="ar-SA"/>
        </w:rPr>
        <mc:AlternateContent>
          <mc:Choice Requires="wps">
            <w:drawing>
              <wp:anchor distT="0" distB="0" distL="114300" distR="114300" simplePos="0" relativeHeight="251679744" behindDoc="0" locked="0" layoutInCell="1" allowOverlap="1">
                <wp:simplePos x="0" y="0"/>
                <wp:positionH relativeFrom="column">
                  <wp:posOffset>5160645</wp:posOffset>
                </wp:positionH>
                <wp:positionV relativeFrom="paragraph">
                  <wp:posOffset>-371475</wp:posOffset>
                </wp:positionV>
                <wp:extent cx="704215" cy="323850"/>
                <wp:effectExtent l="0" t="0" r="0" b="0"/>
                <wp:wrapNone/>
                <wp:docPr id="33" name="文本框 11"/>
                <wp:cNvGraphicFramePr/>
                <a:graphic xmlns:a="http://schemas.openxmlformats.org/drawingml/2006/main">
                  <a:graphicData uri="http://schemas.microsoft.com/office/word/2010/wordprocessingShape">
                    <wps:wsp>
                      <wps:cNvSpPr/>
                      <wps:spPr>
                        <a:xfrm>
                          <a:off x="0" y="0"/>
                          <a:ext cx="704215" cy="323850"/>
                        </a:xfrm>
                        <a:prstGeom prst="rect">
                          <a:avLst/>
                        </a:prstGeom>
                        <a:noFill/>
                        <a:ln>
                          <a:noFill/>
                        </a:ln>
                      </wps:spPr>
                      <wps:txbx>
                        <w:txbxContent>
                          <w:p w14:paraId="264AA206">
                            <w:pPr>
                              <w:pStyle w:val="35"/>
                              <w:spacing w:line="360" w:lineRule="auto"/>
                              <w:jc w:val="right"/>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附件一</w:t>
                            </w:r>
                          </w:p>
                          <w:p w14:paraId="4ABB7BCC"/>
                        </w:txbxContent>
                      </wps:txbx>
                      <wps:bodyPr upright="0"/>
                    </wps:wsp>
                  </a:graphicData>
                </a:graphic>
              </wp:anchor>
            </w:drawing>
          </mc:Choice>
          <mc:Fallback>
            <w:pict>
              <v:rect id="文本框 11" o:spid="_x0000_s1026" o:spt="1" style="position:absolute;left:0pt;margin-left:406.35pt;margin-top:-29.25pt;height:25.5pt;width:55.45pt;z-index:251679744;mso-width-relative:page;mso-height-relative:page;" filled="f" stroked="f" coordsize="21600,21600" o:gfxdata="UEsDBAoAAAAAAIdO4kAAAAAAAAAAAAAAAAAEAAAAZHJzL1BLAwQUAAAACACHTuJAicfTuNsAAAAK&#10;AQAADwAAAGRycy9kb3ducmV2LnhtbE2PwU6DQBCG7ya+w2ZMvJh2AUNLKUsPTYyNMWmk2vMWRiCy&#10;s5TdQn17x5MeZ+bLP9+fba6mEyMOrrWkIJwHIJBKW7VUK3g/PM0SEM5rqnRnCRV8o4NNfnuT6bSy&#10;E73hWPhacAi5VCtovO9TKV3ZoNFubnskvn3awWjP41DLatATh5tORkGwkEa3xB8a3eO2wfKruBgF&#10;U7kfj4fXZ7l/OO4snXfnbfHxotT9XRisQXi8+j8YfvVZHXJ2OtkLVU50CpIwWjKqYBYnMQgmVtHj&#10;AsSJN8sYZJ7J/xXyH1BLAwQUAAAACACHTuJAfqjo2qcBAABFAwAADgAAAGRycy9lMm9Eb2MueG1s&#10;rVJLbtswEN0X6B0I7mNKdtMGguVsjHRTJAHSHoCmSIsAf+DQlnyB5AZdddN9z+VzdEirTptussiG&#10;mp/ezHszy+vRGrKXEbR3La1nFSXSCd9pt23pt683F1eUQOKu48Y72dKDBHq9ev9uOYRGzn3vTScj&#10;QRAHzRBa2qcUGsZA9NJymPkgHSaVj5YndOOWdZEPiG4Nm1fVRzb42IXohQTA6PqUpBNifA2gV0oL&#10;ufZiZ6VLJ9QoDU9ICXodgK7KtEpJke6UApmIaSkyTeXFJmhv8stWS95sIw+9FtMI/DUjvOBkuXbY&#10;9Ay15omTXdT/QVktogev0kx4y05EiiLIoq5eaPPQ8yALF5Qawll0eDtYcbu/j0R3LV0sKHHc4saP&#10;35+OP34dfz6Sus4CDQEarHsI93HyAM3MdlTR5i/yIGMR9XAWVY6JCAx+qj7M60tKBKYW88XVZRGd&#10;Pf8cIqTP0luSjZZG3FmRku+/QMKGWPqnJPdy/kYbU/Zm3D8BLMwRluc9TZitNG7GaeyN7w7Idhei&#10;3vblFDJ8LkJ1S6PpEvL6/vZL1fP1r3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icfTuNsAAAAK&#10;AQAADwAAAAAAAAABACAAAAAiAAAAZHJzL2Rvd25yZXYueG1sUEsBAhQAFAAAAAgAh07iQH6o6Nqn&#10;AQAARQMAAA4AAAAAAAAAAQAgAAAAKgEAAGRycy9lMm9Eb2MueG1sUEsFBgAAAAAGAAYAWQEAAEMF&#10;AAAAAA==&#10;">
                <v:fill on="f" focussize="0,0"/>
                <v:stroke on="f"/>
                <v:imagedata o:title=""/>
                <o:lock v:ext="edit" aspectratio="f"/>
                <v:textbox>
                  <w:txbxContent>
                    <w:p w14:paraId="264AA206">
                      <w:pPr>
                        <w:pStyle w:val="35"/>
                        <w:spacing w:line="360" w:lineRule="auto"/>
                        <w:jc w:val="right"/>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附件一</w:t>
                      </w:r>
                    </w:p>
                    <w:p w14:paraId="4ABB7BCC"/>
                  </w:txbxContent>
                </v:textbox>
              </v:rect>
            </w:pict>
          </mc:Fallback>
        </mc:AlternateContent>
      </w:r>
      <w:r>
        <w:rPr>
          <w:rFonts w:ascii="黑体" w:hAnsi="Times New Roman" w:eastAsia="黑体" w:cs="黑体"/>
          <w:b/>
          <w:color w:val="000000"/>
          <w:kern w:val="2"/>
          <w:sz w:val="30"/>
          <w:szCs w:val="24"/>
          <w:lang w:val="en-US" w:eastAsia="zh-CN" w:bidi="ar-SA"/>
        </w:rPr>
        <w:drawing>
          <wp:anchor distT="0" distB="0" distL="114300" distR="114300" simplePos="0" relativeHeight="251696128" behindDoc="1" locked="0" layoutInCell="1" allowOverlap="1">
            <wp:simplePos x="0" y="0"/>
            <wp:positionH relativeFrom="column">
              <wp:posOffset>-2627630</wp:posOffset>
            </wp:positionH>
            <wp:positionV relativeFrom="paragraph">
              <wp:posOffset>668020</wp:posOffset>
            </wp:positionV>
            <wp:extent cx="10695940" cy="7567295"/>
            <wp:effectExtent l="0" t="0" r="14605" b="10160"/>
            <wp:wrapNone/>
            <wp:docPr id="91" name="图片 91" descr="87ffe6a02971a66882588d121fd94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87ffe6a02971a66882588d121fd94f8"/>
                    <pic:cNvPicPr>
                      <a:picLocks noChangeAspect="1"/>
                    </pic:cNvPicPr>
                  </pic:nvPicPr>
                  <pic:blipFill>
                    <a:blip r:embed="rId38"/>
                    <a:stretch>
                      <a:fillRect/>
                    </a:stretch>
                  </pic:blipFill>
                  <pic:spPr>
                    <a:xfrm rot="5400000">
                      <a:off x="0" y="0"/>
                      <a:ext cx="10695940" cy="7567295"/>
                    </a:xfrm>
                    <a:prstGeom prst="rect">
                      <a:avLst/>
                    </a:prstGeom>
                  </pic:spPr>
                </pic:pic>
              </a:graphicData>
            </a:graphic>
          </wp:anchor>
        </w:drawing>
      </w:r>
    </w:p>
    <w:p w14:paraId="34295BE5">
      <w:pPr>
        <w:spacing w:line="600" w:lineRule="exact"/>
        <w:jc w:val="center"/>
        <w:rPr>
          <w:b/>
          <w:bCs/>
          <w:sz w:val="36"/>
          <w:szCs w:val="24"/>
        </w:rPr>
        <w:sectPr>
          <w:footerReference r:id="rId11" w:type="default"/>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7DDE1909">
      <w:pPr>
        <w:pStyle w:val="35"/>
        <w:wordWrap w:val="0"/>
        <w:spacing w:line="360" w:lineRule="auto"/>
        <w:jc w:val="right"/>
        <w:rPr>
          <w:rFonts w:hint="default" w:ascii="Times New Roman" w:hAnsi="Times New Roman" w:cs="Times New Roman"/>
          <w:b w:val="0"/>
          <w:bCs w:val="0"/>
          <w:sz w:val="24"/>
          <w:szCs w:val="24"/>
          <w:lang w:val="en-US" w:eastAsia="zh-CN"/>
        </w:rPr>
      </w:pPr>
      <w:r>
        <w:rPr>
          <w:rFonts w:ascii="宋体" w:hAnsi="宋体" w:eastAsia="宋体" w:cs="宋体"/>
          <w:b/>
          <w:color w:val="000000"/>
          <w:kern w:val="2"/>
          <w:sz w:val="24"/>
          <w:szCs w:val="22"/>
          <w:lang w:val="zh-CN" w:eastAsia="zh-CN" w:bidi="zh-CN"/>
        </w:rPr>
        <mc:AlternateContent>
          <mc:Choice Requires="wps">
            <w:drawing>
              <wp:anchor distT="0" distB="0" distL="114300" distR="114300" simplePos="0" relativeHeight="251666432" behindDoc="0" locked="0" layoutInCell="1" allowOverlap="1">
                <wp:simplePos x="0" y="0"/>
                <wp:positionH relativeFrom="column">
                  <wp:posOffset>5409565</wp:posOffset>
                </wp:positionH>
                <wp:positionV relativeFrom="paragraph">
                  <wp:posOffset>-325120</wp:posOffset>
                </wp:positionV>
                <wp:extent cx="1828800" cy="1828800"/>
                <wp:effectExtent l="0" t="0" r="0" b="0"/>
                <wp:wrapSquare wrapText="bothSides"/>
                <wp:docPr id="39" name="文本框 19"/>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00B227E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附件二</w:t>
                            </w:r>
                          </w:p>
                        </w:txbxContent>
                      </wps:txbx>
                      <wps:bodyPr wrap="none" upright="0">
                        <a:spAutoFit/>
                      </wps:bodyPr>
                    </wps:wsp>
                  </a:graphicData>
                </a:graphic>
              </wp:anchor>
            </w:drawing>
          </mc:Choice>
          <mc:Fallback>
            <w:pict>
              <v:rect id="文本框 19" o:spid="_x0000_s1026" o:spt="1" style="position:absolute;left:0pt;margin-left:425.95pt;margin-top:-25.6pt;height:144pt;width:144pt;mso-wrap-distance-bottom:0pt;mso-wrap-distance-left:9pt;mso-wrap-distance-right:9pt;mso-wrap-distance-top:0pt;mso-wrap-style:none;z-index:251666432;mso-width-relative:page;mso-height-relative:page;" filled="f" stroked="f" coordsize="21600,21600" o:gfxdata="UEsDBAoAAAAAAIdO4kAAAAAAAAAAAAAAAAAEAAAAZHJzL1BLAwQUAAAACACHTuJAPUXAhdoAAAAM&#10;AQAADwAAAGRycy9kb3ducmV2LnhtbE2Py27CMBBF95X6D9ZU6qYC26GgEOKwqPqQYFXKBwyxm1jE&#10;4yh2Av37mlW7nJmjO+eW26vr2GSGYD0pkHMBzFDttaVGwfHrbZYDCxFJY+fJKPgxAbbV/V2JhfYX&#10;+jTTITYshVAoUEEbY19wHurWOAxz3xtKt28/OIxpHBquB7ykcNfxTIgVd2gpfWixNy+tqc+H0Sl4&#10;fs92r/ZJ7K2bRjzu+CA+aK/U44MUG2DRXOMfDDf9pA5Vcjr5kXRgnYJ8KdcJVTBbygzYjZCLdVqd&#10;FGSLVQ68Kvn/EtUvUEsDBBQAAAAIAIdO4kAGdpZVuAEAAG0DAAAOAAAAZHJzL2Uyb0RvYy54bWyt&#10;U0tu2zAQ3RfoHQjua8ouUDiC5SCAkW6CNEDaA9AUaRHgDxzaki/Q3qCrbrrvuXyODinF+W2yyIaa&#10;Gc68mfeGWl0O1pCDjKC9a+h8VlEinfCtdruG/vh+/WlJCSTuWm68kw09SqCX648fVn2o5cJ33rQy&#10;EgRxUPehoV1KoWYMRCcth5kP0uGl8tHyhG7csTbyHtGtYYuq+sJ6H9sQvZAAGN2Ml3RCjG8B9Epp&#10;ITde7K10aUSN0vCElKDTAei6TKuUFOmbUiATMQ1Fpqmc2ATtbT7ZesXrXeSh02Iagb9lhBecLNcO&#10;m56hNjxxso/6FZTVInrwKs2Et2wkUhRBFvPqhTb3HQ+ycEGpIZxFh/eDFbeHu0h029DPF5Q4bnHj&#10;p9+/Tn/+nf7+JPOLLFAfoMa8+3AXJw/QzGwHFW3+Ig8yFFGPZ1HlkIjA4Hy5WC4r1Fvg3YODOOyx&#10;PERIX6W3JBsNjbi1IiY/3EAaUx9Scjfnr7UxGOe1cc8CiJkjLE88zpitNGyHafCtb4/It8eFN9Th&#10;+6ZkH6LedeVhZCwIV/uEDUrfXD2WTKC4hTL59GLymp/6JevxL1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1FwIXaAAAADAEAAA8AAAAAAAAAAQAgAAAAIgAAAGRycy9kb3ducmV2LnhtbFBLAQIU&#10;ABQAAAAIAIdO4kAGdpZVuAEAAG0DAAAOAAAAAAAAAAEAIAAAACkBAABkcnMvZTJvRG9jLnhtbFBL&#10;BQYAAAAABgAGAFkBAABTBQAAAAA=&#10;">
                <v:fill on="f" focussize="0,0"/>
                <v:stroke on="f"/>
                <v:imagedata o:title=""/>
                <o:lock v:ext="edit" aspectratio="f"/>
                <v:textbox style="mso-fit-shape-to-text:t;">
                  <w:txbxContent>
                    <w:p w14:paraId="00B227E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附件二</w:t>
                      </w:r>
                    </w:p>
                  </w:txbxContent>
                </v:textbox>
                <w10:wrap type="square"/>
              </v:rect>
            </w:pict>
          </mc:Fallback>
        </mc:AlternateContent>
      </w:r>
      <w:r>
        <w:rPr>
          <w:rFonts w:ascii="黑体" w:hAnsi="Times New Roman" w:eastAsia="黑体" w:cs="黑体"/>
          <w:b/>
          <w:color w:val="000000"/>
          <w:kern w:val="2"/>
          <w:sz w:val="30"/>
          <w:szCs w:val="24"/>
          <w:lang w:val="en-US" w:eastAsia="zh-CN" w:bidi="ar-SA"/>
        </w:rPr>
        <w:drawing>
          <wp:anchor distT="0" distB="0" distL="114300" distR="114300" simplePos="0" relativeHeight="251677696" behindDoc="1" locked="0" layoutInCell="1" allowOverlap="1">
            <wp:simplePos x="0" y="0"/>
            <wp:positionH relativeFrom="column">
              <wp:posOffset>-1103630</wp:posOffset>
            </wp:positionH>
            <wp:positionV relativeFrom="paragraph">
              <wp:posOffset>-897255</wp:posOffset>
            </wp:positionV>
            <wp:extent cx="7598410" cy="10837545"/>
            <wp:effectExtent l="0" t="0" r="2540" b="1905"/>
            <wp:wrapNone/>
            <wp:docPr id="2" name="图片 2" descr="e7ccf924f08732517fa2d6be6de34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7ccf924f08732517fa2d6be6de34ef"/>
                    <pic:cNvPicPr>
                      <a:picLocks noChangeAspect="1"/>
                    </pic:cNvPicPr>
                  </pic:nvPicPr>
                  <pic:blipFill>
                    <a:blip r:embed="rId39"/>
                    <a:stretch>
                      <a:fillRect/>
                    </a:stretch>
                  </pic:blipFill>
                  <pic:spPr>
                    <a:xfrm>
                      <a:off x="0" y="0"/>
                      <a:ext cx="7598410" cy="10837545"/>
                    </a:xfrm>
                    <a:prstGeom prst="rect">
                      <a:avLst/>
                    </a:prstGeom>
                  </pic:spPr>
                </pic:pic>
              </a:graphicData>
            </a:graphic>
          </wp:anchor>
        </w:drawing>
      </w:r>
    </w:p>
    <w:p w14:paraId="46F488ED">
      <w:pPr>
        <w:pStyle w:val="18"/>
        <w:ind w:left="0" w:leftChars="0" w:firstLine="0" w:firstLineChars="0"/>
        <w:jc w:val="both"/>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054F7D59">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30"/>
        </w:rPr>
        <mc:AlternateContent>
          <mc:Choice Requires="wps">
            <w:drawing>
              <wp:anchor distT="0" distB="0" distL="114300" distR="114300" simplePos="0" relativeHeight="251722752" behindDoc="0" locked="0" layoutInCell="1" allowOverlap="1">
                <wp:simplePos x="0" y="0"/>
                <wp:positionH relativeFrom="column">
                  <wp:posOffset>3103245</wp:posOffset>
                </wp:positionH>
                <wp:positionV relativeFrom="paragraph">
                  <wp:posOffset>603885</wp:posOffset>
                </wp:positionV>
                <wp:extent cx="150495" cy="151765"/>
                <wp:effectExtent l="0" t="0" r="1905" b="635"/>
                <wp:wrapNone/>
                <wp:docPr id="119" name="矩形 119"/>
                <wp:cNvGraphicFramePr/>
                <a:graphic xmlns:a="http://schemas.openxmlformats.org/drawingml/2006/main">
                  <a:graphicData uri="http://schemas.microsoft.com/office/word/2010/wordprocessingShape">
                    <wps:wsp>
                      <wps:cNvSpPr/>
                      <wps:spPr>
                        <a:xfrm>
                          <a:off x="0" y="0"/>
                          <a:ext cx="150495" cy="15176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35pt;margin-top:47.55pt;height:11.95pt;width:11.85pt;z-index:251722752;v-text-anchor:middle;mso-width-relative:page;mso-height-relative:page;" fillcolor="#4F81BD" filled="t" stroked="f" coordsize="21600,21600" o:gfxdata="UEsDBAoAAAAAAIdO4kAAAAAAAAAAAAAAAAAEAAAAZHJzL1BLAwQUAAAACACHTuJA6gd+oNkAAAAK&#10;AQAADwAAAGRycy9kb3ducmV2LnhtbE2Py07DMBBF90j8gzVI7KjtklI3xKlQBSypKF3Azo1NErDH&#10;IXYf/D3DCpaje3TvmWp5Cp4d3Jj6iBrkRABz2ETbY6th+/JwpYClbNAaH9Fp+HYJlvX5WWVKG4/4&#10;7A6b3DIqwVQaDV3OQ8l5ajoXTJrEwSFl73EMJtM5ttyO5kjlwfOpEDc8mB5poTODW3Wu+dzsg4bX&#10;5uvDF/dr9dYOyK+fVurxzietLy+kuAWW3Sn/wfCrT+pQk9Mu7tEm5jUUSs0J1bCYSWAEzOS0ALYj&#10;Ui4E8Lri/1+ofwBQSwMEFAAAAAgAh07iQMQWRHp/AgAAAwUAAA4AAABkcnMvZTJvRG9jLnhtbK1U&#10;S27bMBDdF+gdCO4bWYadjxE5cG24KBA0Adyia5oiJaEUyZK05fQyBbrrIXqcotfoI6U4QZpFFtWC&#10;muE8zudxhpdXh1aRvXC+Mbqg+cmIEqG5KRtdFfTTx/Wbc0p8YLpkymhR0Dvh6dX89avLzs7E2NRG&#10;lcIRONF+1tmC1iHYWZZ5XouW+RNjhYZRGteyANVVWelYB++tysaj0WnWGVdaZ7jwHrur3kgHj+4l&#10;Do2UDRcrw3et0KH36oRiASX5urGezlO2UgoebqT0IhBVUFQa0oogkLdxzeaXbFY5ZuuGDymwl6Tw&#10;pKaWNRpBj65WLDCyc80/rtqGO+ONDCfctFlfSGIEVeSjJ9xsamZFqgVUe3sk3f8/t/zD/taRpkQn&#10;5BeUaNbiyv98//n71w8Sd8BPZ/0MsI29dYPmIcZiD9K18Y8yyCFxenfkVBwC4djMp6PJxZQSDlM+&#10;zc9Op9Fn9nDYOh/eCdOSKBTU4coSk2x/7UMPvYfEWJaFsG6UGuCqWtaCf0knZLVUKS/vqi1Esme4&#10;9cn6PH+7GoIeIdtnsev0DdgBglTvY8b4SpOuoOPpZIQW4gwDINF4EFsLEr2uKGGqwmTx4FJW2sR0&#10;UQj8oMIV83WfmDeqKYdYSoOTSHRPbZS2przD1TjT96y3fN3g/DXz4ZY5NCniY4zDDRapDJIyg0RJ&#10;bdy35/YjHr0DKyUdmh4Jf90xJyhR7zW66iKfTOKUJGUyPRtDcY8t28cWvWuXBgzneDAsT2LEB3Uv&#10;Smfaz5j2RYwKE9McsXtqBmUZ+mHEe8HFYpFgmAwwfq03lkfnkTltFrtgZJMa4oGdgTTMRmqpYY7j&#10;8D3WE+rh7Zr/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oHfqDZAAAACgEAAA8AAAAAAAAAAQAg&#10;AAAAIgAAAGRycy9kb3ducmV2LnhtbFBLAQIUABQAAAAIAIdO4kDEFkR6fwIAAAMFAAAOAAAAAAAA&#10;AAEAIAAAACgBAABkcnMvZTJvRG9jLnhtbFBLBQYAAAAABgAGAFkBAAAZBgAAAAA=&#10;">
                <v:fill type="pattern" on="t" color2="#FFFFFF" o:title="大棋盘" focussize="0,0" r:id="rId14"/>
                <v:stroke on="f" weight="2pt"/>
                <v:imagedata o:title=""/>
                <o:lock v:ext="edit" aspectratio="f"/>
              </v:rect>
            </w:pict>
          </mc:Fallback>
        </mc:AlternateContent>
      </w:r>
      <w:r>
        <w:rPr>
          <w:rFonts w:ascii="黑体" w:hAnsi="Times New Roman" w:eastAsia="黑体" w:cs="黑体"/>
          <w:b/>
          <w:color w:val="000000"/>
          <w:kern w:val="2"/>
          <w:sz w:val="24"/>
          <w:szCs w:val="24"/>
          <w:lang w:val="en-US" w:eastAsia="zh-CN" w:bidi="ar-SA"/>
        </w:rPr>
        <w:drawing>
          <wp:anchor distT="0" distB="0" distL="114300" distR="114300" simplePos="0" relativeHeight="251677696" behindDoc="1" locked="0" layoutInCell="1" allowOverlap="1">
            <wp:simplePos x="0" y="0"/>
            <wp:positionH relativeFrom="column">
              <wp:posOffset>-1362075</wp:posOffset>
            </wp:positionH>
            <wp:positionV relativeFrom="paragraph">
              <wp:posOffset>-868045</wp:posOffset>
            </wp:positionV>
            <wp:extent cx="7525385" cy="10734040"/>
            <wp:effectExtent l="0" t="0" r="18415" b="10160"/>
            <wp:wrapNone/>
            <wp:docPr id="64" name="图片 64" descr="896ccdbf32ebbc37f42aa80f81da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896ccdbf32ebbc37f42aa80f81da19c"/>
                    <pic:cNvPicPr>
                      <a:picLocks noChangeAspect="1"/>
                    </pic:cNvPicPr>
                  </pic:nvPicPr>
                  <pic:blipFill>
                    <a:blip r:embed="rId40"/>
                    <a:stretch>
                      <a:fillRect/>
                    </a:stretch>
                  </pic:blipFill>
                  <pic:spPr>
                    <a:xfrm>
                      <a:off x="0" y="0"/>
                      <a:ext cx="7525385" cy="10734040"/>
                    </a:xfrm>
                    <a:prstGeom prst="rect">
                      <a:avLst/>
                    </a:prstGeom>
                  </pic:spPr>
                </pic:pic>
              </a:graphicData>
            </a:graphic>
          </wp:anchor>
        </w:drawing>
      </w:r>
      <w:r>
        <w:rPr>
          <w:rFonts w:ascii="宋体" w:hAnsi="宋体" w:eastAsia="宋体" w:cs="宋体"/>
          <w:b/>
          <w:color w:val="000000"/>
          <w:kern w:val="2"/>
          <w:sz w:val="24"/>
          <w:szCs w:val="22"/>
          <w:lang w:val="zh-CN" w:eastAsia="zh-CN" w:bidi="zh-CN"/>
        </w:rPr>
        <mc:AlternateContent>
          <mc:Choice Requires="wps">
            <w:drawing>
              <wp:anchor distT="0" distB="0" distL="114300" distR="114300" simplePos="0" relativeHeight="251676672" behindDoc="0" locked="0" layoutInCell="1" allowOverlap="1">
                <wp:simplePos x="0" y="0"/>
                <wp:positionH relativeFrom="column">
                  <wp:posOffset>5627370</wp:posOffset>
                </wp:positionH>
                <wp:positionV relativeFrom="paragraph">
                  <wp:posOffset>-857250</wp:posOffset>
                </wp:positionV>
                <wp:extent cx="1828800" cy="1828800"/>
                <wp:effectExtent l="0" t="0" r="0" b="0"/>
                <wp:wrapSquare wrapText="bothSides"/>
                <wp:docPr id="49" name="矩形 44"/>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2BFCE923">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附件三</w:t>
                            </w:r>
                          </w:p>
                        </w:txbxContent>
                      </wps:txbx>
                      <wps:bodyPr wrap="none" upright="0">
                        <a:spAutoFit/>
                      </wps:bodyPr>
                    </wps:wsp>
                  </a:graphicData>
                </a:graphic>
              </wp:anchor>
            </w:drawing>
          </mc:Choice>
          <mc:Fallback>
            <w:pict>
              <v:rect id="矩形 44" o:spid="_x0000_s1026" o:spt="1" style="position:absolute;left:0pt;margin-left:443.1pt;margin-top:-67.5pt;height:144pt;width:144pt;mso-wrap-distance-bottom:0pt;mso-wrap-distance-left:9pt;mso-wrap-distance-right:9pt;mso-wrap-distance-top:0pt;mso-wrap-style:none;z-index:251676672;mso-width-relative:page;mso-height-relative:page;" filled="f" stroked="f" coordsize="21600,21600" o:gfxdata="UEsDBAoAAAAAAIdO4kAAAAAAAAAAAAAAAAAEAAAAZHJzL1BLAwQUAAAACACHTuJAwPsZVNsAAAAN&#10;AQAADwAAAGRycy9kb3ducmV2LnhtbE2PzU7DMBCE70i8g7VIXFBrJ/0hCnF6QECl9kTpA7ixSSzi&#10;dWQ7aXl7tqdy290ZzX5TbS6uZ5MJ0XqUkM0FMION1xZbCcev91kBLCaFWvUejYRfE2FT399VqtT+&#10;jJ9mOqSWUQjGUknoUhpKzmPTGafi3A8GSfv2walEa2i5DupM4a7nuRBr7pRF+tCpwbx2pvk5jE7C&#10;8iPfvdknsbduGtVxx4PY4l7Kx4dMvABL5pJuZrjiEzrUxHTyI+rIeglFsc7JKmGWLVbU6mrJnpd0&#10;O9G0WgjgdcX/t6j/AFBLAwQUAAAACACHTuJAGFTAL7QBAABqAwAADgAAAGRycy9lMm9Eb2MueG1s&#10;rVPNjtMwEL4j8Q6W7zRpVaESNV0hVcsFwUoLD+A6dmPJf5pxm/RpkLjxEDwO4jUYO9nuslz2wMWZ&#10;Gc98M983zvZmdJadFaAJvuXLRc2Z8jJ0xh9b/vXL7ZsNZ5iE74QNXrX8opDf7F6/2g6xUavQB9sp&#10;YATisRliy/uUYlNVKHvlBC5CVJ4udQAnErlwrDoQA6E7W63q+m01BOgiBKkQKbqfLvmMCC8BDFob&#10;qfZBnpzyaUIFZUUiStibiHxXptVayfRZa1SJ2ZYT01ROakL2IZ/VbiuaI4jYGzmPIF4ywjNOThhP&#10;Ta9Qe5EEO4H5B8oZCQGDTgsZXDURKYoQi2X9TJv7XkRVuJDUGK+i4/+DlZ/Od8BM1/L1O868cLTx&#10;399+/Pr5na3XWZ0hYkNJ9/EOZg/JzFRHDS5/iQQbi6KXq6JqTExScLlZbTY1iS3p7sEhnOqxPAKm&#10;Dyo4lo2WA62sKCnOHzFNqQ8puZsPt8ZaiovG+r8ChJkjVZ54mjFbaTyM8+CH0F2I7EDbbrmnx83Z&#10;KYI59uVVZCyM70+JGpS+uXoqmUFpBWXy+bnkHT/1S9bjL7L7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D7GVTbAAAADQEAAA8AAAAAAAAAAQAgAAAAIgAAAGRycy9kb3ducmV2LnhtbFBLAQIUABQA&#10;AAAIAIdO4kAYVMAvtAEAAGoDAAAOAAAAAAAAAAEAIAAAACoBAABkcnMvZTJvRG9jLnhtbFBLBQYA&#10;AAAABgAGAFkBAABQBQAAAAA=&#10;">
                <v:fill on="f" focussize="0,0"/>
                <v:stroke on="f"/>
                <v:imagedata o:title=""/>
                <o:lock v:ext="edit" aspectratio="f"/>
                <v:textbox style="mso-fit-shape-to-text:t;">
                  <w:txbxContent>
                    <w:p w14:paraId="2BFCE923">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附件三</w:t>
                      </w:r>
                    </w:p>
                  </w:txbxContent>
                </v:textbox>
                <w10:wrap type="square"/>
              </v:rect>
            </w:pict>
          </mc:Fallback>
        </mc:AlternateContent>
      </w:r>
    </w:p>
    <w:p w14:paraId="2503C434">
      <w:pPr>
        <w:pStyle w:val="35"/>
        <w:widowControl w:val="0"/>
        <w:wordWrap/>
        <w:autoSpaceDE w:val="0"/>
        <w:autoSpaceDN w:val="0"/>
        <w:adjustRightInd w:val="0"/>
        <w:snapToGrid/>
        <w:spacing w:line="240" w:lineRule="auto"/>
        <w:jc w:val="center"/>
        <w:textAlignment w:val="auto"/>
        <w:rPr>
          <w:rFonts w:ascii="黑体" w:hAnsi="Times New Roman" w:eastAsia="黑体" w:cs="黑体"/>
          <w:b/>
          <w:color w:val="000000"/>
          <w:kern w:val="2"/>
          <w:sz w:val="24"/>
          <w:szCs w:val="24"/>
          <w:lang w:val="en-US" w:eastAsia="zh-CN" w:bidi="ar-SA"/>
        </w:rPr>
      </w:pP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67456" behindDoc="0" locked="0" layoutInCell="1" allowOverlap="1">
                <wp:simplePos x="0" y="0"/>
                <wp:positionH relativeFrom="column">
                  <wp:posOffset>5365115</wp:posOffset>
                </wp:positionH>
                <wp:positionV relativeFrom="paragraph">
                  <wp:posOffset>-644525</wp:posOffset>
                </wp:positionV>
                <wp:extent cx="1828800" cy="1828800"/>
                <wp:effectExtent l="0" t="0" r="0" b="0"/>
                <wp:wrapSquare wrapText="bothSides"/>
                <wp:docPr id="40" name="文本框 28"/>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101A2A32">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附件四</w:t>
                            </w:r>
                          </w:p>
                        </w:txbxContent>
                      </wps:txbx>
                      <wps:bodyPr wrap="none" upright="0">
                        <a:spAutoFit/>
                      </wps:bodyPr>
                    </wps:wsp>
                  </a:graphicData>
                </a:graphic>
              </wp:anchor>
            </w:drawing>
          </mc:Choice>
          <mc:Fallback>
            <w:pict>
              <v:rect id="文本框 28" o:spid="_x0000_s1026" o:spt="1" style="position:absolute;left:0pt;margin-left:422.45pt;margin-top:-50.75pt;height:144pt;width:144pt;mso-wrap-distance-bottom:0pt;mso-wrap-distance-left:9pt;mso-wrap-distance-right:9pt;mso-wrap-distance-top:0pt;mso-wrap-style:none;z-index:251667456;mso-width-relative:page;mso-height-relative:page;" filled="f" stroked="f" coordsize="21600,21600" o:gfxdata="UEsDBAoAAAAAAIdO4kAAAAAAAAAAAAAAAAAEAAAAZHJzL1BLAwQUAAAACACHTuJAL7meqdoAAAAN&#10;AQAADwAAAGRycy9kb3ducmV2LnhtbE2Py07DMBBF90j8gzVIbFBrO6RVCHG6QDykdkXpB0xjk1jE&#10;4yh20vL3uCu6m8fRnTPV5ux6NpsxWE8K5FIAM9R4balVcPh6WxTAQkTS2HsyCn5NgE19e1Nhqf2J&#10;Ps28jy1LIRRKVNDFOJSch6YzDsPSD4bS7tuPDmNqx5brEU8p3PU8E2LNHVpKFzoczEtnmp/95BTk&#10;79n21T6InXXzhIctH8UH7ZS6v5PiGVg05/gPw0U/qUOdnI5+Ih1Yr6DI86eEKlhIIVfALoh8zNLs&#10;mKpivQJeV/z6i/oPUEsDBBQAAAAIAIdO4kA7IuLEtwEAAG0DAAAOAAAAZHJzL2Uyb0RvYy54bWyt&#10;U0tu2zAQ3RfIHQjuY8pGUAiC5aCAkW6KNEDaA9AUaRHgDxzaki/Q3qCrbrrvuXyODinFSdNNFt1Q&#10;M8OZN/PeUOvb0RpylBG0dy1dLipKpBO+027f0q9f7q5rSiBx13HjnWzpSQK93Vy9Ww+hkSvfe9PJ&#10;SBDEQTOElvYphYYxEL20HBY+SIeXykfLE7pxz7rIB0S3hq2q6j0bfOxC9EICYHQ7XdIZMb4F0Cul&#10;hdx6cbDSpQk1SsMTUoJeB6CbMq1SUqTPSoFMxLQUmaZyYhO0d/lkmzVv9pGHXot5BP6WEV5xslw7&#10;bHqB2vLEySHqf6CsFtGDV2khvGUTkaIIslhWr7R57HmQhQtKDeEiOvw/WHF/fIhEdy29QUkct7jx&#10;84/v55+/z7++kVWdBRoCNJj3GB7i7AGame2oos1f5EHGIurpIqocExEYXNaruq4QXODdk4M47Lk8&#10;REgfpbckGy2NuLUiJj9+gjSlPqXkbs7faWMwzhvj/gogZo6wPPE0Y7bSuBvnwXe+OyHfARfeUofv&#10;m5JDiHrfl4eRsSB8OCRsUPrm6qlkBsUtlMnnF5PX/NIvWc9/ye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7meqdoAAAANAQAADwAAAAAAAAABACAAAAAiAAAAZHJzL2Rvd25yZXYueG1sUEsBAhQA&#10;FAAAAAgAh07iQDsi4sS3AQAAbQMAAA4AAAAAAAAAAQAgAAAAKQEAAGRycy9lMm9Eb2MueG1sUEsF&#10;BgAAAAAGAAYAWQEAAFIFAAAAAA==&#10;">
                <v:fill on="f" focussize="0,0"/>
                <v:stroke on="f"/>
                <v:imagedata o:title=""/>
                <o:lock v:ext="edit" aspectratio="f"/>
                <v:textbox style="mso-fit-shape-to-text:t;">
                  <w:txbxContent>
                    <w:p w14:paraId="101A2A32">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附件四</w:t>
                      </w:r>
                    </w:p>
                  </w:txbxContent>
                </v:textbox>
                <w10:wrap type="square"/>
              </v:rect>
            </w:pict>
          </mc:Fallback>
        </mc:AlternateContent>
      </w:r>
    </w:p>
    <w:p w14:paraId="65103B46">
      <w:pPr>
        <w:pStyle w:val="35"/>
        <w:widowControl w:val="0"/>
        <w:wordWrap/>
        <w:autoSpaceDE w:val="0"/>
        <w:autoSpaceDN w:val="0"/>
        <w:adjustRightInd w:val="0"/>
        <w:snapToGrid/>
        <w:spacing w:line="240" w:lineRule="auto"/>
        <w:jc w:val="center"/>
        <w:textAlignment w:val="auto"/>
      </w:pPr>
    </w:p>
    <w:p w14:paraId="21DCA0A6">
      <w:pPr>
        <w:pStyle w:val="18"/>
        <w:jc w:val="center"/>
        <w:rPr>
          <w:rFonts w:hint="eastAsia" w:eastAsia="宋体"/>
          <w:lang w:eastAsia="zh-CN"/>
        </w:rPr>
      </w:pPr>
      <w:r>
        <w:rPr>
          <w:sz w:val="30"/>
        </w:rPr>
        <mc:AlternateContent>
          <mc:Choice Requires="wps">
            <w:drawing>
              <wp:anchor distT="0" distB="0" distL="114300" distR="114300" simplePos="0" relativeHeight="251724800" behindDoc="0" locked="0" layoutInCell="1" allowOverlap="1">
                <wp:simplePos x="0" y="0"/>
                <wp:positionH relativeFrom="column">
                  <wp:posOffset>1642745</wp:posOffset>
                </wp:positionH>
                <wp:positionV relativeFrom="paragraph">
                  <wp:posOffset>1112520</wp:posOffset>
                </wp:positionV>
                <wp:extent cx="1221105" cy="436245"/>
                <wp:effectExtent l="0" t="0" r="17145" b="1905"/>
                <wp:wrapNone/>
                <wp:docPr id="121" name="矩形 121"/>
                <wp:cNvGraphicFramePr/>
                <a:graphic xmlns:a="http://schemas.openxmlformats.org/drawingml/2006/main">
                  <a:graphicData uri="http://schemas.microsoft.com/office/word/2010/wordprocessingShape">
                    <wps:wsp>
                      <wps:cNvSpPr/>
                      <wps:spPr>
                        <a:xfrm>
                          <a:off x="0" y="0"/>
                          <a:ext cx="1221105" cy="43624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35pt;margin-top:87.6pt;height:34.35pt;width:96.15pt;z-index:251724800;v-text-anchor:middle;mso-width-relative:page;mso-height-relative:page;" fillcolor="#4F81BD" filled="t" stroked="f" coordsize="21600,21600" o:gfxdata="UEsDBAoAAAAAAIdO4kAAAAAAAAAAAAAAAAAEAAAAZHJzL1BLAwQUAAAACACHTuJAhWWHXNkAAAAL&#10;AQAADwAAAGRycy9kb3ducmV2LnhtbE2Py07DMBBF90j8gzVI7KiTNKEhxKlQBSxBFBbtzo2HJGCP&#10;Q+w++HuGFSxH9+jOufXy5Kw44BQGTwrSWQICqfVmoE7B2+vDVQkiRE1GW0+o4BsDLJvzs1pXxh/p&#10;BQ/r2AkuoVBpBX2MYyVlaHt0Osz8iMTZu5+cjnxOnTSTPnK5szJLkmvp9ED8odcjrnpsP9d7p2DT&#10;fn3Y/P653HYjyfnTqny8s0Gpy4s0uQUR8RT/YPjVZ3Vo2Gnn92SCsAqyolwwysGiyEAwkRcpr9tx&#10;lM9vQDa1/L+h+QFQSwMEFAAAAAgAh07iQN67x2p+AgAABAUAAA4AAABkcnMvZTJvRG9jLnhtbK1U&#10;3W7TMBi9R+IdLN+zNKGFUS2dSqsipIlNGohr17GTCMc2ttt0vAwSdzwEj4N4DY6drJvGLnZBL9zP&#10;/o6/n+Pz5ez80CmyF863Rpc0P5lQIjQ3Vavrkn76uHlxSokPTFdMGS1KeiM8PV88f3bW27koTGNU&#10;JRxBEO3nvS1pE4KdZ5nnjeiYPzFWaDilcR0L2Lo6qxzrEb1TWTGZvMp64yrrDBfe43Q9OOkY0T0l&#10;oJGy5WJt+K4TOgxRnVAsoCXftNbTRapWSsHDpZReBKJKik5DWpEE9jau2eKMzWvHbNPysQT2lBIe&#10;9NSxViPpMdSaBUZ2rv0nVNdyZ7yR4YSbLhsaSYygi3zygJvrhlmRegHV3h5J9/8vLP+wv3KkraCE&#10;IqdEsw5P/uf7z9+/fpB4An566+eAXdsrN+48zNjsQbou/qMNckic3hw5FYdAOA7zosjzyYwSDt/0&#10;5atiOotBs7vb1vnwTpiORKOkDm+WqGT7Cx8G6C0kJrMshE2r1AhX9aoR/Eu6IeuVSoV5V29hkj3D&#10;s083p/nb9Zj0CNk+it2k34gdISj1NmfMrzTpS1rMphNoiDNMgITyYHYWLHpdU8JUjdHiwaWqtInl&#10;ohHEQYdr5puhMG9UW425lAYnkemB22htTXWDt3FmEK23fNPi/gXz4Yo5qBT5McfhEotUBkWZ0aKk&#10;Me7bY+cRD/HAS0kP1aPgrzvmBCXqvYas3uTTaRyTtJnOXhfYuPue7X2P3nUrA4YhHFSXzIgP6taU&#10;znSfMe7LmBUupjlyD9SMm1UYphEfDC6WywTDaIDxC31teQwemdNmuQtGtkkQd+yMpGE4kqTGQY7T&#10;d3+fUHcfr8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WWHXNkAAAALAQAADwAAAAAAAAABACAA&#10;AAAiAAAAZHJzL2Rvd25yZXYueG1sUEsBAhQAFAAAAAgAh07iQN67x2p+AgAABAUAAA4AAAAAAAAA&#10;AQAgAAAAKA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3776" behindDoc="0" locked="0" layoutInCell="1" allowOverlap="1">
                <wp:simplePos x="0" y="0"/>
                <wp:positionH relativeFrom="column">
                  <wp:posOffset>2111375</wp:posOffset>
                </wp:positionH>
                <wp:positionV relativeFrom="paragraph">
                  <wp:posOffset>1724025</wp:posOffset>
                </wp:positionV>
                <wp:extent cx="1617980" cy="191135"/>
                <wp:effectExtent l="0" t="0" r="1270" b="18415"/>
                <wp:wrapNone/>
                <wp:docPr id="120" name="矩形 120"/>
                <wp:cNvGraphicFramePr/>
                <a:graphic xmlns:a="http://schemas.openxmlformats.org/drawingml/2006/main">
                  <a:graphicData uri="http://schemas.microsoft.com/office/word/2010/wordprocessingShape">
                    <wps:wsp>
                      <wps:cNvSpPr/>
                      <wps:spPr>
                        <a:xfrm>
                          <a:off x="0" y="0"/>
                          <a:ext cx="1617980" cy="1911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25pt;margin-top:135.75pt;height:15.05pt;width:127.4pt;z-index:251723776;v-text-anchor:middle;mso-width-relative:page;mso-height-relative:page;" fillcolor="#4F81BD" filled="t" stroked="f" coordsize="21600,21600" o:gfxdata="UEsDBAoAAAAAAIdO4kAAAAAAAAAAAAAAAAAEAAAAZHJzL1BLAwQUAAAACACHTuJAe7xDL9kAAAAL&#10;AQAADwAAAGRycy9kb3ducmV2LnhtbE2PTU/DMAyG70j8h8hI3FjSlm1VaTqhCTiCNjjALWtMW0ic&#10;0mQf/HvMCW623kevH9erk3figFMcAmnIZgoEUhvsQJ2Gl+f7qxJETIascYFQwzdGWDXnZ7WpbDjS&#10;Bg/b1AkuoVgZDX1KYyVlbHv0Js7CiMTZe5i8SbxOnbSTOXK5dzJXaiG9GYgv9GbEdY/t53bvNby2&#10;Xx/u+u6pfOtGksXjuny4dVHry4tM3YBIeEp/MPzqszo07LQLe7JROA1Fkc8Z1ZAvMx6YmJfLAsSO&#10;I5UtQDa1/P9D8wNQSwMEFAAAAAgAh07iQMlgCCl+AgAABAUAAA4AAABkcnMvZTJvRG9jLnhtbK1U&#10;zW4TMRC+I/EOlu90syEtbdRNFRIFIVW0UkGcHa+9u8J/2M5PeRkkbjwEj4N4DT57t2lVeuiBHDZj&#10;z+dvZj7P+PxirxXZCh86aypaHo0oEYbbujNNRT99XL06pSREZmqmrBEVvRWBXsxevjjfuakY29aq&#10;WngCEhOmO1fRNkY3LYrAW6FZOLJOGDil9ZpFLH1T1J7twK5VMR6NToqd9bXzlosQsLvsnXRg9M8h&#10;tFJ2XCwt32hhYs/qhWIRJYW2c4HOcrZSCh6vpAwiElVRVBrzF0Fgr9O3mJ2zaeOZazs+pMCek8Kj&#10;mjTrDIIeqJYsMrLx3T9UuuPeBivjEbe66AvJiqCKcvRIm5uWOZFrgdTBHUQP/4+Wf9hee9LV6IQx&#10;NDFM48r/fP/5+9cPknagz86FKWA37toPqwAzFbuXXqd/lEH2WdPbg6ZiHwnHZnlSvjk7BTWHrzwr&#10;y9fHibS4P+18iO+E1SQZFfW4sywl216G2EPvICmYYzGuOqUGuGoWreBf8gnZLFROLPhmDZNsGa59&#10;sjot3y6HoAfI+knsKv8G7ABBqncxU3xlyK6i4+PJKBXFMAESnQdTO6gYTEMJUw1Gi0efszI2pYtC&#10;wIMKlyy0fWLBqq4eYikDTZLSvbbJWtv6Fnfjbd+0wfFVh/OXLMRr5tGliI85jlf4SGWRlB0sSlrr&#10;vz21n/BoHngp2aHrkfDXDfOCEvXeoK3OyskEtDEvJsdvUk/4h571Q4/Z6IWFwiVeDMezmfBR3ZnS&#10;W/0Z4z5PUeFihiN2L82wWMR+GvFgcDGfZxhGA4pfmhvHE3lSztj5JlrZ5Ya4V2cQDcORW2oY5DR9&#10;D9cZdf94zf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e7xDL9kAAAALAQAADwAAAAAAAAABACAA&#10;AAAiAAAAZHJzL2Rvd25yZXYueG1sUEsBAhQAFAAAAAgAh07iQMlgCCl+AgAABAUAAA4AAAAAAAAA&#10;AQAgAAAAKAEAAGRycy9lMm9Eb2MueG1sUEsFBgAAAAAGAAYAWQEAABgGAAAAAA==&#10;">
                <v:fill type="pattern" on="t" color2="#FFFFFF" o:title="大棋盘" focussize="0,0" r:id="rId14"/>
                <v:stroke on="f" weight="2pt"/>
                <v:imagedata o:title=""/>
                <o:lock v:ext="edit" aspectratio="f"/>
              </v:rect>
            </w:pict>
          </mc:Fallback>
        </mc:AlternateContent>
      </w:r>
      <w:r>
        <w:rPr>
          <w:rFonts w:hint="eastAsia" w:eastAsia="宋体"/>
          <w:lang w:eastAsia="zh-CN"/>
        </w:rPr>
        <w:drawing>
          <wp:inline distT="0" distB="0" distL="114300" distR="114300">
            <wp:extent cx="3308350" cy="2160270"/>
            <wp:effectExtent l="0" t="0" r="6350" b="11430"/>
            <wp:docPr id="65" name="图片 65" descr="6377858cde7d8cd7a03d3e35a8237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377858cde7d8cd7a03d3e35a8237f2"/>
                    <pic:cNvPicPr>
                      <a:picLocks noChangeAspect="1"/>
                    </pic:cNvPicPr>
                  </pic:nvPicPr>
                  <pic:blipFill>
                    <a:blip r:embed="rId41"/>
                    <a:srcRect l="31775" t="19211" r="21995" b="59627"/>
                    <a:stretch>
                      <a:fillRect/>
                    </a:stretch>
                  </pic:blipFill>
                  <pic:spPr>
                    <a:xfrm>
                      <a:off x="0" y="0"/>
                      <a:ext cx="3308350" cy="2160270"/>
                    </a:xfrm>
                    <a:prstGeom prst="rect">
                      <a:avLst/>
                    </a:prstGeom>
                  </pic:spPr>
                </pic:pic>
              </a:graphicData>
            </a:graphic>
          </wp:inline>
        </w:drawing>
      </w:r>
    </w:p>
    <w:p w14:paraId="4275B527">
      <w:pPr>
        <w:pStyle w:val="18"/>
        <w:jc w:val="center"/>
        <w:rPr>
          <w:rFonts w:hint="eastAsia" w:eastAsia="宋体"/>
          <w:lang w:eastAsia="zh-CN"/>
        </w:rPr>
      </w:pPr>
    </w:p>
    <w:p w14:paraId="0AC3E289">
      <w:pPr>
        <w:pStyle w:val="18"/>
        <w:jc w:val="center"/>
        <w:rPr>
          <w:rFonts w:hint="eastAsia" w:eastAsia="宋体"/>
          <w:lang w:eastAsia="zh-CN"/>
        </w:rPr>
      </w:pPr>
    </w:p>
    <w:p w14:paraId="7307F645">
      <w:pPr>
        <w:pStyle w:val="18"/>
        <w:jc w:val="center"/>
        <w:rPr>
          <w:rFonts w:hint="eastAsia" w:eastAsia="宋体"/>
          <w:lang w:eastAsia="zh-CN"/>
        </w:rPr>
      </w:pPr>
      <w:r>
        <w:rPr>
          <w:rFonts w:hint="eastAsia" w:eastAsia="宋体"/>
          <w:lang w:eastAsia="zh-CN"/>
        </w:rPr>
        <w:drawing>
          <wp:inline distT="0" distB="0" distL="114300" distR="114300">
            <wp:extent cx="3470910" cy="2160270"/>
            <wp:effectExtent l="0" t="0" r="15240" b="11430"/>
            <wp:docPr id="66" name="图片 66" descr="1853b9b914540108e2d7382f8855f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853b9b914540108e2d7382f8855ffc"/>
                    <pic:cNvPicPr>
                      <a:picLocks noChangeAspect="1"/>
                    </pic:cNvPicPr>
                  </pic:nvPicPr>
                  <pic:blipFill>
                    <a:blip r:embed="rId42"/>
                    <a:srcRect l="32498" t="29074" r="20549" b="50439"/>
                    <a:stretch>
                      <a:fillRect/>
                    </a:stretch>
                  </pic:blipFill>
                  <pic:spPr>
                    <a:xfrm>
                      <a:off x="0" y="0"/>
                      <a:ext cx="3470910" cy="2160270"/>
                    </a:xfrm>
                    <a:prstGeom prst="rect">
                      <a:avLst/>
                    </a:prstGeom>
                  </pic:spPr>
                </pic:pic>
              </a:graphicData>
            </a:graphic>
          </wp:inline>
        </w:drawing>
      </w:r>
    </w:p>
    <w:p w14:paraId="3EC1B96D">
      <w:pPr>
        <w:pStyle w:val="18"/>
      </w:pPr>
    </w:p>
    <w:p w14:paraId="5FDA2FFE">
      <w:pPr>
        <w:pStyle w:val="18"/>
      </w:pPr>
    </w:p>
    <w:p w14:paraId="1153C3FA">
      <w:pPr>
        <w:pStyle w:val="18"/>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1268C0B9">
      <w:pPr>
        <w:pStyle w:val="18"/>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677696" behindDoc="1" locked="0" layoutInCell="1" allowOverlap="1">
            <wp:simplePos x="0" y="0"/>
            <wp:positionH relativeFrom="column">
              <wp:posOffset>-1124585</wp:posOffset>
            </wp:positionH>
            <wp:positionV relativeFrom="paragraph">
              <wp:posOffset>-926465</wp:posOffset>
            </wp:positionV>
            <wp:extent cx="7545705" cy="10763250"/>
            <wp:effectExtent l="0" t="0" r="17145" b="0"/>
            <wp:wrapNone/>
            <wp:docPr id="4" name="图片 4" descr="a6bfabc1e0eb341f9ededb8318c6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6bfabc1e0eb341f9ededb8318c6950"/>
                    <pic:cNvPicPr>
                      <a:picLocks noChangeAspect="1"/>
                    </pic:cNvPicPr>
                  </pic:nvPicPr>
                  <pic:blipFill>
                    <a:blip r:embed="rId43"/>
                    <a:stretch>
                      <a:fillRect/>
                    </a:stretch>
                  </pic:blipFill>
                  <pic:spPr>
                    <a:xfrm>
                      <a:off x="0" y="0"/>
                      <a:ext cx="7545705" cy="10763250"/>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75648" behindDoc="0" locked="0" layoutInCell="1" allowOverlap="1">
                <wp:simplePos x="0" y="0"/>
                <wp:positionH relativeFrom="column">
                  <wp:posOffset>5365115</wp:posOffset>
                </wp:positionH>
                <wp:positionV relativeFrom="paragraph">
                  <wp:posOffset>-644525</wp:posOffset>
                </wp:positionV>
                <wp:extent cx="1828800" cy="1828800"/>
                <wp:effectExtent l="0" t="0" r="0" b="0"/>
                <wp:wrapSquare wrapText="bothSides"/>
                <wp:docPr id="48" name="矩形 43"/>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52F33B0">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附件五</w:t>
                            </w:r>
                          </w:p>
                        </w:txbxContent>
                      </wps:txbx>
                      <wps:bodyPr wrap="none" upright="0">
                        <a:spAutoFit/>
                      </wps:bodyPr>
                    </wps:wsp>
                  </a:graphicData>
                </a:graphic>
              </wp:anchor>
            </w:drawing>
          </mc:Choice>
          <mc:Fallback>
            <w:pict>
              <v:rect id="矩形 43" o:spid="_x0000_s1026" o:spt="1" style="position:absolute;left:0pt;margin-left:422.45pt;margin-top:-50.75pt;height:144pt;width:144pt;mso-wrap-distance-bottom:0pt;mso-wrap-distance-left:9pt;mso-wrap-distance-right:9pt;mso-wrap-distance-top:0pt;mso-wrap-style:none;z-index:251675648;mso-width-relative:page;mso-height-relative:page;" filled="f" stroked="f" coordsize="21600,21600" o:gfxdata="UEsDBAoAAAAAAIdO4kAAAAAAAAAAAAAAAAAEAAAAZHJzL1BLAwQUAAAACACHTuJAL7meqdoAAAAN&#10;AQAADwAAAGRycy9kb3ducmV2LnhtbE2Py07DMBBF90j8gzVIbFBrO6RVCHG6QDykdkXpB0xjk1jE&#10;4yh20vL3uCu6m8fRnTPV5ux6NpsxWE8K5FIAM9R4balVcPh6WxTAQkTS2HsyCn5NgE19e1Nhqf2J&#10;Ps28jy1LIRRKVNDFOJSch6YzDsPSD4bS7tuPDmNqx5brEU8p3PU8E2LNHVpKFzoczEtnmp/95BTk&#10;79n21T6InXXzhIctH8UH7ZS6v5PiGVg05/gPw0U/qUOdnI5+Ih1Yr6DI86eEKlhIIVfALoh8zNLs&#10;mKpivQJeV/z6i/oPUEsDBBQAAAAIAIdO4kB2LgdDtAEAAGoDAAAOAAAAZHJzL2Uyb0RvYy54bWyt&#10;U81u2zAMvg/YOwi6L3bSYgiMOMWAoL0MW4FuD6DIUixAfyCV2HmaAbvtIfY4w15jlOymXXfpYReZ&#10;pMiP/D7Km5vRWXZSgCb4li8XNWfKy9AZf2j51y+379acYRK+EzZ41fKzQn6zfftmM8RGrUIfbKeA&#10;EYjHZogt71OKTVWh7JUTuAhRebrUAZxI5MKh6kAMhO5starr99UQoIsQpEKk6G665DMivAYwaG2k&#10;2gV5dMqnCRWUFYkoYW8i8m2ZVmsl02etUSVmW05MUzmpCdn7fFbbjWgOIGJv5DyCeM0ILzg5YTw1&#10;vUDtRBLsCOYfKGckBAw6LWRw1USkKEIslvULbR56EVXhQlJjvIiO/w9WfjrdAzNdy69p71442vjv&#10;bz9+/fzOrq+yOkPEhpIe4j3MHpKZqY4aXP4SCTYWRc8XRdWYmKTgcr1ar2sSW9Ldo0M41VN5BEx3&#10;KjiWjZYDrawoKU4fMU2pjym5mw+3xlqKi8b6vwKEmSNVnniaMVtp3I/z4PvQnYnsQNtuuafHzdkx&#10;gjn05VVkLIwfjokalL65eiqZQWkFZfL5ueQdP/dL1tMvsv0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L7meqdoAAAANAQAADwAAAAAAAAABACAAAAAiAAAAZHJzL2Rvd25yZXYueG1sUEsBAhQAFAAA&#10;AAgAh07iQHYuB0O0AQAAagMAAA4AAAAAAAAAAQAgAAAAKQEAAGRycy9lMm9Eb2MueG1sUEsFBgAA&#10;AAAGAAYAWQEAAE8FAAAAAA==&#10;">
                <v:fill on="f" focussize="0,0"/>
                <v:stroke on="f"/>
                <v:imagedata o:title=""/>
                <o:lock v:ext="edit" aspectratio="f"/>
                <v:textbox style="mso-fit-shape-to-text:t;">
                  <w:txbxContent>
                    <w:p w14:paraId="652F33B0">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附件五</w:t>
                      </w:r>
                    </w:p>
                  </w:txbxContent>
                </v:textbox>
                <w10:wrap type="square"/>
              </v:rect>
            </w:pict>
          </mc:Fallback>
        </mc:AlternateContent>
      </w:r>
    </w:p>
    <w:p w14:paraId="6BAA94E2">
      <w:pPr>
        <w:pStyle w:val="35"/>
        <w:widowControl w:val="0"/>
        <w:wordWrap/>
        <w:autoSpaceDE w:val="0"/>
        <w:autoSpaceDN w:val="0"/>
        <w:adjustRightInd w:val="0"/>
        <w:snapToGrid/>
        <w:spacing w:line="240" w:lineRule="auto"/>
        <w:jc w:val="center"/>
        <w:textAlignment w:val="auto"/>
        <w:rPr>
          <w:sz w:val="24"/>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30"/>
        </w:rPr>
        <mc:AlternateContent>
          <mc:Choice Requires="wps">
            <w:drawing>
              <wp:anchor distT="0" distB="0" distL="114300" distR="114300" simplePos="0" relativeHeight="251730944" behindDoc="0" locked="0" layoutInCell="1" allowOverlap="1">
                <wp:simplePos x="0" y="0"/>
                <wp:positionH relativeFrom="column">
                  <wp:posOffset>-228600</wp:posOffset>
                </wp:positionH>
                <wp:positionV relativeFrom="paragraph">
                  <wp:posOffset>7297420</wp:posOffset>
                </wp:positionV>
                <wp:extent cx="793115" cy="254635"/>
                <wp:effectExtent l="0" t="0" r="6985" b="12065"/>
                <wp:wrapNone/>
                <wp:docPr id="127" name="矩形 127"/>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pt;margin-top:574.6pt;height:20.05pt;width:62.45pt;z-index:251730944;v-text-anchor:middle;mso-width-relative:page;mso-height-relative:page;" fillcolor="#4F81BD" filled="t" stroked="f" coordsize="21600,21600" o:gfxdata="UEsDBAoAAAAAAIdO4kAAAAAAAAAAAAAAAAAEAAAAZHJzL1BLAwQUAAAACACHTuJAFJgnsdkAAAAM&#10;AQAADwAAAGRycy9kb3ducmV2LnhtbE2PzU7DMBCE70i8g7VI3FonTVU5IU6FKuAIonCAmxsvScBe&#10;h9j94e3ZnuC4M6PZb+r1yTtxwCkOgTTk8wwEUhvsQJ2G15f7mQIRkyFrXCDU8IMR1s3lRW0qG470&#10;jIdt6gSXUKyMhj6lsZIytj16E+dhRGLvI0zeJD6nTtrJHLncO7nIspX0ZiD+0JsRNz22X9u91/DW&#10;fn+65d2Teu9GksXjRj3cuqj19VWe3YBIeEp/YTjjMzo0zLQLe7JROA2zYsVbEhv5slyA4IhSJYjd&#10;WVFlAbKp5f8RzS9QSwMEFAAAAAgAh07iQHIIQc19AgAAAwUAAA4AAABkcnMvZTJvRG9jLnhtbK1U&#10;y24TMRTdI/EPlvd0kjTpI2pShURBSBWtVBBrx2PPjPAL28mk/AwSOz6Cz0H8BseeaVqVLrpgFp57&#10;fY/v4/heX1zutSI74UNjzYwOjwaUCMNt2ZhqRj99XL85oyREZkqmrBEzeicCvZy/fnXRuqkY2dqq&#10;UngCJyZMWzejdYxuWhSB10KzcGSdMDBK6zWLUH1VlJ618K5VMRoMTorW+tJ5y0UI2F11Rtp79C9x&#10;aKVsuFhZvtXCxM6rF4pFlBTqxgU6z9lKKXi8ljKISNSMotKYVwSBvElrMb9g08ozVze8T4G9JIUn&#10;NWnWGAQ9uFqxyMjWN/+40g33NlgZj7jVRVdIZgRVDAdPuLmtmRO5FlAd3IH08P/c8g+7G0+aEp0w&#10;OqXEMI0r//P95+9fP0jaAT+tC1PAbt2N77UAMRW7l16nP8og+8zp3YFTsY+EY/P0/Hg4nFDCYRpN&#10;xifHk+SzeDjsfIjvhNUkCTPqcWWZSba7CrGD3kNSLMdiXDdK9XBVLWvBv+QTslqqnFfw1QYi2THc&#10;+nh9Nny76oMeIJtnsev89dgeglTvY6b4ypA2VzJAC3GGAZBoPIjagcRgKkqYqjBZPPqclbEpXRQC&#10;P6hwxULdJRasaso+ljLgJBHdUZukjS3vcDXedj0bHF83OH/FQrxhHk2K+BjjeI1FKoukbC9RUlv/&#10;7bn9hEfvwEpJi6ZHwl+3zAtK1HuDrjofjsdpSrIynpyOoPjHls1ji9nqpQXDQzwYjmcx4aO6F6W3&#10;+jOmfZGiwsQMR+yOml5Zxm4Y8V5wsVhkGCYDjF+ZW8eT88ScsYtttLLJDfHATk8aZiO3VD/Hafge&#10;6xn18HbN/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UmCex2QAAAAwBAAAPAAAAAAAAAAEAIAAA&#10;ACIAAABkcnMvZG93bnJldi54bWxQSwECFAAUAAAACACHTuJAcghBzX0CAAADBQAADgAAAAAAAAAB&#10;ACAAAAAoAQAAZHJzL2Uyb0RvYy54bWxQSwUGAAAAAAYABgBZAQAAFwY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9920" behindDoc="0" locked="0" layoutInCell="1" allowOverlap="1">
                <wp:simplePos x="0" y="0"/>
                <wp:positionH relativeFrom="column">
                  <wp:posOffset>1017905</wp:posOffset>
                </wp:positionH>
                <wp:positionV relativeFrom="paragraph">
                  <wp:posOffset>5003165</wp:posOffset>
                </wp:positionV>
                <wp:extent cx="1189355" cy="293370"/>
                <wp:effectExtent l="0" t="0" r="10795" b="11430"/>
                <wp:wrapNone/>
                <wp:docPr id="126" name="矩形 126"/>
                <wp:cNvGraphicFramePr/>
                <a:graphic xmlns:a="http://schemas.openxmlformats.org/drawingml/2006/main">
                  <a:graphicData uri="http://schemas.microsoft.com/office/word/2010/wordprocessingShape">
                    <wps:wsp>
                      <wps:cNvSpPr/>
                      <wps:spPr>
                        <a:xfrm>
                          <a:off x="0" y="0"/>
                          <a:ext cx="1189355" cy="29337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15pt;margin-top:393.95pt;height:23.1pt;width:93.65pt;z-index:251729920;v-text-anchor:middle;mso-width-relative:page;mso-height-relative:page;" fillcolor="#4F81BD" filled="t" stroked="f" coordsize="21600,21600" o:gfxdata="UEsDBAoAAAAAAIdO4kAAAAAAAAAAAAAAAAAEAAAAZHJzL1BLAwQUAAAACACHTuJACgBhJ9kAAAAL&#10;AQAADwAAAGRycy9kb3ducmV2LnhtbE2Py07DMBBF90j8gzVI7KgdEiVuiFOhCliCKCzozo1NErDH&#10;IXYf/D3DCpZXc3TvmWZ18o4d7BzHgAqyhQBmsQtmxF7B68v9lQQWk0ajXUCr4NtGWLXnZ42uTTji&#10;sz1sUs+oBGOtFQwpTTXnsRus13ERJot0ew+z14ni3HMz6yOVe8evhSi51yPSwqAnux5s97nZewVv&#10;3deHK+6e5LafkOePa/lw66JSlxeZuAGW7Cn9wfCrT+rQktMu7NFE5iiXIidUQSWrJTAi8qIqge0U&#10;yLzIgLcN//9D+wNQSwMEFAAAAAgAh07iQKnSIOaAAgAABAUAAA4AAABkcnMvZTJvRG9jLnhtbK1U&#10;zW4TMRC+I/EOlu90kzTpT9SkComCkCpaqSDOjtfeXeE/bCeb8jJI3HgIHgfxGnz2btOq9NADOThj&#10;z7fzzXye8cXlXiuyEz401szo8GhAiTDclo2pZvTTx/WbM0pCZKZkyhoxo3ci0Mv561cXrZuKka2t&#10;KoUnCGLCtHUzWsfopkUReC00C0fWCQOntF6ziK2vitKzFtG1KkaDwUnRWl86b7kIAaerzkn7iP4l&#10;Aa2UDRcry7damNhF9UKxiJJC3bhA5zlbKQWP11IGEYmaUVQa8woS2Ju0FvMLNq08c3XD+xTYS1J4&#10;UpNmjQHpIdSKRUa2vvknlG64t8HKeMStLrpCsiKoYjh4os1tzZzItUDq4A6ih/8Xln/Y3XjSlOiE&#10;0Qklhmlc+Z/vP3//+kHSCfRpXZgCdutufL8LMFOxe+l1+kcZZJ81vTtoKvaRcBwOh2fnx5MJJRy+&#10;0fnx8WkWvXj42vkQ3wmrSTJm1OPOspRsdxUiGAG9hyQyx2JcN0r1cFUta8G/5C9ktVQ5seCrDUyy&#10;Y7j28fps+HaVKkGkA2TzLHadfz22hyT+njPxK0NaVDIZD9BDnGECJDoPpnZQMZiKEqYqjBaPPmdl&#10;bEoX9F0dKxbqLrFgVVP2XMogvaR0p22yNra8w9142zVtcHzdQKErFuIN8+hS8GOO4zUWqSySsr1F&#10;SW39t+fOEx7NAy8lLboeCX/dMi8oUe8N2up8OB6nMcmb8eR0hI1/7Nk89pitXlooPMSL4Xg2Ez6q&#10;e1N6qz9j3BeJFS5mOLg7afrNMnbTiAeDi8UiwzAaUPzK3DqegifljF1so5VNbogHdXrRMBz5dvtB&#10;TtP3eJ9RD4/X/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KAGEn2QAAAAsBAAAPAAAAAAAAAAEA&#10;IAAAACIAAABkcnMvZG93bnJldi54bWxQSwECFAAUAAAACACHTuJAqdIg5oACAAAEBQAADgAAAAAA&#10;AAABACAAAAAoAQAAZHJzL2Uyb0RvYy54bWxQSwUGAAAAAAYABgBZAQAAGgY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8896" behindDoc="0" locked="0" layoutInCell="1" allowOverlap="1">
                <wp:simplePos x="0" y="0"/>
                <wp:positionH relativeFrom="column">
                  <wp:posOffset>2374900</wp:posOffset>
                </wp:positionH>
                <wp:positionV relativeFrom="paragraph">
                  <wp:posOffset>4622165</wp:posOffset>
                </wp:positionV>
                <wp:extent cx="1007110" cy="261620"/>
                <wp:effectExtent l="0" t="0" r="2540" b="5080"/>
                <wp:wrapNone/>
                <wp:docPr id="125" name="矩形 125"/>
                <wp:cNvGraphicFramePr/>
                <a:graphic xmlns:a="http://schemas.openxmlformats.org/drawingml/2006/main">
                  <a:graphicData uri="http://schemas.microsoft.com/office/word/2010/wordprocessingShape">
                    <wps:wsp>
                      <wps:cNvSpPr/>
                      <wps:spPr>
                        <a:xfrm>
                          <a:off x="0" y="0"/>
                          <a:ext cx="1007110" cy="26162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pt;margin-top:363.95pt;height:20.6pt;width:79.3pt;z-index:251728896;v-text-anchor:middle;mso-width-relative:page;mso-height-relative:page;" fillcolor="#4F81BD" filled="t" stroked="f" coordsize="21600,21600" o:gfxdata="UEsDBAoAAAAAAIdO4kAAAAAAAAAAAAAAAAAEAAAAZHJzL1BLAwQUAAAACACHTuJA64rk5doAAAAL&#10;AQAADwAAAGRycy9kb3ducmV2LnhtbE2PS0/DMBCE70j8B2uRuFHnUZI0xKlQBRypKD2Um5ssScBe&#10;h9h98O9ZTnCcndHsN9XybI044uQHRwriWQQCqXHtQJ2C7evjTQHCB02tNo5QwTd6WNaXF5UuW3ei&#10;FzxuQie4hHypFfQhjKWUvunRaj9zIxJ7726yOrCcOtlO+sTl1sgkijJp9UD8odcjrnpsPjcHq2DX&#10;fH2Y+cO6eOtGkunzqni6N16p66s4ugMR8Bz+wvCLz+hQM9PeHaj1wihI8zlvCQryJF+A4MRtmmQg&#10;9nzJFjHIupL/N9Q/UEsDBBQAAAAIAIdO4kDByS+8fgIAAAQFAAAOAAAAZHJzL2Uyb0RvYy54bWyt&#10;VEtu2zAQ3RfoHQjuG0mG86kRO3BtuCgQNAHSomuaIiWh/JWkP+llCnSXQ/Q4Ra/RR0pxgjSLLOoF&#10;PeQ8zcx7nOH5xV4rshU+dNZMaXVUUiIMt3Vnmin9/Gn15oySEJmpmbJGTOmtCPRi9vrV+c5NxMi2&#10;VtXCEwQxYbJzU9rG6CZFEXgrNAtH1gkDp7Res4itb4rasx2ia1WMyvKk2FlfO2+5CAGny95Jh4j+&#10;JQGtlB0XS8s3WpjYR/VCsQhKoe1coLNcrZSCxyspg4hETSmYxrwiCex1WovZOZs0nrm240MJ7CUl&#10;POGkWWeQ9BBqySIjG9/9E0p33NtgZTziVhc9kawIWFTlE21uWuZE5gKpgzuIHv5fWP5xe+1JV6MT&#10;RseUGKZx5X9+3P3+9ZOkE+izc2EC2I279sMuwExk99Lr9A8aZJ81vT1oKvaRcBxWZXlaVZCbwzc6&#10;qU5GWfTi4WvnQ3wvrCbJmFKPO8tSsu1liMgI6D0kJXMsxlWn1ABXzaIV/Gv+QjYLlQsLvlnDJFuG&#10;ax+vzqp3y8QEkQ6Q9bPYVf4N2AGS8g85U35lyA5MjsdlIsUwARKdB1M7qBhMQwlTDUaLR5+rMjaV&#10;i/Q9jyULbV9YsKqrh1zKoLykdK9tsta2vsXdeNs3bXB81UGhSxbiNfPoUuTHHMcrLFJZFGUHi5LW&#10;+u/PnSc8mgdeSnboehT8bcO8oER9MGirt9V4jLAxb8bHp7gs4h971o89ZqMXFgpXeDEcz2bCR3Vv&#10;Sm/1F4z7PGWFixmO3L00w2YR+2nEg8HFfJ5hGA0ofmluHE/Bk3LGzjfRyi43xIM6g2gYjny7wyCn&#10;6Xu8z6iHx2v2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uK5OXaAAAACwEAAA8AAAAAAAAAAQAg&#10;AAAAIgAAAGRycy9kb3ducmV2LnhtbFBLAQIUABQAAAAIAIdO4kDByS+8fgIAAAQFAAAOAAAAAAAA&#10;AAEAIAAAACkBAABkcnMvZTJvRG9jLnhtbFBLBQYAAAAABgAGAFkBAAAZ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7872" behindDoc="0" locked="0" layoutInCell="1" allowOverlap="1">
                <wp:simplePos x="0" y="0"/>
                <wp:positionH relativeFrom="column">
                  <wp:posOffset>922655</wp:posOffset>
                </wp:positionH>
                <wp:positionV relativeFrom="paragraph">
                  <wp:posOffset>3367405</wp:posOffset>
                </wp:positionV>
                <wp:extent cx="911225" cy="262255"/>
                <wp:effectExtent l="0" t="0" r="3175" b="4445"/>
                <wp:wrapNone/>
                <wp:docPr id="124" name="矩形 124"/>
                <wp:cNvGraphicFramePr/>
                <a:graphic xmlns:a="http://schemas.openxmlformats.org/drawingml/2006/main">
                  <a:graphicData uri="http://schemas.microsoft.com/office/word/2010/wordprocessingShape">
                    <wps:wsp>
                      <wps:cNvSpPr/>
                      <wps:spPr>
                        <a:xfrm>
                          <a:off x="0" y="0"/>
                          <a:ext cx="911225" cy="26225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65pt;margin-top:265.15pt;height:20.65pt;width:71.75pt;z-index:251727872;v-text-anchor:middle;mso-width-relative:page;mso-height-relative:page;" fillcolor="#4F81BD" filled="t" stroked="f" coordsize="21600,21600" o:gfxdata="UEsDBAoAAAAAAIdO4kAAAAAAAAAAAAAAAAAEAAAAZHJzL1BLAwQUAAAACACHTuJA9jYFBtkAAAAL&#10;AQAADwAAAGRycy9kb3ducmV2LnhtbE2PS0/DMBCE70j8B2uRuFE7TR9WiFOhCjiCWjiUm5ssScBe&#10;h9h98O9ZTnDb2R3NflOuzt6JI46xD2QgmygQSHVoemoNvL483GgQMVlqrAuEBr4xwqq6vCht0YQT&#10;bfC4Ta3gEIqFNdClNBRSxrpDb+MkDEh8ew+jt4nl2MpmtCcO905OlVpIb3viD50dcN1h/bk9eAO7&#10;+uvDze6f9Vs7kMyf1vrxzkVjrq8ydQsi4Tn9meEXn9GhYqZ9OFAThWM9m+dsNTDPFQ/smGrNZfa8&#10;WWYLkFUp/3eofgBQSwMEFAAAAAgAh07iQAVq3Rx8AgAAAwUAAA4AAABkcnMvZTJvRG9jLnhtbK1U&#10;zW4TMRC+I/EOlu90s1FS2qhJFRIFIVVQqSDOjtfeXeE/bCeb8jJI3HgIHgfxGnz2btOq9NADe/DO&#10;eD7Pz+cZX1wetCJ74UNrzZyWJyNKhOG2ak09p58+bl6dURIiMxVT1og5vRWBXi5evrjo3EyMbWNV&#10;JTyBExNmnZvTJkY3K4rAG6FZOLFOGBil9ZpFqL4uKs86eNeqGI9Gp0VnfeW85SIE7K57Ix08+uc4&#10;tFK2XKwt32lhYu/VC8UiSgpN6wJd5GylFDx+kDKISNScotKYVwSBvE1rsbhgs9oz17R8SIE9J4VH&#10;NWnWGgQ9ulqzyMjOt/+40i33NlgZT7jVRV9IZgRVlKNH3Nw0zIlcC6gO7kh6+H9u+fv9tSdthU4Y&#10;TygxTOPK/3z/+fvXD5J2wE/nwgywG3ftBy1ATMUepNfpjzLIIXN6e+RUHCLh2Dwvy/F4SgmHaXwK&#10;cZp8FveHnQ/xrbCaJGFOPa4sM8n2VyH20DtIiuVYjJtWqQGu6lUj+Jd8QtYrlfMKvt5CJHuGW59s&#10;zso36yHoEbJ9ErvJ34AdIEj1LmaKrwzpUMl0MkILcYYBkGg8iNqBxGBqSpiqMVk8+pyVsSldFAI/&#10;qHDNQtMnFqxqqyGWMuAkEd1Tm6StrW5xNd72PRsc37Q4f8VCvGYeTYr4GOP4AYtUFknZQaKksf7b&#10;U/sJj96BlZIOTY+Ev+6YF5SodwZddV5OJmlKsjKZvh5D8Q8t24cWs9MrC4ZLPBiOZzHho7oTpbf6&#10;M6Z9maLCxAxH7J6aQVnFfhjxXnCxXGYYJgOMX5kbx5PzxJyxy120ss0Ncc/OQBpmI7fUMMdp+B7q&#10;GXX/di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Y2BQbZAAAACwEAAA8AAAAAAAAAAQAgAAAA&#10;IgAAAGRycy9kb3ducmV2LnhtbFBLAQIUABQAAAAIAIdO4kAFat0cfAIAAAMFAAAOAAAAAAAAAAEA&#10;IAAAACgBAABkcnMvZTJvRG9jLnhtbFBLBQYAAAAABgAGAFkBAAAW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6848" behindDoc="0" locked="0" layoutInCell="1" allowOverlap="1">
                <wp:simplePos x="0" y="0"/>
                <wp:positionH relativeFrom="column">
                  <wp:posOffset>2333625</wp:posOffset>
                </wp:positionH>
                <wp:positionV relativeFrom="paragraph">
                  <wp:posOffset>2937510</wp:posOffset>
                </wp:positionV>
                <wp:extent cx="793115" cy="254635"/>
                <wp:effectExtent l="0" t="0" r="6985" b="12065"/>
                <wp:wrapNone/>
                <wp:docPr id="123" name="矩形 123"/>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75pt;margin-top:231.3pt;height:20.05pt;width:62.45pt;z-index:251726848;v-text-anchor:middle;mso-width-relative:page;mso-height-relative:page;" fillcolor="#4F81BD" filled="t" stroked="f" coordsize="21600,21600" o:gfxdata="UEsDBAoAAAAAAIdO4kAAAAAAAAAAAAAAAAAEAAAAZHJzL1BLAwQUAAAACACHTuJAtEL999sAAAAL&#10;AQAADwAAAGRycy9kb3ducmV2LnhtbE2Py07DMBBF90j8gzVI7KjdNE1DyKRCFbCkonRRdm4yJAF7&#10;HGL3wd9jVrAc3aN7z5TLszXiSKPvHSNMJwoEce2anluE7evjTQ7CB82NNo4J4Zs8LKvLi1IXjTvx&#10;Cx03oRWxhH2hEboQhkJKX3dktZ+4gThm7260OsRzbGUz6lMst0YmSmXS6p7jQqcHWnVUf24OFmFX&#10;f32Y9GGdv7UDy9nzKn+6Nx7x+mqq7kAEOoc/GH71ozpU0WnvDtx4YRBm2WIeUYQ0SzIQkUhvkxTE&#10;HmGukgXIqpT/f6h+AFBLAwQUAAAACACHTuJAZ3AJzX0CAAADBQAADgAAAGRycy9lMm9Eb2MueG1s&#10;rVTLbhMxFN0j8Q+W93SSNOkjalKFREFIFa1UEGvHY8+M8AvbyaT8DBI7PoLPQfwGx55pWpUuumAW&#10;nnt9j+/j+F5fXO61IjvhQ2PNjA6PBpQIw23ZmGpGP31cvzmjJERmSqasETN6JwK9nL9+ddG6qRjZ&#10;2qpSeAInJkxbN6N1jG5aFIHXQrNwZJ0wMErrNYtQfVWUnrXwrlUxGgxOitb60nnLRQjYXXVG2nv0&#10;L3FopWy4WFm+1cLEzqsXikWUFOrGBTrP2UopeLyWMohI1Iyi0phXBIG8SWsxv2DTyjNXN7xPgb0k&#10;hSc1adYYBD24WrHIyNY3/7jSDfc2WBmPuNVFV0hmBFUMB0+4ua2ZE7kWUB3cgfTw/9zyD7sbT5oS&#10;nTA6psQwjSv/8/3n718/SNoBP60LU8Bu3Y3vtQAxFbuXXqc/yiD7zOndgVOxj4Rj8/T8eDicUMJh&#10;Gk3GJ8eT5LN4OOx8iO+E1SQJM+pxZZlJtrsKsYPeQ1Isx2JcN0r1cFUta8G/5BOyWqqcV/DVBiLZ&#10;Mdz6eH02fLvqgx4gm2ex6/z12B6CVO9jpvjKkDZXMkALcYYBkGg8iNqBxGAqSpiqMFk8+pyVsSld&#10;FAI/qHDFQt0lFqxqyj6WMuAkEd1Rm6SNLe9wNd52PRscXzc4f8VCvGEeTYr4GON4jUUqi6RsL1FS&#10;W//tuf2ER+/ASkmLpkfCX7fMC0rUe4OuOh+Ox2lKsjKenI6g+MeWzWOL2eqlBcNDPBiOZzHho7oX&#10;pbf6M6Z9kaLCxAxH7I6aXlnGbhjxXnCxWGQYJgOMX5lbx5PzxJyxi220sskN8cBOTxpmI7dUP8dp&#10;+B7rGfXwds3/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RC/ffbAAAACwEAAA8AAAAAAAAAAQAg&#10;AAAAIgAAAGRycy9kb3ducmV2LnhtbFBLAQIUABQAAAAIAIdO4kBncAnNfQIAAAMFAAAOAAAAAAAA&#10;AAEAIAAAACoBAABkcnMvZTJvRG9jLnhtbFBLBQYAAAAABgAGAFkBAAAZ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25824" behindDoc="0" locked="0" layoutInCell="1" allowOverlap="1">
                <wp:simplePos x="0" y="0"/>
                <wp:positionH relativeFrom="column">
                  <wp:posOffset>1143000</wp:posOffset>
                </wp:positionH>
                <wp:positionV relativeFrom="paragraph">
                  <wp:posOffset>2549525</wp:posOffset>
                </wp:positionV>
                <wp:extent cx="1149985" cy="222250"/>
                <wp:effectExtent l="0" t="0" r="12065" b="6350"/>
                <wp:wrapNone/>
                <wp:docPr id="122" name="矩形 122"/>
                <wp:cNvGraphicFramePr/>
                <a:graphic xmlns:a="http://schemas.openxmlformats.org/drawingml/2006/main">
                  <a:graphicData uri="http://schemas.microsoft.com/office/word/2010/wordprocessingShape">
                    <wps:wsp>
                      <wps:cNvSpPr/>
                      <wps:spPr>
                        <a:xfrm>
                          <a:off x="0" y="0"/>
                          <a:ext cx="1149985" cy="22225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pt;margin-top:200.75pt;height:17.5pt;width:90.55pt;z-index:251725824;v-text-anchor:middle;mso-width-relative:page;mso-height-relative:page;" fillcolor="#4F81BD" filled="t" stroked="f" coordsize="21600,21600" o:gfxdata="UEsDBAoAAAAAAIdO4kAAAAAAAAAAAAAAAAAEAAAAZHJzL1BLAwQUAAAACACHTuJAbpHOLdgAAAAL&#10;AQAADwAAAGRycy9kb3ducmV2LnhtbE2PzU7DMBCE70i8g7VI3Kgd0kZRGqdCFXAEUTjQmxsvScBe&#10;h9j94e1ZTuU4s6PZb+rVyTtxwCkOgTRkMwUCqQ12oE7D2+vDTQkiJkPWuECo4QcjrJrLi9pUNhzp&#10;BQ+b1AkuoVgZDX1KYyVlbHv0Js7CiMS3jzB5k1hOnbSTOXK5d/JWqUJ6MxB/6M2I6x7br83ea3hv&#10;vz/d/P653HYjyfxpXT7euaj19VWmliASntI5DH/4jA4NM+3CnmwUjnWpeEvSMFfZAgQn8iLLQOzY&#10;yYsFyKaW/zc0v1BLAwQUAAAACACHTuJAY66CUX4CAAAEBQAADgAAAGRycy9lMm9Eb2MueG1srVTN&#10;bhMxEL4j8Q6W73SzUQJt1KQKiYKQKlqpIM6O195d4T9sJ5vyMkjceAgeB/EafPZu06r00AN72B17&#10;vp1v5vOMzy8OWpG98KG1Zk7LkxElwnBbtaae008fN69OKQmRmYopa8Sc3opALxYvX5x3bibGtrGq&#10;Ep4giAmzzs1pE6ObFUXgjdAsnFgnDJzSes0ilr4uKs86RNeqGI9Gr4vO+sp5y0UI2F33TjpE9M8J&#10;aKVsuVhbvtPCxD6qF4pFlBSa1gW6yNlKKXi8kjKISNScotKY3yCBvU3vYnHOZrVnrmn5kAJ7TgqP&#10;atKsNSA9hlqzyMjOt/+E0i33NlgZT7jVRV9IVgRVlKNH2tw0zIlcC6QO7ih6+H9h+Yf9tSdthU4Y&#10;jykxTOPI/3z/+fvXD5J2oE/nwgywG3fth1WAmYo9SK/TF2WQQ9b09qipOETCsVmWk7Oz0yklHL4x&#10;nmkWvbj/2/kQ3wmrSTLm1OPMspRsfxkiGAG9gyQyx2LctEoNcFWvGsG/5D9kvVI5seDrLUyyZzj2&#10;yea0fLtOlSDSEbJ9ErvJz4AdIIl/4Ez8ypAOlUwnI/QQZ5gAic6DqR1UDKamhKkao8Wjz1kZm9IF&#10;fV/HmoWmTyxY1VYDlzJILynda5usra1ucTbe9k0bHN+0UOiShXjNPLoU/JjjeIWXVBZJ2cGipLH+&#10;21P7CY/mgZeSDl2PhL/umBeUqPcGbXVWTiZpTPJiMn0zxsI/9GwfesxOrywULnFjOJ7NhI/qzpTe&#10;6s8Y92VihYsZDu5emmGxiv004sLgYrnMMIwGFL80N46n4Ek5Y5e7aGWbG+JenUE0DEc+3WGQ0/Q9&#10;XGfU/eW1+A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ukc4t2AAAAAsBAAAPAAAAAAAAAAEAIAAA&#10;ACIAAABkcnMvZG93bnJldi54bWxQSwECFAAUAAAACACHTuJAY66CUX4CAAAEBQAADgAAAAAAAAAB&#10;ACAAAAAnAQAAZHJzL2Uyb0RvYy54bWxQSwUGAAAAAAYABgBZAQAAFwYAAAAA&#10;">
                <v:fill type="pattern" on="t" color2="#FFFFFF" o:title="大棋盘" focussize="0,0" r:id="rId14"/>
                <v:stroke on="f" weight="2pt"/>
                <v:imagedata o:title=""/>
                <o:lock v:ext="edit" aspectratio="f"/>
              </v:rect>
            </w:pict>
          </mc:Fallback>
        </mc:AlternateContent>
      </w:r>
      <w:r>
        <w:rPr>
          <w:rFonts w:ascii="黑体" w:hAnsi="Times New Roman" w:eastAsia="黑体" w:cs="黑体"/>
          <w:b/>
          <w:color w:val="000000"/>
          <w:kern w:val="2"/>
          <w:sz w:val="24"/>
          <w:szCs w:val="24"/>
          <w:lang w:val="en-US" w:eastAsia="zh-CN" w:bidi="ar-SA"/>
        </w:rPr>
        <w:drawing>
          <wp:anchor distT="0" distB="0" distL="114300" distR="114300" simplePos="0" relativeHeight="251678720" behindDoc="1" locked="0" layoutInCell="1" allowOverlap="1">
            <wp:simplePos x="0" y="0"/>
            <wp:positionH relativeFrom="column">
              <wp:posOffset>-803275</wp:posOffset>
            </wp:positionH>
            <wp:positionV relativeFrom="paragraph">
              <wp:posOffset>-1280160</wp:posOffset>
            </wp:positionV>
            <wp:extent cx="6733540" cy="10800080"/>
            <wp:effectExtent l="0" t="0" r="10160" b="1270"/>
            <wp:wrapNone/>
            <wp:docPr id="5" name="图片 5" descr="5281814ece27e158af95f6442c3f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281814ece27e158af95f6442c3fe2f"/>
                    <pic:cNvPicPr>
                      <a:picLocks noChangeAspect="1"/>
                    </pic:cNvPicPr>
                  </pic:nvPicPr>
                  <pic:blipFill>
                    <a:blip r:embed="rId44"/>
                    <a:srcRect l="12455" t="1562"/>
                    <a:stretch>
                      <a:fillRect/>
                    </a:stretch>
                  </pic:blipFill>
                  <pic:spPr>
                    <a:xfrm>
                      <a:off x="0" y="0"/>
                      <a:ext cx="6733540" cy="10800080"/>
                    </a:xfrm>
                    <a:prstGeom prst="rect">
                      <a:avLst/>
                    </a:prstGeom>
                  </pic:spPr>
                </pic:pic>
              </a:graphicData>
            </a:graphic>
          </wp:anchor>
        </w:drawing>
      </w:r>
    </w:p>
    <w:p w14:paraId="15873352">
      <w:pPr>
        <w:pStyle w:val="35"/>
        <w:widowControl w:val="0"/>
        <w:wordWrap/>
        <w:autoSpaceDE w:val="0"/>
        <w:autoSpaceDN w:val="0"/>
        <w:adjustRightInd w:val="0"/>
        <w:snapToGrid/>
        <w:spacing w:line="240" w:lineRule="auto"/>
        <w:jc w:val="center"/>
        <w:textAlignment w:val="auto"/>
        <w:rPr>
          <w:rFonts w:hint="eastAsia" w:eastAsia="黑体"/>
          <w:sz w:val="24"/>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30"/>
        </w:rPr>
        <mc:AlternateContent>
          <mc:Choice Requires="wps">
            <w:drawing>
              <wp:anchor distT="0" distB="0" distL="114300" distR="114300" simplePos="0" relativeHeight="251731968" behindDoc="0" locked="0" layoutInCell="1" allowOverlap="1">
                <wp:simplePos x="0" y="0"/>
                <wp:positionH relativeFrom="column">
                  <wp:posOffset>3889375</wp:posOffset>
                </wp:positionH>
                <wp:positionV relativeFrom="paragraph">
                  <wp:posOffset>3429000</wp:posOffset>
                </wp:positionV>
                <wp:extent cx="793115" cy="254635"/>
                <wp:effectExtent l="0" t="0" r="6985" b="12065"/>
                <wp:wrapNone/>
                <wp:docPr id="128" name="矩形 128"/>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25pt;margin-top:270pt;height:20.05pt;width:62.45pt;z-index:251731968;v-text-anchor:middle;mso-width-relative:page;mso-height-relative:page;" fillcolor="#4F81BD" filled="t" stroked="f" coordsize="21600,21600" o:gfxdata="UEsDBAoAAAAAAIdO4kAAAAAAAAAAAAAAAAAEAAAAZHJzL1BLAwQUAAAACACHTuJAolVN3NkAAAAL&#10;AQAADwAAAGRycy9kb3ducmV2LnhtbE2PTU/DMAyG70j8h8hI3FjSrduqrumEJuAIYnBgt6wxbSFx&#10;SpN98O8xJzjafvT6eav12TtxxDH2gTRkEwUCqQm2p1bD68v9TQEiJkPWuECo4RsjrOvLi8qUNpzo&#10;GY/b1AoOoVgaDV1KQyllbDr0Jk7CgMS39zB6k3gcW2lHc+Jw7+RUqYX0pif+0JkBNx02n9uD1/DW&#10;fH24/O6p2LUDydnjpni4dVHr66tMrUAkPKc/GH71WR1qdtqHA9konIZFNp0zqmGeKy7FxHK2zEHs&#10;eVOoDGRdyf8d6h9QSwMEFAAAAAgAh07iQPJgy1Z8AgAAAwUAAA4AAABkcnMvZTJvRG9jLnhtbK1U&#10;y24TMRTdI/EPlvd0kjTpI2pShURBSBWtVBBrx2PPjPAL28mk/AwSOz6Cz0H8BseeaVqVLrpgFp57&#10;fY/v4/heX1zutSI74UNjzYwOjwaUCMNt2ZhqRj99XL85oyREZkqmrBEzeicCvZy/fnXRuqkY2dqq&#10;UngCJyZMWzejdYxuWhSB10KzcGSdMDBK6zWLUH1VlJ618K5VMRoMTorW+tJ5y0UI2F11Rtp79C9x&#10;aKVsuFhZvtXCxM6rF4pFlBTqxgU6z9lKKXi8ljKISNSMotKYVwSBvElrMb9g08ozVze8T4G9JIUn&#10;NWnWGAQ9uFqxyMjWN/+40g33NlgZj7jVRVdIZgRVDAdPuLmtmRO5FlAd3IH08P/c8g+7G0+aEp0w&#10;wsUbpnHlf77//P3rB0k74Kd1YQrYrbvxvRYgpmL30uv0Rxlknzm9O3Aq9pFwbJ6eHw+HE0o4TKPJ&#10;+OR4knwWD4edD/GdsJokYUY9riwzyXZXIXbQe0iK5ViM60apHq6qZS34l3xCVkuV8wq+2kAkO4Zb&#10;H6/Phm9XfdADZPMsdp2/HttDkOp9zBRfGdLmSgZoIc4wABKNB1E7kBhMRQlTFSaLR5+zMjali0Lg&#10;BxWuWKi7xIJVTdnHUgacJKI7apO0seUdrsbbrmeD4+sG569YiDfMo0kRH2Mcr7FIZZGU7SVKauu/&#10;Pbef8OgdWClp0fRI+OuWeUGJem/QVefD8ThNSVbGk9MRFP/YsnlsMVu9tGB4iAfD8SwmfFT3ovRW&#10;f8a0L1JUmJjhiN1R0yvL2A0j3gsuFosMw2SA8Stz63hynpgzdrGNVja5IR7Y6UnDbOSW6uc4Dd9j&#10;PaMe3q75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JVTdzZAAAACwEAAA8AAAAAAAAAAQAgAAAA&#10;IgAAAGRycy9kb3ducmV2LnhtbFBLAQIUABQAAAAIAIdO4kDyYMtWfAIAAAMFAAAOAAAAAAAAAAEA&#10;IAAAACgBAABkcnMvZTJvRG9jLnhtbFBLBQYAAAAABgAGAFkBAAAW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7088" behindDoc="0" locked="0" layoutInCell="1" allowOverlap="1">
                <wp:simplePos x="0" y="0"/>
                <wp:positionH relativeFrom="column">
                  <wp:posOffset>238125</wp:posOffset>
                </wp:positionH>
                <wp:positionV relativeFrom="paragraph">
                  <wp:posOffset>5969635</wp:posOffset>
                </wp:positionV>
                <wp:extent cx="1339850" cy="286385"/>
                <wp:effectExtent l="0" t="0" r="12700" b="18415"/>
                <wp:wrapNone/>
                <wp:docPr id="133" name="矩形 133"/>
                <wp:cNvGraphicFramePr/>
                <a:graphic xmlns:a="http://schemas.openxmlformats.org/drawingml/2006/main">
                  <a:graphicData uri="http://schemas.microsoft.com/office/word/2010/wordprocessingShape">
                    <wps:wsp>
                      <wps:cNvSpPr/>
                      <wps:spPr>
                        <a:xfrm>
                          <a:off x="0" y="0"/>
                          <a:ext cx="1339850" cy="28638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470.05pt;height:22.55pt;width:105.5pt;z-index:251737088;v-text-anchor:middle;mso-width-relative:page;mso-height-relative:page;" fillcolor="#4F81BD" filled="t" stroked="f" coordsize="21600,21600" o:gfxdata="UEsDBAoAAAAAAIdO4kAAAAAAAAAAAAAAAAAEAAAAZHJzL1BLAwQUAAAACACHTuJAszC0NNgAAAAK&#10;AQAADwAAAGRycy9kb3ducmV2LnhtbE2PTU/DMAyG70j8h8hI3FjSroNSmk5oAo5MDA5wyxrTFhKn&#10;NNkH/x5zgqNfP3r9uF4evRN7nOIQSEM2UyCQ2mAH6jS8PN9flCBiMmSNC4QavjHCsjk9qU1lw4Ge&#10;cL9JneASipXR0Kc0VlLGtkdv4iyMSLx7D5M3icepk3YyBy73TuZKXUpvBuILvRlx1WP7udl5Da/t&#10;14cr7tblWzeSnD+uyodbF7U+P8vUDYiEx/QHw68+q0PDTtuwIxuF0zC/WjCp4bpQGQgG8qLkZMtJ&#10;uchBNrX8/0LzA1BLAwQUAAAACACHTuJAv17uKX0CAAAEBQAADgAAAGRycy9lMm9Eb2MueG1srVTN&#10;bhMxEL4j8Q6W73STNIE0alKFREFIFa1UEGfHa++u8B+2k015GSRuPASPg3gNPnu3aVV66IEcNmPP&#10;529mPs/4/OKgFdkLHxpr5nR4MqBEGG7LxlRz+unj5tWUkhCZKZmyRszprQj0YvHyxXnrZmJka6tK&#10;4QlITJi1bk7rGN2sKAKvhWbhxDph4JTWaxax9FVRetaCXatiNBi8LlrrS+ctFyFgd905ac/on0No&#10;pWy4WFu+08LEjtULxSJKCnXjAl3kbKUUPF5JGUQkak5RacxfBIG9Td9icc5mlWeubnifAntOCo9q&#10;0qwxCHqkWrPIyM43/1DphnsbrIwn3OqiKyQrgiqGg0fa3NTMiVwLpA7uKHr4f7T8w/7ak6ZEJ5ye&#10;UmKYxpX/+f7z968fJO1An9aFGWA37tr3qwAzFXuQXqd/lEEOWdPbo6biEAnHJkjOphPIzeEbTV+f&#10;TieJtLg/7XyI74TVJBlz6nFnWUq2vwyxg95BUjDHYtw0SvVwVa1qwb/kE7JaqZxY8NUWJtkzXPt4&#10;Mx2+XfdBj5Dtk9hN/vXYHoJU72Km+MqQFpVMxoNUFMMESHQeTO2gYjAVJUxVGC0efc7K2JQuCgEP&#10;KlyzUHeJBauaso+lDDRJSnfaJmtry1vcjbdd0wbHNw3OX7IQr5lHlyI+5jhe4SOVRVK2tyiprf/2&#10;1H7Co3ngpaRF1yPhrzvmBSXqvUFbnQ3HY9DGvBhP3oyw8A8924ces9MrC4WHeDEcz2bCR3VnSm/1&#10;Z4z7MkWFixmO2J00/WIVu2nEg8HFcplhGA0ofmluHE/kSTljl7toZZMb4l6dXjQMR26pfpDT9D1c&#10;Z9T947X4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MwtDTYAAAACgEAAA8AAAAAAAAAAQAgAAAA&#10;IgAAAGRycy9kb3ducmV2LnhtbFBLAQIUABQAAAAIAIdO4kC/Xu4pfQIAAAQFAAAOAAAAAAAAAAEA&#10;IAAAACcBAABkcnMvZTJvRG9jLnhtbFBLBQYAAAAABgAGAFkBAAAW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6064" behindDoc="0" locked="0" layoutInCell="1" allowOverlap="1">
                <wp:simplePos x="0" y="0"/>
                <wp:positionH relativeFrom="column">
                  <wp:posOffset>4206875</wp:posOffset>
                </wp:positionH>
                <wp:positionV relativeFrom="paragraph">
                  <wp:posOffset>5572760</wp:posOffset>
                </wp:positionV>
                <wp:extent cx="793115" cy="254635"/>
                <wp:effectExtent l="0" t="0" r="6985" b="12065"/>
                <wp:wrapNone/>
                <wp:docPr id="132" name="矩形 132"/>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25pt;margin-top:438.8pt;height:20.05pt;width:62.45pt;z-index:251736064;v-text-anchor:middle;mso-width-relative:page;mso-height-relative:page;" fillcolor="#4F81BD" filled="t" stroked="f" coordsize="21600,21600" o:gfxdata="UEsDBAoAAAAAAIdO4kAAAAAAAAAAAAAAAAAEAAAAZHJzL1BLAwQUAAAACACHTuJAt7VqR9oAAAAL&#10;AQAADwAAAGRycy9kb3ducmV2LnhtbE2Py07DMBBF90j8gzVI7KiTUuIQMqlQBSypKCxg58ZDErDH&#10;IXYf/D1mBcvRPbr3TL08Oiv2NIXBM0I+y0AQt94M3CG8PN9flCBC1Gy09UwI3xRg2Zye1Loy/sBP&#10;tN/ETqQSDpVG6GMcKylD25PTYeZH4pS9+8npmM6pk2bSh1TurJxnWSGdHjgt9HqkVU/t52bnEF7b&#10;rw+7uFuXb93I8vJxVT7c2oB4fpZnNyAiHeMfDL/6SR2a5LT1OzZBWISimF8lFKFUqgCRCFWqBYgt&#10;wnWuFMimlv9/aH4AUEsDBBQAAAAIAIdO4kBmhtQ7fQIAAAMFAAAOAAAAZHJzL2Uyb0RvYy54bWyt&#10;VMtuEzEU3SPxD5b3dJI06SNqUoVEQUgVrVQQa8djz4zwC9vJpPwMEjs+gs9B/AbHnmlalS66YBae&#10;e32P7+P4Xl9c7rUiO+FDY82MDo8GlAjDbdmYakY/fVy/OaMkRGZKpqwRM3onAr2cv3510bqpGNna&#10;qlJ4AicmTFs3o3WMbloUgddCs3BknTAwSus1i1B9VZSetfCuVTEaDE6K1vrSectFCNhddUbae/Qv&#10;cWilbLhYWb7VwsTOqxeKRZQU6sYFOs/ZSil4vJYyiEjUjKLSmFcEgbxJazG/YNPKM1c3vE+BvSSF&#10;JzVp1hgEPbhascjI1jf/uNIN9zZYGY+41UVXSGYEVQwHT7i5rZkTuRZQHdyB9PD/3PIPuxtPmhKd&#10;cDyixDCNK//z/efvXz9I2gE/rQtTwG7dje+1ADEVu5depz/KIPvM6d2BU7GPhGPz9Px4OJxQwmEa&#10;TcYnx5Pks3g47HyI74TVJAkz6nFlmUm2uwqxg95DUizHYlw3SvVwVS1rwb/kE7JaqpxX8NUGItkx&#10;3Pp4fTZ8u+qDHiCbZ7Hr/PXYHoJU72Om+MqQNlcyQAtxhgGQaDyI2oHEYCpKmKowWTz6nJWxKV0U&#10;Aj+ocMVC3SUWrGrKPpYy4CQR3VGbpI0t73A13nY9GxxfNzh/xUK8YR5NivgY43iNRSqLpGwvUVJb&#10;/+25/YRH78BKSYumR8Jft8wLStR7g646H47HaUqyMp6cjqD4x5bNY4vZ6qUFw0M8GI5nMeGjuhel&#10;t/ozpn2RosLEDEfsjppeWcZuGPFecLFYZBgmA4xfmVvHk/PEnLGLbbSyyQ3xwE5PGmYjt1Q/x2n4&#10;HusZ9fB2zf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7VqR9oAAAALAQAADwAAAAAAAAABACAA&#10;AAAiAAAAZHJzL2Rvd25yZXYueG1sUEsBAhQAFAAAAAgAh07iQGaG1Dt9AgAAAwUAAA4AAAAAAAAA&#10;AQAgAAAAKQEAAGRycy9lMm9Eb2MueG1sUEsFBgAAAAAGAAYAWQEAABg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5040" behindDoc="0" locked="0" layoutInCell="1" allowOverlap="1">
                <wp:simplePos x="0" y="0"/>
                <wp:positionH relativeFrom="column">
                  <wp:posOffset>174625</wp:posOffset>
                </wp:positionH>
                <wp:positionV relativeFrom="paragraph">
                  <wp:posOffset>5151755</wp:posOffset>
                </wp:positionV>
                <wp:extent cx="793115" cy="254635"/>
                <wp:effectExtent l="0" t="0" r="6985" b="12065"/>
                <wp:wrapNone/>
                <wp:docPr id="131" name="矩形 131"/>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5pt;margin-top:405.65pt;height:20.05pt;width:62.45pt;z-index:251735040;v-text-anchor:middle;mso-width-relative:page;mso-height-relative:page;" fillcolor="#4F81BD" filled="t" stroked="f" coordsize="21600,21600" o:gfxdata="UEsDBAoAAAAAAIdO4kAAAAAAAAAAAAAAAAAEAAAAZHJzL1BLAwQUAAAACACHTuJArOJidNkAAAAK&#10;AQAADwAAAGRycy9kb3ducmV2LnhtbE2Py07DMBBF90j8gzVI7KjjNGmjEKdCFbAE9bEoOzcekoA9&#10;DrH74O9xV3Q5M0d3zq0WZ2vYEUffO5IgJgkwpMbpnloJ283LQwHMB0VaGUco4Rc9LOrbm0qV2p1o&#10;hcd1aFkMIV8qCV0IQ8m5bzq0yk/cgBRvn260KsRxbLke1SmGW8PTJJlxq3qKHzo14LLD5nt9sBJ2&#10;zc+XyZ7fi492ID59WxavT8ZLeX8nkkdgAc/hH4aLflSHOjrt3YG0Z0ZCOs8jKaEQYgrsAuRpBmwf&#10;N7nIgNcVv65Q/wFQSwMEFAAAAAgAh07iQNlmhqB7AgAAAwUAAA4AAABkcnMvZTJvRG9jLnhtbK1U&#10;y24TMRTdI/EPlvd0kjTpI2pShURBSBWtVBBrx2PPjPAL28mk/AwSOz6Cz0H8BseeaVqVLrogC+fa&#10;9/g+js+di8u9VmQnfGismdHh0YASYbgtG1PN6KeP6zdnlITITMmUNWJG70Sgl/PXry5aNxUjW1tV&#10;Ck8QxIRp62a0jtFNiyLwWmgWjqwTBk5pvWYRW18VpWctomtVjAaDk6K1vnTechECTledk/YR/UsC&#10;WikbLlaWb7UwsYvqhWIRLYW6cYHOc7VSCh6vpQwiEjWj6DTmFUlgb9JazC/YtPLM1Q3vS2AvKeFJ&#10;T5o1BkkPoVYsMrL1zT+hdMO9DVbGI2510TWSGUEXw8ETbm5r5kTuBVQHdyA9/L+w/MPuxpOmhBKO&#10;h5QYpvHkf77//P3rB0kn4Kd1YQrYrbvx/S7ATM3updfpH22Qfeb07sCp2EfCcXh6fjwcTijhcI0m&#10;45PjSYpZPFx2PsR3wmqSjBn1eLLMJNtdhdhB7yEpl2MxrhuleriqlrXgX/INWS1Vriv4agOT7Bhe&#10;fbw+G75d9UkPkM2z2HX+9dgeglLvc6b8ypA2dzKAhDjDAEgID6Z2IDGYihKmKkwWjz5XZWwqF40g&#10;DjpcsVB3hQWrmrLPpQw4SUR31CZrY8s7PI23nWaD4+sG969YiDfMQ6TIjzGO11iksijK9hYltfXf&#10;njtPeGgHXkpaiB4Ff90yLyhR7w1UdT4cj9OU5M14cjrCxj/2bB57zFYvLRiGblBdNhM+qntTeqs/&#10;Y9oXKStczHDk7qjpN8vYDSO+F1wsFhmGyQDjV+bW8RQ8MWfsYhutbLIgHtjpScNsZEn1c5yG7/E+&#10;ox6+XfO/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OJidNkAAAAKAQAADwAAAAAAAAABACAAAAAi&#10;AAAAZHJzL2Rvd25yZXYueG1sUEsBAhQAFAAAAAgAh07iQNlmhqB7AgAAAwUAAA4AAAAAAAAAAQAg&#10;AAAAKAEAAGRycy9lMm9Eb2MueG1sUEsFBgAAAAAGAAYAWQEAABUGA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4016" behindDoc="0" locked="0" layoutInCell="1" allowOverlap="1">
                <wp:simplePos x="0" y="0"/>
                <wp:positionH relativeFrom="column">
                  <wp:posOffset>3532505</wp:posOffset>
                </wp:positionH>
                <wp:positionV relativeFrom="paragraph">
                  <wp:posOffset>4707255</wp:posOffset>
                </wp:positionV>
                <wp:extent cx="793115" cy="254635"/>
                <wp:effectExtent l="0" t="0" r="6985" b="12065"/>
                <wp:wrapNone/>
                <wp:docPr id="130" name="矩形 130"/>
                <wp:cNvGraphicFramePr/>
                <a:graphic xmlns:a="http://schemas.openxmlformats.org/drawingml/2006/main">
                  <a:graphicData uri="http://schemas.microsoft.com/office/word/2010/wordprocessingShape">
                    <wps:wsp>
                      <wps:cNvSpPr/>
                      <wps:spPr>
                        <a:xfrm>
                          <a:off x="0" y="0"/>
                          <a:ext cx="793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15pt;margin-top:370.65pt;height:20.05pt;width:62.45pt;z-index:251734016;v-text-anchor:middle;mso-width-relative:page;mso-height-relative:page;" fillcolor="#4F81BD" filled="t" stroked="f" coordsize="21600,21600" o:gfxdata="UEsDBAoAAAAAAIdO4kAAAAAAAAAAAAAAAAAEAAAAZHJzL1BLAwQUAAAACACHTuJAdncDBNkAAAAL&#10;AQAADwAAAGRycy9kb3ducmV2LnhtbE2Py07DMBBF90j8gzVI7KjjNg1WiFOhCliCWljAzk2GJGCP&#10;Q+w++HuGFezmcXTnTLU6eScOOMUhkAE1y0AgNaEdqDPw8nx/pUHEZKm1LhAa+MYIq/r8rLJlG460&#10;wcM2dYJDKJbWQJ/SWEoZmx69jbMwIvHuPUzeJm6nTraTPXK4d3KeZYX0diC+0NsR1z02n9u9N/Da&#10;fH24/O5Jv3UjycXjWj/cumjM5YXKbkAkPKU/GH71WR1qdtqFPbVROAPLZbFg1MB1rrhgotBqDmLH&#10;E61ykHUl//9Q/wBQSwMEFAAAAAgAh07iQEw5SNZ8AgAAAwUAAA4AAABkcnMvZTJvRG9jLnhtbK1U&#10;zW4TMRC+I/EOlu90kzTpT9SkComCkCpaqSDOjtfeXeE/bCeb8jJI3HgIHgfxGnz2btOq9NADOWzG&#10;ns/fzHye8cXlXiuyEz401szo8GhAiTDclo2pZvTTx/WbM0pCZKZkyhoxo3ci0Mv561cXrZuKka2t&#10;KoUnIDFh2roZrWN006IIvBaahSPrhIFTWq9ZxNJXRelZC3atitFgcFK01pfOWy5CwO6qc9Ke0b+E&#10;0ErZcLGyfKuFiR2rF4pFlBTqxgU6z9lKKXi8ljKISNSMotKYvwgCe5O+xfyCTSvPXN3wPgX2khSe&#10;1KRZYxD0QLVikZGtb/6h0g33NlgZj7jVRVdIVgRVDAdPtLmtmRO5Fkgd3EH08P9o+YfdjSdNiU44&#10;hiaGaVz5n+8/f//6QdIO9GldmAJ26258vwowU7F76XX6RxlknzW9O2gq9pFwbJ6eHw+HE0o4XKPJ&#10;+OR4kjiLh8POh/hOWE2SMaMeV5aVZLurEDvoPSTFcizGdaNUD1fVshb8Sz4hq6XKeQVfbWCSHcOt&#10;j9dnw7erPugBsnkWu86/HttDkOp9zBRfGdLmSgaQizMMgETjwdQOIgZTUcJUhcni0eesjE3pohDw&#10;oMIVC3WXWLCqKftYykCTJHQnbbI2trzD1Xjb9WxwfN3g/BUL8YZ5NCniY4zjNT5SWSRle4uS2vpv&#10;z+0nPHoHXkpaND0S/rplXlCi3ht01flwPAZtzIvx5HSEhX/s2Tz2mK1eWig8xIPheDYTPqp7U3qr&#10;P2PaFykqXMxwxO6k6RfL2A0j3gsuFosMw2RA8Stz63giT8oZu9hGK5vcEA/q9KJhNnJL9XOchu/x&#10;OqMe3q75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Z3AwTZAAAACwEAAA8AAAAAAAAAAQAgAAAA&#10;IgAAAGRycy9kb3ducmV2LnhtbFBLAQIUABQAAAAIAIdO4kBMOUjWfAIAAAMFAAAOAAAAAAAAAAEA&#10;IAAAACgBAABkcnMvZTJvRG9jLnhtbFBLBQYAAAAABgAGAFkBAAAWBg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2992" behindDoc="0" locked="0" layoutInCell="1" allowOverlap="1">
                <wp:simplePos x="0" y="0"/>
                <wp:positionH relativeFrom="column">
                  <wp:posOffset>254000</wp:posOffset>
                </wp:positionH>
                <wp:positionV relativeFrom="paragraph">
                  <wp:posOffset>3890010</wp:posOffset>
                </wp:positionV>
                <wp:extent cx="1428115" cy="254635"/>
                <wp:effectExtent l="0" t="0" r="635" b="12065"/>
                <wp:wrapNone/>
                <wp:docPr id="129" name="矩形 129"/>
                <wp:cNvGraphicFramePr/>
                <a:graphic xmlns:a="http://schemas.openxmlformats.org/drawingml/2006/main">
                  <a:graphicData uri="http://schemas.microsoft.com/office/word/2010/wordprocessingShape">
                    <wps:wsp>
                      <wps:cNvSpPr/>
                      <wps:spPr>
                        <a:xfrm>
                          <a:off x="0" y="0"/>
                          <a:ext cx="1428115" cy="254635"/>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pt;margin-top:306.3pt;height:20.05pt;width:112.45pt;z-index:251732992;v-text-anchor:middle;mso-width-relative:page;mso-height-relative:page;" fillcolor="#4F81BD" filled="t" stroked="f" coordsize="21600,21600" o:gfxdata="UEsDBAoAAAAAAIdO4kAAAAAAAAAAAAAAAAAEAAAAZHJzL1BLAwQUAAAACACHTuJAOHZv4NgAAAAK&#10;AQAADwAAAGRycy9kb3ducmV2LnhtbE2PvU7EMBCEeyTewVokOs5OCCGEOCd0AkoQBwV0vnhJAvY6&#10;xL4f3p6lgnJ2RrPfNMuDd2KHcxwDacgWCgRSF+xIvYaX57uzCkRMhqxxgVDDN0ZYtsdHjalt2NMT&#10;7tapF1xCsTYahpSmWsrYDehNXIQJib33MHuTWM69tLPZc7l3MleqlN6MxB8GM+FqwO5zvfUaXruv&#10;D1fcPlZv/UTy/GFV3d+4qPXpSaauQSQ8pL8w/OIzOrTMtAlbslE4DYXiKUlDmeUlCA7kZXEFYsOX&#10;i/wSZNvI/xPaH1BLAwQUAAAACACHTuJAgrVyKX0CAAAEBQAADgAAAGRycy9lMm9Eb2MueG1srVTL&#10;bhMxFN0j8Q+W93QyISlt1KQKiYKQKhqpINaOx54Z4Re28yg/g8SOj+BzEL/BsWeaVqWLLpiF517f&#10;4/s4vtcXlwetyE740FozpeXJgBJhuK1aU0/pp4+rV2eUhMhMxZQ1YkpvRaCXs5cvLvZuIoa2saoS&#10;nsCJCZO9m9ImRjcpisAboVk4sU4YGKX1mkWovi4qz/bwrlUxHAxOi731lfOWixCwu+yMtPfon+PQ&#10;StlysbR8q4WJnVcvFIsoKTStC3SWs5VS8HgtZRCRqClFpTGvCAJ5k9ZidsEmtWeuaXmfAntOCo9q&#10;0qw1CHp0tWSRka1v/3GlW+5tsDKecKuLrpDMCKooB4+4uWmYE7kWUB3ckfTw/9zyD7u1J22FThie&#10;U2KYxpX/+f7z968fJO2An70LE8Bu3Nr3WoCYij1Ir9MfZZBD5vT2yKk4RMKxWY6GZ2U5poTDNhyP&#10;Tl+Pk9Pi/rTzIb4TVpMkTKnHnWUq2e4qxA56B0nBHItx1SrVw1W9aAT/kk/IeqFyYsHXG4hkx3Dt&#10;o9VZ+XbZBz1CNk9iV/nrsT0Eqd7FTPGVIftcyQA9xBkmQKLzIGoHFoOpKWGqxmjx6HNWxqZ0UQj8&#10;oMIlC02XWLCqrfpYyoCTxHTHbZI2trrF3XjbNW1wfNXi/BULcc08uhTxMcfxGotUFknZXqKksf7b&#10;U/sJj+aBlZI9uh4Jf90yLyhR7w3a6rwcjdKYZGU0fjOE4h9aNg8tZqsXFgyXeDEcz2LCR3UnSm/1&#10;Z4z7PEWFiRmO2B01vbKI3TTiweBiPs8wjAYYvzI3jifniTlj59toZZsb4p6dnjQMR26pfpDT9D3U&#10;M+r+8Zr9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h2b+DYAAAACgEAAA8AAAAAAAAAAQAgAAAA&#10;IgAAAGRycy9kb3ducmV2LnhtbFBLAQIUABQAAAAIAIdO4kCCtXIpfQIAAAQFAAAOAAAAAAAAAAEA&#10;IAAAACcBAABkcnMvZTJvRG9jLnhtbFBLBQYAAAAABgAGAFkBAAAWBgAAAAA=&#10;">
                <v:fill type="pattern" on="t" color2="#FFFFFF" o:title="大棋盘" focussize="0,0" r:id="rId14"/>
                <v:stroke on="f" weight="2pt"/>
                <v:imagedata o:title=""/>
                <o:lock v:ext="edit" aspectratio="f"/>
              </v:rect>
            </w:pict>
          </mc:Fallback>
        </mc:AlternateContent>
      </w:r>
      <w:r>
        <w:rPr>
          <w:rFonts w:hint="eastAsia" w:eastAsia="黑体"/>
          <w:sz w:val="24"/>
          <w:lang w:eastAsia="zh-CN"/>
        </w:rPr>
        <w:drawing>
          <wp:anchor distT="0" distB="0" distL="114300" distR="114300" simplePos="0" relativeHeight="251677696" behindDoc="1" locked="0" layoutInCell="1" allowOverlap="1">
            <wp:simplePos x="0" y="0"/>
            <wp:positionH relativeFrom="column">
              <wp:posOffset>-901700</wp:posOffset>
            </wp:positionH>
            <wp:positionV relativeFrom="paragraph">
              <wp:posOffset>-834390</wp:posOffset>
            </wp:positionV>
            <wp:extent cx="7149465" cy="11098530"/>
            <wp:effectExtent l="0" t="0" r="13335" b="7620"/>
            <wp:wrapNone/>
            <wp:docPr id="6" name="图片 6" descr="4fb3319fb07bddbaf350fc6c78560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fb3319fb07bddbaf350fc6c78560b3"/>
                    <pic:cNvPicPr>
                      <a:picLocks noChangeAspect="1"/>
                    </pic:cNvPicPr>
                  </pic:nvPicPr>
                  <pic:blipFill>
                    <a:blip r:embed="rId45"/>
                    <a:srcRect l="8865" t="819"/>
                    <a:stretch>
                      <a:fillRect/>
                    </a:stretch>
                  </pic:blipFill>
                  <pic:spPr>
                    <a:xfrm>
                      <a:off x="0" y="0"/>
                      <a:ext cx="7149465" cy="11098530"/>
                    </a:xfrm>
                    <a:prstGeom prst="rect">
                      <a:avLst/>
                    </a:prstGeom>
                  </pic:spPr>
                </pic:pic>
              </a:graphicData>
            </a:graphic>
          </wp:anchor>
        </w:drawing>
      </w:r>
    </w:p>
    <w:p w14:paraId="122AD264">
      <w:pPr>
        <w:pStyle w:val="35"/>
        <w:widowControl w:val="0"/>
        <w:wordWrap/>
        <w:autoSpaceDE w:val="0"/>
        <w:autoSpaceDN w:val="0"/>
        <w:adjustRightInd w:val="0"/>
        <w:snapToGrid/>
        <w:spacing w:line="240" w:lineRule="auto"/>
        <w:jc w:val="center"/>
        <w:textAlignment w:val="auto"/>
        <w:rPr>
          <w:rFonts w:hint="eastAsia" w:eastAsia="黑体"/>
          <w:sz w:val="24"/>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30"/>
        </w:rPr>
        <mc:AlternateContent>
          <mc:Choice Requires="wps">
            <w:drawing>
              <wp:anchor distT="0" distB="0" distL="114300" distR="114300" simplePos="0" relativeHeight="251738112" behindDoc="0" locked="0" layoutInCell="1" allowOverlap="1">
                <wp:simplePos x="0" y="0"/>
                <wp:positionH relativeFrom="column">
                  <wp:posOffset>1317625</wp:posOffset>
                </wp:positionH>
                <wp:positionV relativeFrom="paragraph">
                  <wp:posOffset>3255645</wp:posOffset>
                </wp:positionV>
                <wp:extent cx="466725" cy="238760"/>
                <wp:effectExtent l="0" t="0" r="9525" b="8890"/>
                <wp:wrapNone/>
                <wp:docPr id="134" name="矩形 134"/>
                <wp:cNvGraphicFramePr/>
                <a:graphic xmlns:a="http://schemas.openxmlformats.org/drawingml/2006/main">
                  <a:graphicData uri="http://schemas.microsoft.com/office/word/2010/wordprocessingShape">
                    <wps:wsp>
                      <wps:cNvSpPr/>
                      <wps:spPr>
                        <a:xfrm>
                          <a:off x="0" y="0"/>
                          <a:ext cx="466725" cy="23876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75pt;margin-top:256.35pt;height:18.8pt;width:36.75pt;z-index:251738112;v-text-anchor:middle;mso-width-relative:page;mso-height-relative:page;" fillcolor="#4F81BD" filled="t" stroked="f" coordsize="21600,21600" o:gfxdata="UEsDBAoAAAAAAIdO4kAAAAAAAAAAAAAAAAAEAAAAZHJzL1BLAwQUAAAACACHTuJAoJTcftoAAAAL&#10;AQAADwAAAGRycy9kb3ducmV2LnhtbE2PTU/DMAyG70j8h8hI3FjSlo6uNJ3QBBxBjB3GLWtNW0ic&#10;0mQf/HvMCY62H71+3mp5clYccAqDJw3JTIFAanw7UKdh8/pwVYAI0VBrrCfU8I0BlvX5WWXK1h/p&#10;BQ/r2AkOoVAaDX2MYyllaHp0Jsz8iMS3dz85E3mcOtlO5sjhzspUqbl0ZiD+0JsRVz02n+u907Bt&#10;vj7s9f1z8daNJLOnVfF4Z4PWlxeJugUR8RT/YPjVZ3Wo2Wnn99QGYTWkap4xqiFPsgUIJtKbBZfZ&#10;8SZPcpB1Jf93qH8AUEsDBBQAAAAIAIdO4kCh9wTFfwIAAAMFAAAOAAAAZHJzL2Uyb0RvYy54bWyt&#10;VM1uEzEQviPxDpbvdJN0m5aoSRUSBSFVtFJBnB2vvbvCf9jOT3kZpN54CB4H8Rp89m7TqvTQAzk4&#10;Y8+38818nvH5xV4rshU+tNZM6fBoQIkw3Fatqaf086fVmzNKQmSmYsoaMaW3ItCL2etX5zs3ESPb&#10;WFUJTxDEhMnOTWkTo5sUReCN0CwcWScMnNJ6zSK2vi4qz3aIrlUxGgzGxc76ynnLRQg4XXZO2kf0&#10;LwlopWy5WFq+0cLELqoXikWUFJrWBTrL2UopeLySMohI1JSi0phXkMBep7WYnbNJ7ZlrWt6nwF6S&#10;wpOaNGsNSA+hliwysvHtP6F0y70NVsYjbnXRFZIVQRXDwRNtbhrmRK4FUgd3ED38v7D84/bak7ZC&#10;JxyXlBimceV/fvz8/euOpBPos3NhAtiNu/b9LsBMxe6l1+kfZZB91vT2oKnYR8JxWI7Hp6MTSjhc&#10;o+Oz03HWvHj42PkQ3wurSTKm1OPKspJsexkiCAG9hyQux2JctUr1cFUvGsG/5i9kvVA5r+DrNUyy&#10;Zbj1cnU2fLdMhSDSAbJ+FrvKvx7bQxJ/z5n4lSE7VHJSDtBCnGEAJBoPpnYQMZiaEqZqTBaPPmdl&#10;bEoX9F0dSxaaLrFgVVv1XMogvSR0J22y1ra6xdV42/VscHzVQqFLFuI182hS8GOM4xUWqSySsr1F&#10;SWP99+fOEx69Ay8lOzQ9Ev62YV5Qoj4YdNXbYVmmKcmb8uR0hI1/7Fk/9piNXlgoPMSD4Xg2Ez6q&#10;e1N6q79g2ueJFS5mOLg7afrNInbDiPeCi/k8wzAZUPzS3DiegifljJ1vopVtbogHdXrRMBv5dvs5&#10;TsP3eJ9RD2/X7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glNx+2gAAAAsBAAAPAAAAAAAAAAEA&#10;IAAAACIAAABkcnMvZG93bnJldi54bWxQSwECFAAUAAAACACHTuJAofcExX8CAAADBQAADgAAAAAA&#10;AAABACAAAAApAQAAZHJzL2Uyb0RvYy54bWxQSwUGAAAAAAYABgBZAQAAGgYAAAAA&#10;">
                <v:fill type="pattern" on="t" color2="#FFFFFF" o:title="大棋盘" focussize="0,0" r:id="rId14"/>
                <v:stroke on="f" weight="2pt"/>
                <v:imagedata o:title=""/>
                <o:lock v:ext="edit" aspectratio="f"/>
              </v:rect>
            </w:pict>
          </mc:Fallback>
        </mc:AlternateContent>
      </w:r>
      <w:r>
        <w:rPr>
          <w:sz w:val="30"/>
        </w:rPr>
        <mc:AlternateContent>
          <mc:Choice Requires="wps">
            <w:drawing>
              <wp:anchor distT="0" distB="0" distL="114300" distR="114300" simplePos="0" relativeHeight="251739136" behindDoc="0" locked="0" layoutInCell="1" allowOverlap="1">
                <wp:simplePos x="0" y="0"/>
                <wp:positionH relativeFrom="column">
                  <wp:posOffset>1063625</wp:posOffset>
                </wp:positionH>
                <wp:positionV relativeFrom="paragraph">
                  <wp:posOffset>8604885</wp:posOffset>
                </wp:positionV>
                <wp:extent cx="500380" cy="247650"/>
                <wp:effectExtent l="0" t="0" r="13970" b="0"/>
                <wp:wrapNone/>
                <wp:docPr id="135" name="矩形 135"/>
                <wp:cNvGraphicFramePr/>
                <a:graphic xmlns:a="http://schemas.openxmlformats.org/drawingml/2006/main">
                  <a:graphicData uri="http://schemas.microsoft.com/office/word/2010/wordprocessingShape">
                    <wps:wsp>
                      <wps:cNvSpPr/>
                      <wps:spPr>
                        <a:xfrm>
                          <a:off x="0" y="0"/>
                          <a:ext cx="500380" cy="24765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3.75pt;margin-top:677.55pt;height:19.5pt;width:39.4pt;z-index:251739136;v-text-anchor:middle;mso-width-relative:page;mso-height-relative:page;" fillcolor="#4F81BD" filled="t" stroked="f" coordsize="21600,21600" o:gfxdata="UEsDBAoAAAAAAIdO4kAAAAAAAAAAAAAAAAAEAAAAZHJzL1BLAwQUAAAACACHTuJAnY5TidsAAAAN&#10;AQAADwAAAGRycy9kb3ducmV2LnhtbE2PS0/DMBCE70j8B2uRuFEnzaMhxKlQBRypKD3AzU2WJGCv&#10;Q+w++PdsT3Db2R3NflMtT9aIA05+cKQgnkUgkBrXDtQp2L4+3hQgfNDUauMIFfygh2V9eVHpsnVH&#10;esHDJnSCQ8iXWkEfwlhK6ZserfYzNyLx7cNNVgeWUyfbSR853Bo5j6JcWj0Qf+j1iKsem6/N3ip4&#10;a74/TfqwLt67kWTyvCqe7o1X6voqju5ABDyFPzOc8RkdambauT21XhjW+SJjKw9JlsUg2DJP8wTE&#10;7ry6TWOQdSX/t6h/AVBLAwQUAAAACACHTuJAhMqo+H4CAAADBQAADgAAAGRycy9lMm9Eb2MueG1s&#10;rVTNbhMxEL4j8Q6W73STNGlL1KQKiYKQKlqpIM6O195d4T9sJ5vyMki98RA8DuI1+OzdplXpoQdy&#10;cMaeb2fm+zzj84u9VmQnfGismdHh0YASYbgtG1PN6OdP6zdnlITITMmUNWJGb0WgF/PXr85bNxUj&#10;W1tVCk8QxIRp62a0jtFNiyLwWmgWjqwTBk5pvWYRW18VpWctomtVjAaDk6K1vnTechECTledk/YR&#10;/UsCWikbLlaWb7UwsYvqhWIRlELduEDnuVopBY9XUgYRiZpRMI15RRLYm7QW83M2rTxzdcP7EthL&#10;SnjCSbPGIOkh1IpFRra++SeUbri3wcp4xK0uOiJZEbAYDp5oc1MzJzIXSB3cQfTw/8Lyj7trT5oS&#10;nXA8ocQwjSv/8+Pn7193JJ1An9aFKWA37tr3uwAzkd1Lr9M/aJB91vT2oKnYR8JxOBkMjs+gNodr&#10;ND49mWTNi4ePnQ/xvbCaJGNGPa4sK8l2lyEiIaD3kJTLsRjXjVI9XFXLWvCv+QtZLVWuK/hqA5Ps&#10;GG59vD4bvlslIoh0gGyexa7zr8f2kJS/z5nyK0NaMJmMB4kUwwBINB5M7SBiMBUlTFWYLB59rsrY&#10;VC7SdzxWLNRdYcGqpuxzKYPyktCdtMna2PIWV+Nt17PB8XUDhS5ZiNfMo0mRH2Mcr7BIZVGU7S1K&#10;auu/P3ee8OgdeClp0fQo+NuWeUGJ+mDQVW+H4zHCxrwZT05H2PjHns1jj9nqpYXCQzwYjmcz4aO6&#10;N6W3+gumfZGywsUMR+5Omn6zjN0w4r3gYrHIMEwGFL80N46n4Ek5YxfbaGWTG+JBnV40zEa+3X6O&#10;0/A93mfUw9s1/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djlOJ2wAAAA0BAAAPAAAAAAAAAAEA&#10;IAAAACIAAABkcnMvZG93bnJldi54bWxQSwECFAAUAAAACACHTuJAhMqo+H4CAAADBQAADgAAAAAA&#10;AAABACAAAAAqAQAAZHJzL2Uyb0RvYy54bWxQSwUGAAAAAAYABgBZAQAAGgYAAAAA&#10;">
                <v:fill type="pattern" on="t" color2="#FFFFFF" o:title="大棋盘" focussize="0,0" r:id="rId14"/>
                <v:stroke on="f" weight="2pt"/>
                <v:imagedata o:title=""/>
                <o:lock v:ext="edit" aspectratio="f"/>
              </v:rect>
            </w:pict>
          </mc:Fallback>
        </mc:AlternateContent>
      </w:r>
      <w:bookmarkStart w:id="0" w:name="_GoBack"/>
      <w:r>
        <w:rPr>
          <w:rFonts w:hint="eastAsia" w:eastAsia="黑体"/>
          <w:sz w:val="24"/>
          <w:lang w:eastAsia="zh-CN"/>
        </w:rPr>
        <w:drawing>
          <wp:anchor distT="0" distB="0" distL="114300" distR="114300" simplePos="0" relativeHeight="251677696" behindDoc="1" locked="0" layoutInCell="1" allowOverlap="1">
            <wp:simplePos x="0" y="0"/>
            <wp:positionH relativeFrom="column">
              <wp:posOffset>-664845</wp:posOffset>
            </wp:positionH>
            <wp:positionV relativeFrom="paragraph">
              <wp:posOffset>-999490</wp:posOffset>
            </wp:positionV>
            <wp:extent cx="6686550" cy="10800080"/>
            <wp:effectExtent l="0" t="0" r="0" b="1270"/>
            <wp:wrapNone/>
            <wp:docPr id="8" name="图片 8" descr="a151052eeb64edd7ee1357eff3de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151052eeb64edd7ee1357eff3deaee"/>
                    <pic:cNvPicPr>
                      <a:picLocks noChangeAspect="1"/>
                    </pic:cNvPicPr>
                  </pic:nvPicPr>
                  <pic:blipFill>
                    <a:blip r:embed="rId46"/>
                    <a:srcRect l="12479" t="895"/>
                    <a:stretch>
                      <a:fillRect/>
                    </a:stretch>
                  </pic:blipFill>
                  <pic:spPr>
                    <a:xfrm>
                      <a:off x="0" y="0"/>
                      <a:ext cx="6686550" cy="10800080"/>
                    </a:xfrm>
                    <a:prstGeom prst="rect">
                      <a:avLst/>
                    </a:prstGeom>
                  </pic:spPr>
                </pic:pic>
              </a:graphicData>
            </a:graphic>
          </wp:anchor>
        </w:drawing>
      </w:r>
      <w:bookmarkEnd w:id="0"/>
    </w:p>
    <w:p w14:paraId="01A65E49">
      <w:pPr>
        <w:pStyle w:val="35"/>
        <w:widowControl w:val="0"/>
        <w:wordWrap/>
        <w:autoSpaceDE w:val="0"/>
        <w:autoSpaceDN w:val="0"/>
        <w:adjustRightInd w:val="0"/>
        <w:snapToGrid/>
        <w:spacing w:line="240" w:lineRule="auto"/>
        <w:jc w:val="center"/>
        <w:textAlignment w:val="auto"/>
        <w:rPr>
          <w:rFonts w:hint="eastAsia" w:eastAsia="黑体"/>
          <w:sz w:val="24"/>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sz w:val="30"/>
        </w:rPr>
        <mc:AlternateContent>
          <mc:Choice Requires="wps">
            <w:drawing>
              <wp:anchor distT="0" distB="0" distL="114300" distR="114300" simplePos="0" relativeHeight="251740160" behindDoc="0" locked="0" layoutInCell="1" allowOverlap="1">
                <wp:simplePos x="0" y="0"/>
                <wp:positionH relativeFrom="column">
                  <wp:posOffset>168275</wp:posOffset>
                </wp:positionH>
                <wp:positionV relativeFrom="paragraph">
                  <wp:posOffset>449580</wp:posOffset>
                </wp:positionV>
                <wp:extent cx="500380" cy="247650"/>
                <wp:effectExtent l="0" t="0" r="13970" b="0"/>
                <wp:wrapNone/>
                <wp:docPr id="136" name="矩形 136"/>
                <wp:cNvGraphicFramePr/>
                <a:graphic xmlns:a="http://schemas.openxmlformats.org/drawingml/2006/main">
                  <a:graphicData uri="http://schemas.microsoft.com/office/word/2010/wordprocessingShape">
                    <wps:wsp>
                      <wps:cNvSpPr/>
                      <wps:spPr>
                        <a:xfrm>
                          <a:off x="0" y="0"/>
                          <a:ext cx="500380" cy="247650"/>
                        </a:xfrm>
                        <a:prstGeom prst="rect">
                          <a:avLst/>
                        </a:prstGeom>
                        <a:pattFill prst="lgCheck">
                          <a:fgClr>
                            <a:srgbClr val="4F81BD"/>
                          </a:fgClr>
                          <a:bgClr>
                            <a:srgbClr val="FFFFFF"/>
                          </a:bgClr>
                        </a:patt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5pt;margin-top:35.4pt;height:19.5pt;width:39.4pt;z-index:251740160;v-text-anchor:middle;mso-width-relative:page;mso-height-relative:page;" fillcolor="#4F81BD" filled="t" stroked="f" coordsize="21600,21600" o:gfxdata="UEsDBAoAAAAAAIdO4kAAAAAAAAAAAAAAAAAEAAAAZHJzL1BLAwQUAAAACACHTuJABedgbdcAAAAJ&#10;AQAADwAAAGRycy9kb3ducmV2LnhtbE2PzU7DMBCE75V4B2uRuLV2W1pCyKZCFXAEtXCAmxsvScBe&#10;h9j94e1xTvS2oxnNflOsTs6KA/Wh9YwwnSgQxJU3LdcIb6+P4wxEiJqNtp4J4ZcCrMqLUaFz44+8&#10;ocM21iKVcMg1QhNjl0sZqoacDhPfESfv0/dOxyT7WppeH1O5s3Km1FI63XL60OiO1g1V39u9Q3iv&#10;fr7s9cNL9lF3LOfP6+zp3gbEq8upugMR6RT/wzDgJ3QoE9PO79kEYRFmy0VKItyotGDw1WIOYjcc&#10;txnIspDnC8o/UEsDBBQAAAAIAIdO4kA7KvpjfgIAAAMFAAAOAAAAZHJzL2Uyb0RvYy54bWytVM1u&#10;EzEQviPxDpbvdDdp0paoSRUSBSFVtFJBnB2vvbvCf9jOT3kZpN54CB4H8Rp89m7TqvTQAzk4Y8+3&#10;M/N9nvH5xV4rshU+tNZM6eCopEQYbqvW1FP6+dPqzRklITJTMWWNmNJbEejF7PWr852biKFtrKqE&#10;JwhiwmTnprSJ0U2KIvBGaBaOrBMGTmm9ZhFbXxeVZztE16oYluVJsbO+ct5yEQJOl52T9hH9SwJa&#10;KVsulpZvtDCxi+qFYhGUQtO6QGe5WikFj1dSBhGJmlIwjXlFEtjrtBazczapPXNNy/sS2EtKeMJJ&#10;s9Yg6SHUkkVGNr79J5RuubfBynjErS46IlkRsBiUT7S5aZgTmQukDu4gevh/YfnH7bUnbYVOOD6h&#10;xDCNK//z4+fvX3cknUCfnQsTwG7cte93AWYiu5dep3/QIPus6e1BU7GPhONwXJbHZ1CbwzUcnZ6M&#10;s+bFw8fOh/heWE2SMaUeV5aVZNvLEJEQ0HtIyuVYjKtWqR6u6kUj+Nf8hawXKtcVfL2GSbYMtz5a&#10;nQ3eLRMRRDpA1s9iV/nXY3tIyt/nTPmVITswGY/KRIphACQaD6Z2EDGYmhKmakwWjz5XZWwqF+k7&#10;HksWmq6wYFVb9bmUQXlJ6E7aZK1tdYur8bbr2eD4qoVClyzEa+bRpMiPMY5XWKSyKMr2FiWN9d+f&#10;O0949A68lOzQ9Cj424Z5QYn6YNBVbwejEcLGvBmNT4fY+Mee9WOP2eiFhcIDPBiOZzPho7o3pbf6&#10;C6Z9nrLCxQxH7k6afrOI3TDiveBiPs8wTAYUvzQ3jqfgSTlj55toZZsb4kGdXjTMRr7dfo7T8D3e&#10;Z9TD2zX7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XnYG3XAAAACQEAAA8AAAAAAAAAAQAgAAAA&#10;IgAAAGRycy9kb3ducmV2LnhtbFBLAQIUABQAAAAIAIdO4kA7KvpjfgIAAAMFAAAOAAAAAAAAAAEA&#10;IAAAACYBAABkcnMvZTJvRG9jLnhtbFBLBQYAAAAABgAGAFkBAAAWBgAAAAA=&#10;">
                <v:fill type="pattern" on="t" color2="#FFFFFF" o:title="大棋盘" focussize="0,0" r:id="rId14"/>
                <v:stroke on="f" weight="2pt"/>
                <v:imagedata o:title=""/>
                <o:lock v:ext="edit" aspectratio="f"/>
              </v:rect>
            </w:pict>
          </mc:Fallback>
        </mc:AlternateContent>
      </w:r>
      <w:r>
        <w:rPr>
          <w:rFonts w:hint="eastAsia" w:eastAsia="黑体"/>
          <w:sz w:val="24"/>
          <w:lang w:eastAsia="zh-CN"/>
        </w:rPr>
        <w:drawing>
          <wp:anchor distT="0" distB="0" distL="114300" distR="114300" simplePos="0" relativeHeight="251677696" behindDoc="1" locked="0" layoutInCell="1" allowOverlap="1">
            <wp:simplePos x="0" y="0"/>
            <wp:positionH relativeFrom="column">
              <wp:posOffset>-748030</wp:posOffset>
            </wp:positionH>
            <wp:positionV relativeFrom="paragraph">
              <wp:posOffset>-1000125</wp:posOffset>
            </wp:positionV>
            <wp:extent cx="6986270" cy="10800080"/>
            <wp:effectExtent l="0" t="0" r="5080" b="1270"/>
            <wp:wrapNone/>
            <wp:docPr id="9" name="图片 9" descr="030f4c4f1feb13be4a5f0481275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30f4c4f1feb13be4a5f04812750111"/>
                    <pic:cNvPicPr>
                      <a:picLocks noChangeAspect="1"/>
                    </pic:cNvPicPr>
                  </pic:nvPicPr>
                  <pic:blipFill>
                    <a:blip r:embed="rId47"/>
                    <a:srcRect l="8636" t="988"/>
                    <a:stretch>
                      <a:fillRect/>
                    </a:stretch>
                  </pic:blipFill>
                  <pic:spPr>
                    <a:xfrm>
                      <a:off x="0" y="0"/>
                      <a:ext cx="6986270" cy="10800080"/>
                    </a:xfrm>
                    <a:prstGeom prst="rect">
                      <a:avLst/>
                    </a:prstGeom>
                  </pic:spPr>
                </pic:pic>
              </a:graphicData>
            </a:graphic>
          </wp:anchor>
        </w:drawing>
      </w:r>
    </w:p>
    <w:p w14:paraId="53F104AD">
      <w:pPr>
        <w:pStyle w:val="35"/>
        <w:widowControl w:val="0"/>
        <w:wordWrap/>
        <w:autoSpaceDE w:val="0"/>
        <w:autoSpaceDN w:val="0"/>
        <w:adjustRightInd w:val="0"/>
        <w:snapToGrid/>
        <w:spacing w:line="240" w:lineRule="auto"/>
        <w:jc w:val="center"/>
        <w:textAlignment w:val="auto"/>
        <w:rPr>
          <w:sz w:val="24"/>
        </w:rPr>
      </w:pPr>
      <w:r>
        <w:rPr>
          <w:rFonts w:ascii="黑体" w:hAnsi="Times New Roman" w:eastAsia="黑体" w:cs="黑体"/>
          <w:b/>
          <w:color w:val="000000"/>
          <w:kern w:val="2"/>
          <w:sz w:val="24"/>
          <w:szCs w:val="24"/>
          <w:lang w:val="en-US" w:eastAsia="zh-CN" w:bidi="ar-SA"/>
        </w:rPr>
        <w:drawing>
          <wp:anchor distT="0" distB="0" distL="114300" distR="114300" simplePos="0" relativeHeight="251677696" behindDoc="1" locked="0" layoutInCell="1" allowOverlap="1">
            <wp:simplePos x="0" y="0"/>
            <wp:positionH relativeFrom="column">
              <wp:posOffset>-1160145</wp:posOffset>
            </wp:positionH>
            <wp:positionV relativeFrom="paragraph">
              <wp:posOffset>-916940</wp:posOffset>
            </wp:positionV>
            <wp:extent cx="7574280" cy="10803890"/>
            <wp:effectExtent l="0" t="0" r="7620" b="16510"/>
            <wp:wrapNone/>
            <wp:docPr id="1" name="图片 1" descr="bcf98d552480145c4afbd56cfb9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cf98d552480145c4afbd56cfb93763"/>
                    <pic:cNvPicPr>
                      <a:picLocks noChangeAspect="1"/>
                    </pic:cNvPicPr>
                  </pic:nvPicPr>
                  <pic:blipFill>
                    <a:blip r:embed="rId48"/>
                    <a:stretch>
                      <a:fillRect/>
                    </a:stretch>
                  </pic:blipFill>
                  <pic:spPr>
                    <a:xfrm>
                      <a:off x="0" y="0"/>
                      <a:ext cx="7574280" cy="10803890"/>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68480" behindDoc="0" locked="0" layoutInCell="1" allowOverlap="1">
                <wp:simplePos x="0" y="0"/>
                <wp:positionH relativeFrom="column">
                  <wp:posOffset>5298440</wp:posOffset>
                </wp:positionH>
                <wp:positionV relativeFrom="paragraph">
                  <wp:posOffset>-644525</wp:posOffset>
                </wp:positionV>
                <wp:extent cx="1828800" cy="1828800"/>
                <wp:effectExtent l="0" t="0" r="0" b="0"/>
                <wp:wrapSquare wrapText="bothSides"/>
                <wp:docPr id="41"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4DB502D">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附件六</w:t>
                            </w:r>
                          </w:p>
                        </w:txbxContent>
                      </wps:txbx>
                      <wps:bodyPr wrap="none" upright="0">
                        <a:spAutoFit/>
                      </wps:bodyPr>
                    </wps:wsp>
                  </a:graphicData>
                </a:graphic>
              </wp:anchor>
            </w:drawing>
          </mc:Choice>
          <mc:Fallback>
            <w:pict>
              <v:rect id="文本框 32" o:spid="_x0000_s1026" o:spt="1" style="position:absolute;left:0pt;margin-left:417.2pt;margin-top:-50.75pt;height:144pt;width:144pt;mso-wrap-distance-bottom:0pt;mso-wrap-distance-left:9pt;mso-wrap-distance-right:9pt;mso-wrap-distance-top:0pt;mso-wrap-style:none;z-index:251668480;mso-width-relative:page;mso-height-relative:page;" filled="f" stroked="f" coordsize="21600,21600" o:gfxdata="UEsDBAoAAAAAAIdO4kAAAAAAAAAAAAAAAAAEAAAAZHJzL1BLAwQUAAAACACHTuJA/sXOSNoAAAAN&#10;AQAADwAAAGRycy9kb3ducmV2LnhtbE2Py07DMBBF90j8gzVIbFBrO6RVlMbpAvGQ2hWlH+DGbhIR&#10;jyPbScvfM13Bbh5Hd85U26sb2GxD7D0qkEsBzGLjTY+tguPX26IAFpNGowePVsGPjbCt7+8qXRp/&#10;wU87H1LLKARjqRV0KY0l57HprNNx6UeLtDv74HSiNrTcBH2hcDfwTIg1d7pHutDp0b50tvk+TE5B&#10;/p7tXvsnse/dPOnjjgfxgXulHh+k2ABL9pr+YLjpkzrU5HTyE5rIBgXFc54TqmAhhVwBuyEyy2h2&#10;oqpYr4DXFf//Rf0LUEsDBBQAAAAIAIdO4kBBzgT0uAEAAG0DAAAOAAAAZHJzL2Uyb0RvYy54bWyt&#10;U82O0zAQviPxDpbvNGlBqIqarpCq5YJgpYUHcB27seQ/zbhN+gLwBpy4cOe5+hyMnWwXlsseuDgz&#10;45lv5vvG2dyMzrKTAjTBt3y5qDlTXobO+EPLv3y+fbXmDJPwnbDBq5afFfKb7csXmyE2ahX6YDsF&#10;jEA8NkNseZ9SbKoKZa+cwEWIytOlDuBEIhcOVQdiIHRnq1Vdv62GAF2EIBUiRXfTJZ8R4TmAQWsj&#10;1S7Io1M+TaigrEhECXsTkW/LtFormT5pjSox23JimspJTcje57PabkRzABF7I+cRxHNGeMLJCeOp&#10;6RVqJ5JgRzD/QDkjIWDQaSGDqyYiRRFisayfaHPfi6gKF5Ia41V0/H+w8uPpDpjpWv5myZkXjjZ+&#10;+f7t8uPX5edX9nqVBRoiNpR3H+9g9pDMzHbU4PKXeLCxiHq+iqrGxCQFl+vVel2T3pLuHhzCqR7L&#10;I2B6r4Jj2Wg50NaKmOL0AdOU+pCSu/lwa6yluGis/ytAmDlS5YmnGbOVxv04D74P3Zn4DrTwlnt6&#10;35wdI5hDXx5GxsL47pioQembq6eSGZS2UCafX0xe859+yXr8S7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7FzkjaAAAADQEAAA8AAAAAAAAAAQAgAAAAIgAAAGRycy9kb3ducmV2LnhtbFBLAQIU&#10;ABQAAAAIAIdO4kBBzgT0uAEAAG0DAAAOAAAAAAAAAAEAIAAAACkBAABkcnMvZTJvRG9jLnhtbFBL&#10;BQYAAAAABgAGAFkBAABTBQAAAAA=&#10;">
                <v:fill on="f" focussize="0,0"/>
                <v:stroke on="f"/>
                <v:imagedata o:title=""/>
                <o:lock v:ext="edit" aspectratio="f"/>
                <v:textbox style="mso-fit-shape-to-text:t;">
                  <w:txbxContent>
                    <w:p w14:paraId="64DB502D">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附件六</w:t>
                      </w:r>
                    </w:p>
                  </w:txbxContent>
                </v:textbox>
                <w10:wrap type="square"/>
              </v:rect>
            </w:pict>
          </mc:Fallback>
        </mc:AlternateContent>
      </w:r>
    </w:p>
    <w:p w14:paraId="49F869F5">
      <w:pPr>
        <w:pStyle w:val="18"/>
        <w:rPr>
          <w:sz w:val="24"/>
        </w:rPr>
      </w:pPr>
    </w:p>
    <w:p w14:paraId="1B7DC808">
      <w:pPr>
        <w:pStyle w:val="18"/>
        <w:rPr>
          <w:sz w:val="24"/>
        </w:rPr>
      </w:pPr>
    </w:p>
    <w:p w14:paraId="71C93303">
      <w:pPr>
        <w:pStyle w:val="18"/>
        <w:rPr>
          <w:sz w:val="24"/>
        </w:rPr>
      </w:pPr>
    </w:p>
    <w:p w14:paraId="1E693E46">
      <w:pPr>
        <w:pStyle w:val="35"/>
        <w:widowControl w:val="0"/>
        <w:wordWrap/>
        <w:autoSpaceDE w:val="0"/>
        <w:autoSpaceDN w:val="0"/>
        <w:adjustRightInd w:val="0"/>
        <w:snapToGrid/>
        <w:spacing w:line="240" w:lineRule="auto"/>
        <w:jc w:val="center"/>
        <w:textAlignment w:val="auto"/>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3993841A">
      <w:pPr>
        <w:jc w:val="center"/>
        <w:rPr>
          <w:rFonts w:hint="eastAsia"/>
          <w:b/>
          <w:bCs/>
          <w:sz w:val="32"/>
          <w:szCs w:val="32"/>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inline distT="0" distB="0" distL="114300" distR="114300">
            <wp:extent cx="5270500" cy="3930015"/>
            <wp:effectExtent l="0" t="0" r="6350" b="13335"/>
            <wp:docPr id="24" name="图片 24" descr="3c2cb94eb17279902d00c236db3b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c2cb94eb17279902d00c236db3b190"/>
                    <pic:cNvPicPr>
                      <a:picLocks noChangeAspect="1"/>
                    </pic:cNvPicPr>
                  </pic:nvPicPr>
                  <pic:blipFill>
                    <a:blip r:embed="rId49"/>
                    <a:stretch>
                      <a:fillRect/>
                    </a:stretch>
                  </pic:blipFill>
                  <pic:spPr>
                    <a:xfrm>
                      <a:off x="0" y="0"/>
                      <a:ext cx="5270500" cy="3930015"/>
                    </a:xfrm>
                    <a:prstGeom prst="rect">
                      <a:avLst/>
                    </a:prstGeom>
                  </pic:spPr>
                </pic:pic>
              </a:graphicData>
            </a:graphic>
          </wp:inline>
        </w:drawing>
      </w:r>
      <w:r>
        <w:rPr>
          <w:rFonts w:ascii="黑体" w:hAnsi="Times New Roman" w:eastAsia="黑体" w:cs="黑体"/>
          <w:b/>
          <w:color w:val="000000"/>
          <w:kern w:val="2"/>
          <w:sz w:val="24"/>
          <w:szCs w:val="24"/>
          <w:lang w:val="en-US" w:eastAsia="zh-CN" w:bidi="ar-SA"/>
        </w:rPr>
        <w:drawing>
          <wp:inline distT="0" distB="0" distL="114300" distR="114300">
            <wp:extent cx="5269230" cy="4476115"/>
            <wp:effectExtent l="0" t="0" r="7620" b="635"/>
            <wp:docPr id="60" name="图片 60" descr="a109c65ca69c09b4c8dbce58503c3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109c65ca69c09b4c8dbce58503c30e"/>
                    <pic:cNvPicPr>
                      <a:picLocks noChangeAspect="1"/>
                    </pic:cNvPicPr>
                  </pic:nvPicPr>
                  <pic:blipFill>
                    <a:blip r:embed="rId50"/>
                    <a:stretch>
                      <a:fillRect/>
                    </a:stretch>
                  </pic:blipFill>
                  <pic:spPr>
                    <a:xfrm>
                      <a:off x="0" y="0"/>
                      <a:ext cx="5269230" cy="4476115"/>
                    </a:xfrm>
                    <a:prstGeom prst="rect">
                      <a:avLst/>
                    </a:prstGeom>
                  </pic:spPr>
                </pic:pic>
              </a:graphicData>
            </a:graphic>
          </wp:inline>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82816" behindDoc="0" locked="0" layoutInCell="1" allowOverlap="1">
                <wp:simplePos x="0" y="0"/>
                <wp:positionH relativeFrom="column">
                  <wp:posOffset>5298440</wp:posOffset>
                </wp:positionH>
                <wp:positionV relativeFrom="paragraph">
                  <wp:posOffset>-644525</wp:posOffset>
                </wp:positionV>
                <wp:extent cx="1828800" cy="1828800"/>
                <wp:effectExtent l="0" t="0" r="0" b="0"/>
                <wp:wrapSquare wrapText="bothSides"/>
                <wp:docPr id="17"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305D4D9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附件七</w:t>
                            </w:r>
                          </w:p>
                        </w:txbxContent>
                      </wps:txbx>
                      <wps:bodyPr wrap="none" upright="0">
                        <a:spAutoFit/>
                      </wps:bodyPr>
                    </wps:wsp>
                  </a:graphicData>
                </a:graphic>
              </wp:anchor>
            </w:drawing>
          </mc:Choice>
          <mc:Fallback>
            <w:pict>
              <v:rect id="文本框 32" o:spid="_x0000_s1026" o:spt="1" style="position:absolute;left:0pt;margin-left:417.2pt;margin-top:-50.75pt;height:144pt;width:144pt;mso-wrap-distance-bottom:0pt;mso-wrap-distance-left:9pt;mso-wrap-distance-right:9pt;mso-wrap-distance-top:0pt;mso-wrap-style:none;z-index:251682816;mso-width-relative:page;mso-height-relative:page;" filled="f" stroked="f" coordsize="21600,21600" o:gfxdata="UEsDBAoAAAAAAIdO4kAAAAAAAAAAAAAAAAAEAAAAZHJzL1BLAwQUAAAACACHTuJA/sXOSNoAAAAN&#10;AQAADwAAAGRycy9kb3ducmV2LnhtbE2Py07DMBBF90j8gzVIbFBrO6RVlMbpAvGQ2hWlH+DGbhIR&#10;jyPbScvfM13Bbh5Hd85U26sb2GxD7D0qkEsBzGLjTY+tguPX26IAFpNGowePVsGPjbCt7+8qXRp/&#10;wU87H1LLKARjqRV0KY0l57HprNNx6UeLtDv74HSiNrTcBH2hcDfwTIg1d7pHutDp0b50tvk+TE5B&#10;/p7tXvsnse/dPOnjjgfxgXulHh+k2ABL9pr+YLjpkzrU5HTyE5rIBgXFc54TqmAhhVwBuyEyy2h2&#10;oqpYr4DXFf//Rf0LUEsDBBQAAAAIAIdO4kCFl/rDtwEAAG0DAAAOAAAAZHJzL2Uyb0RvYy54bWyt&#10;U82O0zAQviPxDpbvNGmRoIqarpCq5YJgpYUHcB27seQ/zbhN+gLwBpy4cOe5+hyMnWwXlsseuDgz&#10;4/E3830z2dyMzrKTAjTBt3y5qDlTXobO+EPLv3y+fbXmDJPwnbDBq5afFfKb7csXmyE2ahX6YDsF&#10;jEA8NkNseZ9SbKoKZa+cwEWIytOlDuBEIhcOVQdiIHRnq1Vdv6mGAF2EIBUiRXfTJZ8R4TmAQWsj&#10;1S7Io1M+TaigrEhECXsTkW9Lt1ormT5pjSox23JimspJRcje57PabkRzABF7I+cWxHNaeMLJCeOp&#10;6BVqJ5JgRzD/QDkjIWDQaSGDqyYiRRFisayfaHPfi6gKF5Ia41V0/H+w8uPpDpjpaBPecuaFo4lf&#10;vn+7/Ph1+fmVvV5lgYaIDeXdxzuYPSQzsx01uPwlHmwsop6voqoxMUnB5Xq1Xtekt6S7B4dwqsfn&#10;ETC9V8GxbLQcaGpFTHH6gGlKfUjJ1Xy4NdZSXDTW/xUgzBypcsdTj9lK436cG9+H7kx8Bxp4yz3t&#10;N2fHCObQl8XIWBjfHRMVKHXz6+nJDEpTKJ3PG5PH/Kdfsh7/ku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sXOSNoAAAANAQAADwAAAAAAAAABACAAAAAiAAAAZHJzL2Rvd25yZXYueG1sUEsBAhQA&#10;FAAAAAgAh07iQIWX+sO3AQAAbQMAAA4AAAAAAAAAAQAgAAAAKQEAAGRycy9lMm9Eb2MueG1sUEsF&#10;BgAAAAAGAAYAWQEAAFIFAAAAAA==&#10;">
                <v:fill on="f" focussize="0,0"/>
                <v:stroke on="f"/>
                <v:imagedata o:title=""/>
                <o:lock v:ext="edit" aspectratio="f"/>
                <v:textbox style="mso-fit-shape-to-text:t;">
                  <w:txbxContent>
                    <w:p w14:paraId="305D4D9B">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附件七</w:t>
                      </w:r>
                    </w:p>
                  </w:txbxContent>
                </v:textbox>
                <w10:wrap type="square"/>
              </v:rect>
            </w:pict>
          </mc:Fallback>
        </mc:AlternateContent>
      </w:r>
    </w:p>
    <w:p w14:paraId="3F5699D9">
      <w:pPr>
        <w:jc w:val="center"/>
        <w:rPr>
          <w:rFonts w:hint="eastAsia"/>
          <w:b/>
          <w:bCs/>
          <w:sz w:val="32"/>
          <w:szCs w:val="32"/>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684864" behindDoc="1" locked="0" layoutInCell="1" allowOverlap="1">
            <wp:simplePos x="0" y="0"/>
            <wp:positionH relativeFrom="column">
              <wp:posOffset>-1172210</wp:posOffset>
            </wp:positionH>
            <wp:positionV relativeFrom="paragraph">
              <wp:posOffset>-890905</wp:posOffset>
            </wp:positionV>
            <wp:extent cx="7575550" cy="10805795"/>
            <wp:effectExtent l="0" t="0" r="6350" b="14605"/>
            <wp:wrapNone/>
            <wp:docPr id="69" name="图片 69" descr="60948d36c114e36f8ce9a7f23aa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0948d36c114e36f8ce9a7f23aa0138"/>
                    <pic:cNvPicPr>
                      <a:picLocks noChangeAspect="1"/>
                    </pic:cNvPicPr>
                  </pic:nvPicPr>
                  <pic:blipFill>
                    <a:blip r:embed="rId51"/>
                    <a:stretch>
                      <a:fillRect/>
                    </a:stretch>
                  </pic:blipFill>
                  <pic:spPr>
                    <a:xfrm>
                      <a:off x="0" y="0"/>
                      <a:ext cx="7575550" cy="10805795"/>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83840" behindDoc="0" locked="0" layoutInCell="1" allowOverlap="1">
                <wp:simplePos x="0" y="0"/>
                <wp:positionH relativeFrom="column">
                  <wp:posOffset>5298440</wp:posOffset>
                </wp:positionH>
                <wp:positionV relativeFrom="paragraph">
                  <wp:posOffset>-644525</wp:posOffset>
                </wp:positionV>
                <wp:extent cx="1828800" cy="1828800"/>
                <wp:effectExtent l="0" t="0" r="0" b="0"/>
                <wp:wrapSquare wrapText="bothSides"/>
                <wp:docPr id="68"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5D144BDF">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附件八</w:t>
                            </w:r>
                          </w:p>
                        </w:txbxContent>
                      </wps:txbx>
                      <wps:bodyPr wrap="none" upright="0">
                        <a:spAutoFit/>
                      </wps:bodyPr>
                    </wps:wsp>
                  </a:graphicData>
                </a:graphic>
              </wp:anchor>
            </w:drawing>
          </mc:Choice>
          <mc:Fallback>
            <w:pict>
              <v:rect id="文本框 32" o:spid="_x0000_s1026" o:spt="1" style="position:absolute;left:0pt;margin-left:417.2pt;margin-top:-50.75pt;height:144pt;width:144pt;mso-wrap-distance-bottom:0pt;mso-wrap-distance-left:9pt;mso-wrap-distance-right:9pt;mso-wrap-distance-top:0pt;mso-wrap-style:none;z-index:251683840;mso-width-relative:page;mso-height-relative:page;" filled="f" stroked="f" coordsize="21600,21600" o:gfxdata="UEsDBAoAAAAAAIdO4kAAAAAAAAAAAAAAAAAEAAAAZHJzL1BLAwQUAAAACACHTuJA/sXOSNoAAAAN&#10;AQAADwAAAGRycy9kb3ducmV2LnhtbE2Py07DMBBF90j8gzVIbFBrO6RVlMbpAvGQ2hWlH+DGbhIR&#10;jyPbScvfM13Bbh5Hd85U26sb2GxD7D0qkEsBzGLjTY+tguPX26IAFpNGowePVsGPjbCt7+8qXRp/&#10;wU87H1LLKARjqRV0KY0l57HprNNx6UeLtDv74HSiNrTcBH2hcDfwTIg1d7pHutDp0b50tvk+TE5B&#10;/p7tXvsnse/dPOnjjgfxgXulHh+k2ABL9pr+YLjpkzrU5HTyE5rIBgXFc54TqmAhhVwBuyEyy2h2&#10;oqpYr4DXFf//Rf0LUEsDBBQAAAAIAIdO4kD5y3CJtwEAAG0DAAAOAAAAZHJzL2Uyb0RvYy54bWyt&#10;U82O0zAQviPxDpbvNGmRVlXUdIVULRcEKy08gOvYjSX/acZt0heAN+DEhTvP1edg7GS7sFz2wMWZ&#10;Gc98M983zuZ2dJadFKAJvuXLRc2Z8jJ0xh9a/uXz3Zs1Z5iE74QNXrX8rJDfbl+/2gyxUavQB9sp&#10;YATisRliy/uUYlNVKHvlBC5CVJ4udQAnErlwqDoQA6E7W63q+qYaAnQRglSIFN1Nl3xGhJcABq2N&#10;VLsgj075NKGCsiIRJexNRL4t02qtZPqkNarEbMuJaSonNSF7n89quxHNAUTsjZxHEC8Z4RknJ4yn&#10;pleonUiCHcH8A+WMhIBBp4UMrpqIFEWIxbJ+ps1DL6IqXEhqjFfR8f/Byo+ne2Cma/kN7d0LRxu/&#10;fP92+fHr8vMre7vKAg0RG8p7iPcwe0hmZjtqcPlLPNhYRD1fRVVjYpKCy/Vqva5Jb0l3jw7hVE/l&#10;ETC9V8GxbLQcaGtFTHH6gGlKfUzJ3Xy4M9ZSXDTW/xUgzByp8sTTjNlK436cB9+H7kx8B1p4yz29&#10;b86OEcyhLw8jY2F8d0zUoPTN1VPJDEpbKJPPLyav+U+/ZD39Jd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sXOSNoAAAANAQAADwAAAAAAAAABACAAAAAiAAAAZHJzL2Rvd25yZXYueG1sUEsBAhQA&#10;FAAAAAgAh07iQPnLcIm3AQAAbQMAAA4AAAAAAAAAAQAgAAAAKQEAAGRycy9lMm9Eb2MueG1sUEsF&#10;BgAAAAAGAAYAWQEAAFIFAAAAAA==&#10;">
                <v:fill on="f" focussize="0,0"/>
                <v:stroke on="f"/>
                <v:imagedata o:title=""/>
                <o:lock v:ext="edit" aspectratio="f"/>
                <v:textbox style="mso-fit-shape-to-text:t;">
                  <w:txbxContent>
                    <w:p w14:paraId="5D144BDF">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附件八</w:t>
                      </w:r>
                    </w:p>
                  </w:txbxContent>
                </v:textbox>
                <w10:wrap type="square"/>
              </v:rect>
            </w:pict>
          </mc:Fallback>
        </mc:AlternateContent>
      </w:r>
    </w:p>
    <w:p w14:paraId="4206601F">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684864" behindDoc="1" locked="0" layoutInCell="1" allowOverlap="1">
            <wp:simplePos x="0" y="0"/>
            <wp:positionH relativeFrom="column">
              <wp:posOffset>-1184910</wp:posOffset>
            </wp:positionH>
            <wp:positionV relativeFrom="paragraph">
              <wp:posOffset>-902970</wp:posOffset>
            </wp:positionV>
            <wp:extent cx="7587615" cy="10822940"/>
            <wp:effectExtent l="0" t="0" r="13335" b="16510"/>
            <wp:wrapNone/>
            <wp:docPr id="70" name="图片 70" descr="295cdc35899ccfb00f423dcef8184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95cdc35899ccfb00f423dcef8184da"/>
                    <pic:cNvPicPr>
                      <a:picLocks noChangeAspect="1"/>
                    </pic:cNvPicPr>
                  </pic:nvPicPr>
                  <pic:blipFill>
                    <a:blip r:embed="rId52"/>
                    <a:stretch>
                      <a:fillRect/>
                    </a:stretch>
                  </pic:blipFill>
                  <pic:spPr>
                    <a:xfrm>
                      <a:off x="0" y="0"/>
                      <a:ext cx="7587615" cy="10822940"/>
                    </a:xfrm>
                    <a:prstGeom prst="rect">
                      <a:avLst/>
                    </a:prstGeom>
                  </pic:spPr>
                </pic:pic>
              </a:graphicData>
            </a:graphic>
          </wp:anchor>
        </w:drawing>
      </w:r>
    </w:p>
    <w:p w14:paraId="423BE339">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684864" behindDoc="1" locked="0" layoutInCell="1" allowOverlap="1">
            <wp:simplePos x="0" y="0"/>
            <wp:positionH relativeFrom="column">
              <wp:posOffset>-1148715</wp:posOffset>
            </wp:positionH>
            <wp:positionV relativeFrom="paragraph">
              <wp:posOffset>-914400</wp:posOffset>
            </wp:positionV>
            <wp:extent cx="7552055" cy="10772140"/>
            <wp:effectExtent l="0" t="0" r="10795" b="10160"/>
            <wp:wrapNone/>
            <wp:docPr id="71" name="图片 71" descr="d0ba60be38c318a798ac39738b78f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d0ba60be38c318a798ac39738b78ff9"/>
                    <pic:cNvPicPr>
                      <a:picLocks noChangeAspect="1"/>
                    </pic:cNvPicPr>
                  </pic:nvPicPr>
                  <pic:blipFill>
                    <a:blip r:embed="rId53"/>
                    <a:stretch>
                      <a:fillRect/>
                    </a:stretch>
                  </pic:blipFill>
                  <pic:spPr>
                    <a:xfrm>
                      <a:off x="0" y="0"/>
                      <a:ext cx="7552055" cy="10772140"/>
                    </a:xfrm>
                    <a:prstGeom prst="rect">
                      <a:avLst/>
                    </a:prstGeom>
                  </pic:spPr>
                </pic:pic>
              </a:graphicData>
            </a:graphic>
          </wp:anchor>
        </w:drawing>
      </w:r>
    </w:p>
    <w:p w14:paraId="7B0787E5">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684864" behindDoc="1" locked="0" layoutInCell="1" allowOverlap="1">
            <wp:simplePos x="0" y="0"/>
            <wp:positionH relativeFrom="column">
              <wp:posOffset>-1136650</wp:posOffset>
            </wp:positionH>
            <wp:positionV relativeFrom="paragraph">
              <wp:posOffset>-902970</wp:posOffset>
            </wp:positionV>
            <wp:extent cx="7545705" cy="10763250"/>
            <wp:effectExtent l="0" t="0" r="17145" b="0"/>
            <wp:wrapNone/>
            <wp:docPr id="72" name="图片 72" descr="9bf86ab2ca977e23fa0fffd21fe3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9bf86ab2ca977e23fa0fffd21fe369a"/>
                    <pic:cNvPicPr>
                      <a:picLocks noChangeAspect="1"/>
                    </pic:cNvPicPr>
                  </pic:nvPicPr>
                  <pic:blipFill>
                    <a:blip r:embed="rId54"/>
                    <a:stretch>
                      <a:fillRect/>
                    </a:stretch>
                  </pic:blipFill>
                  <pic:spPr>
                    <a:xfrm>
                      <a:off x="0" y="0"/>
                      <a:ext cx="7545705" cy="10763250"/>
                    </a:xfrm>
                    <a:prstGeom prst="rect">
                      <a:avLst/>
                    </a:prstGeom>
                  </pic:spPr>
                </pic:pic>
              </a:graphicData>
            </a:graphic>
          </wp:anchor>
        </w:drawing>
      </w:r>
    </w:p>
    <w:p w14:paraId="60D67428">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684864" behindDoc="1" locked="0" layoutInCell="1" allowOverlap="1">
            <wp:simplePos x="0" y="0"/>
            <wp:positionH relativeFrom="column">
              <wp:posOffset>-1321435</wp:posOffset>
            </wp:positionH>
            <wp:positionV relativeFrom="paragraph">
              <wp:posOffset>-926465</wp:posOffset>
            </wp:positionV>
            <wp:extent cx="7724140" cy="11017885"/>
            <wp:effectExtent l="0" t="0" r="10160" b="12065"/>
            <wp:wrapNone/>
            <wp:docPr id="73" name="图片 73" descr="cf3e9c21312f1f8f12eb91a831a7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f3e9c21312f1f8f12eb91a831a7b00"/>
                    <pic:cNvPicPr>
                      <a:picLocks noChangeAspect="1"/>
                    </pic:cNvPicPr>
                  </pic:nvPicPr>
                  <pic:blipFill>
                    <a:blip r:embed="rId55"/>
                    <a:stretch>
                      <a:fillRect/>
                    </a:stretch>
                  </pic:blipFill>
                  <pic:spPr>
                    <a:xfrm>
                      <a:off x="0" y="0"/>
                      <a:ext cx="7724140" cy="11017885"/>
                    </a:xfrm>
                    <a:prstGeom prst="rect">
                      <a:avLst/>
                    </a:prstGeom>
                  </pic:spPr>
                </pic:pic>
              </a:graphicData>
            </a:graphic>
          </wp:anchor>
        </w:drawing>
      </w:r>
    </w:p>
    <w:p w14:paraId="099E7D6C">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684864" behindDoc="1" locked="0" layoutInCell="1" allowOverlap="1">
            <wp:simplePos x="0" y="0"/>
            <wp:positionH relativeFrom="column">
              <wp:posOffset>-732790</wp:posOffset>
            </wp:positionH>
            <wp:positionV relativeFrom="paragraph">
              <wp:posOffset>-897255</wp:posOffset>
            </wp:positionV>
            <wp:extent cx="6951345" cy="10800080"/>
            <wp:effectExtent l="0" t="0" r="1905" b="1270"/>
            <wp:wrapNone/>
            <wp:docPr id="76" name="图片 76" descr="97302c29e9c8e820a52d8d8052496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97302c29e9c8e820a52d8d80524964e"/>
                    <pic:cNvPicPr>
                      <a:picLocks noChangeAspect="1"/>
                    </pic:cNvPicPr>
                  </pic:nvPicPr>
                  <pic:blipFill>
                    <a:blip r:embed="rId56"/>
                    <a:srcRect l="8191"/>
                    <a:stretch>
                      <a:fillRect/>
                    </a:stretch>
                  </pic:blipFill>
                  <pic:spPr>
                    <a:xfrm>
                      <a:off x="0" y="0"/>
                      <a:ext cx="6951345" cy="10800080"/>
                    </a:xfrm>
                    <a:prstGeom prst="rect">
                      <a:avLst/>
                    </a:prstGeom>
                  </pic:spPr>
                </pic:pic>
              </a:graphicData>
            </a:graphic>
          </wp:anchor>
        </w:drawing>
      </w:r>
    </w:p>
    <w:p w14:paraId="561A37FF">
      <w:pPr>
        <w:jc w:val="center"/>
        <w:rPr>
          <w:rFonts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697152" behindDoc="1" locked="0" layoutInCell="1" allowOverlap="1">
            <wp:simplePos x="0" y="0"/>
            <wp:positionH relativeFrom="column">
              <wp:posOffset>-1135380</wp:posOffset>
            </wp:positionH>
            <wp:positionV relativeFrom="paragraph">
              <wp:posOffset>-882650</wp:posOffset>
            </wp:positionV>
            <wp:extent cx="7557135" cy="10684510"/>
            <wp:effectExtent l="0" t="0" r="5715" b="2540"/>
            <wp:wrapNone/>
            <wp:docPr id="92" name="图片 92" descr="175206536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752065360407"/>
                    <pic:cNvPicPr>
                      <a:picLocks noChangeAspect="1"/>
                    </pic:cNvPicPr>
                  </pic:nvPicPr>
                  <pic:blipFill>
                    <a:blip r:embed="rId57"/>
                    <a:stretch>
                      <a:fillRect/>
                    </a:stretch>
                  </pic:blipFill>
                  <pic:spPr>
                    <a:xfrm>
                      <a:off x="0" y="0"/>
                      <a:ext cx="7557135" cy="10684510"/>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85888" behindDoc="0" locked="0" layoutInCell="1" allowOverlap="1">
                <wp:simplePos x="0" y="0"/>
                <wp:positionH relativeFrom="column">
                  <wp:posOffset>5095240</wp:posOffset>
                </wp:positionH>
                <wp:positionV relativeFrom="paragraph">
                  <wp:posOffset>-468630</wp:posOffset>
                </wp:positionV>
                <wp:extent cx="1828800" cy="1828800"/>
                <wp:effectExtent l="0" t="0" r="0" b="0"/>
                <wp:wrapSquare wrapText="bothSides"/>
                <wp:docPr id="84"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390CB82E">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附件九</w:t>
                            </w:r>
                          </w:p>
                        </w:txbxContent>
                      </wps:txbx>
                      <wps:bodyPr wrap="none" upright="0">
                        <a:spAutoFit/>
                      </wps:bodyPr>
                    </wps:wsp>
                  </a:graphicData>
                </a:graphic>
              </wp:anchor>
            </w:drawing>
          </mc:Choice>
          <mc:Fallback>
            <w:pict>
              <v:rect id="文本框 32" o:spid="_x0000_s1026" o:spt="1" style="position:absolute;left:0pt;margin-left:401.2pt;margin-top:-36.9pt;height:144pt;width:144pt;mso-wrap-distance-bottom:0pt;mso-wrap-distance-left:9pt;mso-wrap-distance-right:9pt;mso-wrap-distance-top:0pt;mso-wrap-style:none;z-index:251685888;mso-width-relative:page;mso-height-relative:page;" filled="f" stroked="f" coordsize="21600,21600" o:gfxdata="UEsDBAoAAAAAAIdO4kAAAAAAAAAAAAAAAAAEAAAAZHJzL1BLAwQUAAAACACHTuJAEw3NQ9kAAAAM&#10;AQAADwAAAGRycy9kb3ducmV2LnhtbE2Py07DMBBF90j8gzVIbFBrx0RQQpwuEA+pXVH6AW5sEot4&#10;HNlOWv6e6YouZ+bozrn1+uQHNtuYXEAFxVIAs9gG47BTsP96W6yApazR6CGgVfBrE6yb66taVyYc&#10;8dPOu9wxCsFUaQV9zmPFeWp763VahtEi3b5D9DrTGDtuoj5SuB+4FOKBe+2QPvR6tC+9bX92k1dQ&#10;vsvNq7sTW+fnSe83PIoP3Cp1e1OIZ2DZnvI/DGd9UoeGnA5hQpPYoGAlZEmogsXjPXU4E+JJ0Oqg&#10;QBalBN7U/LJE8wdQSwMEFAAAAAgAh07iQNDHqBK4AQAAbQMAAA4AAABkcnMvZTJvRG9jLnhtbK1T&#10;S27bMBDdF8gdCO5jyk5RCILloICRboI2QNoD0BRpEeAPHNqSL9DeoKtuuu+5fI4OKcVp000W3VAz&#10;w5k3895Q69vRGnKUEbR3LV0uKkqkE77Tbt/SL5/vrmtKIHHXceOdbOlJAr3dXL1ZD6GRK99708lI&#10;EMRBM4SW9imFhjEQvbQcFj5Ih5fKR8sTunHPusgHRLeGrarqHRt87EL0QgJgdDtd0hkxvgbQK6WF&#10;3HpxsNKlCTVKwxNSgl4HoJsyrVJSpE9KgUzEtBSZpnJiE7R3+WSbNW/2kYdei3kE/poRXnCyXDts&#10;eoHa8sTJIep/oKwW0YNXaSG8ZRORogiyWFYvtHnseZCFC0oN4SI6/D9Y8fH4EInuWlq/pcRxixs/&#10;f/92/vHr/PMruVllgYYADeY9hoc4e4BmZjuqaPMXeZCxiHq6iCrHRAQGl/WqrivUW+Ddk4M47Lk8&#10;REgfpLckGy2NuLUiJj/eQ5pSn1JyN+fvtDEY541xfwUQM0dYnniaMVtp3I3z4DvfnZDvgAtvqcP3&#10;TckhRL3vy8PIWBDeHxI2KH1z9VQyg+IWyuTzi8lr/tMvWc9/ye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w3NQ9kAAAAMAQAADwAAAAAAAAABACAAAAAiAAAAZHJzL2Rvd25yZXYueG1sUEsBAhQA&#10;FAAAAAgAh07iQNDHqBK4AQAAbQMAAA4AAAAAAAAAAQAgAAAAKAEAAGRycy9lMm9Eb2MueG1sUEsF&#10;BgAAAAAGAAYAWQEAAFIFAAAAAA==&#10;">
                <v:fill on="f" focussize="0,0"/>
                <v:stroke on="f"/>
                <v:imagedata o:title=""/>
                <o:lock v:ext="edit" aspectratio="f"/>
                <v:textbox style="mso-fit-shape-to-text:t;">
                  <w:txbxContent>
                    <w:p w14:paraId="390CB82E">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附件九</w:t>
                      </w:r>
                    </w:p>
                  </w:txbxContent>
                </v:textbox>
                <w10:wrap type="square"/>
              </v:rect>
            </w:pict>
          </mc:Fallback>
        </mc:AlternateContent>
      </w:r>
    </w:p>
    <w:p w14:paraId="252AF922">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699200" behindDoc="1" locked="0" layoutInCell="1" allowOverlap="1">
            <wp:simplePos x="0" y="0"/>
            <wp:positionH relativeFrom="column">
              <wp:posOffset>-1157605</wp:posOffset>
            </wp:positionH>
            <wp:positionV relativeFrom="paragraph">
              <wp:posOffset>-902335</wp:posOffset>
            </wp:positionV>
            <wp:extent cx="7567295" cy="10700385"/>
            <wp:effectExtent l="0" t="0" r="14605" b="5715"/>
            <wp:wrapNone/>
            <wp:docPr id="79" name="图片 79" descr="技术信息——检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技术信息——检测报告_01"/>
                    <pic:cNvPicPr>
                      <a:picLocks noChangeAspect="1"/>
                    </pic:cNvPicPr>
                  </pic:nvPicPr>
                  <pic:blipFill>
                    <a:blip r:embed="rId58"/>
                    <a:stretch>
                      <a:fillRect/>
                    </a:stretch>
                  </pic:blipFill>
                  <pic:spPr>
                    <a:xfrm>
                      <a:off x="0" y="0"/>
                      <a:ext cx="7567295" cy="10700385"/>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98176" behindDoc="0" locked="0" layoutInCell="1" allowOverlap="1">
                <wp:simplePos x="0" y="0"/>
                <wp:positionH relativeFrom="column">
                  <wp:posOffset>5095240</wp:posOffset>
                </wp:positionH>
                <wp:positionV relativeFrom="paragraph">
                  <wp:posOffset>-468630</wp:posOffset>
                </wp:positionV>
                <wp:extent cx="1828800" cy="1828800"/>
                <wp:effectExtent l="0" t="0" r="0" b="0"/>
                <wp:wrapSquare wrapText="bothSides"/>
                <wp:docPr id="7" name="文本框 3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1B55017">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w:t>
                            </w:r>
                          </w:p>
                        </w:txbxContent>
                      </wps:txbx>
                      <wps:bodyPr wrap="none" upright="0">
                        <a:spAutoFit/>
                      </wps:bodyPr>
                    </wps:wsp>
                  </a:graphicData>
                </a:graphic>
              </wp:anchor>
            </w:drawing>
          </mc:Choice>
          <mc:Fallback>
            <w:pict>
              <v:rect id="文本框 32" o:spid="_x0000_s1026" o:spt="1" style="position:absolute;left:0pt;margin-left:401.2pt;margin-top:-36.9pt;height:144pt;width:144pt;mso-wrap-distance-bottom:0pt;mso-wrap-distance-left:9pt;mso-wrap-distance-right:9pt;mso-wrap-distance-top:0pt;mso-wrap-style:none;z-index:251698176;mso-width-relative:page;mso-height-relative:page;" filled="f" stroked="f" coordsize="21600,21600" o:gfxdata="UEsDBAoAAAAAAIdO4kAAAAAAAAAAAAAAAAAEAAAAZHJzL1BLAwQUAAAACACHTuJAEw3NQ9kAAAAM&#10;AQAADwAAAGRycy9kb3ducmV2LnhtbE2Py07DMBBF90j8gzVIbFBrx0RQQpwuEA+pXVH6AW5sEot4&#10;HNlOWv6e6YouZ+bozrn1+uQHNtuYXEAFxVIAs9gG47BTsP96W6yApazR6CGgVfBrE6yb66taVyYc&#10;8dPOu9wxCsFUaQV9zmPFeWp763VahtEi3b5D9DrTGDtuoj5SuB+4FOKBe+2QPvR6tC+9bX92k1dQ&#10;vsvNq7sTW+fnSe83PIoP3Cp1e1OIZ2DZnvI/DGd9UoeGnA5hQpPYoGAlZEmogsXjPXU4E+JJ0Oqg&#10;QBalBN7U/LJE8wdQSwMEFAAAAAgAh07iQBkbPWy3AQAAbAMAAA4AAABkcnMvZTJvRG9jLnhtbK1T&#10;zY7TMBC+I/EOlu80aZGgipqukKrlgmClhQdwHbux5D/NuE36AvAGnLhw57n6HIydbBeWyx64ODPj&#10;mW/m+8bZ3IzOspMCNMG3fLmoOVNehs74Q8u/fL59teYMk/CdsMGrlp8V8pvtyxebITZqFfpgOwWM&#10;QDw2Q2x5n1Jsqgplr5zARYjK06UO4EQiFw5VB2IgdGerVV2/qYYAXYQgFSJFd9MlnxHhOYBBayPV&#10;LsijUz5NqKCsSEQJexORb8u0WiuZPmmNKjHbcmKayklNyN7ns9puRHMAEXsj5xHEc0Z4wskJ46np&#10;FWonkmBHMP9AOSMhYNBpIYOrJiJFEWKxrJ9oc9+LqAoXkhrjVXT8f7Dy4+kOmOla/pYzLxwt/PL9&#10;2+XHr8vPr+z1KuszRGwo7T7ewewhmZnsqMHlL9FgY9H0fNVUjYlJCi7Xq/W6Jrkl3T04hFM9lkfA&#10;9F4Fx7LRcqClFS3F6QOmKfUhJXfz4dZYS3HRWP9XgDBzpMoTTzNmK437cR58H7oz0R1o3y339Lw5&#10;O0Ywh768i4yF8d0xUYPSN1dPJTMoLaFMPj+YvOU//ZL1+JN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TDc1D2QAAAAwBAAAPAAAAAAAAAAEAIAAAACIAAABkcnMvZG93bnJldi54bWxQSwECFAAU&#10;AAAACACHTuJAGRs9bLcBAABsAwAADgAAAAAAAAABACAAAAAoAQAAZHJzL2Uyb0RvYy54bWxQSwUG&#10;AAAAAAYABgBZAQAAUQUAAAAA&#10;">
                <v:fill on="f" focussize="0,0"/>
                <v:stroke on="f"/>
                <v:imagedata o:title=""/>
                <o:lock v:ext="edit" aspectratio="f"/>
                <v:textbox style="mso-fit-shape-to-text:t;">
                  <w:txbxContent>
                    <w:p w14:paraId="61B55017">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w:t>
                      </w:r>
                    </w:p>
                  </w:txbxContent>
                </v:textbox>
                <w10:wrap type="square"/>
              </v:rect>
            </w:pict>
          </mc:Fallback>
        </mc:AlternateContent>
      </w:r>
    </w:p>
    <w:p w14:paraId="6115BDEE">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700224" behindDoc="1" locked="0" layoutInCell="1" allowOverlap="1">
            <wp:simplePos x="0" y="0"/>
            <wp:positionH relativeFrom="column">
              <wp:posOffset>-1127760</wp:posOffset>
            </wp:positionH>
            <wp:positionV relativeFrom="paragraph">
              <wp:posOffset>-912495</wp:posOffset>
            </wp:positionV>
            <wp:extent cx="7541260" cy="10663555"/>
            <wp:effectExtent l="0" t="0" r="2540" b="4445"/>
            <wp:wrapNone/>
            <wp:docPr id="83" name="图片 83" descr="技术信息——检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技术信息——检测报告_02"/>
                    <pic:cNvPicPr>
                      <a:picLocks noChangeAspect="1"/>
                    </pic:cNvPicPr>
                  </pic:nvPicPr>
                  <pic:blipFill>
                    <a:blip r:embed="rId59"/>
                    <a:stretch>
                      <a:fillRect/>
                    </a:stretch>
                  </pic:blipFill>
                  <pic:spPr>
                    <a:xfrm>
                      <a:off x="0" y="0"/>
                      <a:ext cx="7541260" cy="10663555"/>
                    </a:xfrm>
                    <a:prstGeom prst="rect">
                      <a:avLst/>
                    </a:prstGeom>
                  </pic:spPr>
                </pic:pic>
              </a:graphicData>
            </a:graphic>
          </wp:anchor>
        </w:drawing>
      </w:r>
    </w:p>
    <w:p w14:paraId="337A788D">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699200" behindDoc="1" locked="0" layoutInCell="1" allowOverlap="1">
            <wp:simplePos x="0" y="0"/>
            <wp:positionH relativeFrom="column">
              <wp:posOffset>-1143000</wp:posOffset>
            </wp:positionH>
            <wp:positionV relativeFrom="paragraph">
              <wp:posOffset>-897255</wp:posOffset>
            </wp:positionV>
            <wp:extent cx="7556500" cy="10685145"/>
            <wp:effectExtent l="0" t="0" r="6350" b="1905"/>
            <wp:wrapNone/>
            <wp:docPr id="85" name="图片 85" descr="技术信息——检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技术信息——检测报告_03"/>
                    <pic:cNvPicPr>
                      <a:picLocks noChangeAspect="1"/>
                    </pic:cNvPicPr>
                  </pic:nvPicPr>
                  <pic:blipFill>
                    <a:blip r:embed="rId60"/>
                    <a:stretch>
                      <a:fillRect/>
                    </a:stretch>
                  </pic:blipFill>
                  <pic:spPr>
                    <a:xfrm>
                      <a:off x="0" y="0"/>
                      <a:ext cx="7556500" cy="10685145"/>
                    </a:xfrm>
                    <a:prstGeom prst="rect">
                      <a:avLst/>
                    </a:prstGeom>
                  </pic:spPr>
                </pic:pic>
              </a:graphicData>
            </a:graphic>
          </wp:anchor>
        </w:drawing>
      </w:r>
    </w:p>
    <w:p w14:paraId="43F0F07B">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699200" behindDoc="1" locked="0" layoutInCell="1" allowOverlap="1">
            <wp:simplePos x="0" y="0"/>
            <wp:positionH relativeFrom="column">
              <wp:posOffset>-1127760</wp:posOffset>
            </wp:positionH>
            <wp:positionV relativeFrom="paragraph">
              <wp:posOffset>-887095</wp:posOffset>
            </wp:positionV>
            <wp:extent cx="7531735" cy="10650220"/>
            <wp:effectExtent l="0" t="0" r="12065" b="17780"/>
            <wp:wrapNone/>
            <wp:docPr id="93" name="图片 93" descr="技术信息——检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技术信息——检测报告_04"/>
                    <pic:cNvPicPr>
                      <a:picLocks noChangeAspect="1"/>
                    </pic:cNvPicPr>
                  </pic:nvPicPr>
                  <pic:blipFill>
                    <a:blip r:embed="rId61"/>
                    <a:stretch>
                      <a:fillRect/>
                    </a:stretch>
                  </pic:blipFill>
                  <pic:spPr>
                    <a:xfrm>
                      <a:off x="0" y="0"/>
                      <a:ext cx="7531735" cy="10650220"/>
                    </a:xfrm>
                    <a:prstGeom prst="rect">
                      <a:avLst/>
                    </a:prstGeom>
                  </pic:spPr>
                </pic:pic>
              </a:graphicData>
            </a:graphic>
          </wp:anchor>
        </w:drawing>
      </w:r>
    </w:p>
    <w:p w14:paraId="4F7F9A7E">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699200" behindDoc="1" locked="0" layoutInCell="1" allowOverlap="1">
            <wp:simplePos x="0" y="0"/>
            <wp:positionH relativeFrom="column">
              <wp:posOffset>-1143000</wp:posOffset>
            </wp:positionH>
            <wp:positionV relativeFrom="paragraph">
              <wp:posOffset>-892175</wp:posOffset>
            </wp:positionV>
            <wp:extent cx="7567295" cy="10700385"/>
            <wp:effectExtent l="0" t="0" r="14605" b="5715"/>
            <wp:wrapNone/>
            <wp:docPr id="94" name="图片 94" descr="技术信息——检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技术信息——检测报告_05"/>
                    <pic:cNvPicPr>
                      <a:picLocks noChangeAspect="1"/>
                    </pic:cNvPicPr>
                  </pic:nvPicPr>
                  <pic:blipFill>
                    <a:blip r:embed="rId62"/>
                    <a:stretch>
                      <a:fillRect/>
                    </a:stretch>
                  </pic:blipFill>
                  <pic:spPr>
                    <a:xfrm>
                      <a:off x="0" y="0"/>
                      <a:ext cx="7567295" cy="10700385"/>
                    </a:xfrm>
                    <a:prstGeom prst="rect">
                      <a:avLst/>
                    </a:prstGeom>
                  </pic:spPr>
                </pic:pic>
              </a:graphicData>
            </a:graphic>
          </wp:anchor>
        </w:drawing>
      </w:r>
    </w:p>
    <w:p w14:paraId="449AFE91">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701248" behindDoc="1" locked="0" layoutInCell="1" allowOverlap="1">
            <wp:simplePos x="0" y="0"/>
            <wp:positionH relativeFrom="column">
              <wp:posOffset>-1153160</wp:posOffset>
            </wp:positionH>
            <wp:positionV relativeFrom="paragraph">
              <wp:posOffset>-907415</wp:posOffset>
            </wp:positionV>
            <wp:extent cx="7576820" cy="10713720"/>
            <wp:effectExtent l="0" t="0" r="5080" b="11430"/>
            <wp:wrapNone/>
            <wp:docPr id="95" name="图片 95" descr="技术信息——检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技术信息——检测报告_06"/>
                    <pic:cNvPicPr>
                      <a:picLocks noChangeAspect="1"/>
                    </pic:cNvPicPr>
                  </pic:nvPicPr>
                  <pic:blipFill>
                    <a:blip r:embed="rId63"/>
                    <a:stretch>
                      <a:fillRect/>
                    </a:stretch>
                  </pic:blipFill>
                  <pic:spPr>
                    <a:xfrm>
                      <a:off x="0" y="0"/>
                      <a:ext cx="7576820" cy="10713720"/>
                    </a:xfrm>
                    <a:prstGeom prst="rect">
                      <a:avLst/>
                    </a:prstGeom>
                  </pic:spPr>
                </pic:pic>
              </a:graphicData>
            </a:graphic>
          </wp:anchor>
        </w:drawing>
      </w:r>
    </w:p>
    <w:p w14:paraId="55EB0257">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702272" behindDoc="1" locked="0" layoutInCell="1" allowOverlap="1">
            <wp:simplePos x="0" y="0"/>
            <wp:positionH relativeFrom="column">
              <wp:posOffset>-1157605</wp:posOffset>
            </wp:positionH>
            <wp:positionV relativeFrom="paragraph">
              <wp:posOffset>-907415</wp:posOffset>
            </wp:positionV>
            <wp:extent cx="7582535" cy="10721975"/>
            <wp:effectExtent l="0" t="0" r="18415" b="3175"/>
            <wp:wrapNone/>
            <wp:docPr id="96" name="图片 96" descr="技术信息——检测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技术信息——检测报告_07"/>
                    <pic:cNvPicPr>
                      <a:picLocks noChangeAspect="1"/>
                    </pic:cNvPicPr>
                  </pic:nvPicPr>
                  <pic:blipFill>
                    <a:blip r:embed="rId64"/>
                    <a:stretch>
                      <a:fillRect/>
                    </a:stretch>
                  </pic:blipFill>
                  <pic:spPr>
                    <a:xfrm>
                      <a:off x="0" y="0"/>
                      <a:ext cx="7582535" cy="10721975"/>
                    </a:xfrm>
                    <a:prstGeom prst="rect">
                      <a:avLst/>
                    </a:prstGeom>
                  </pic:spPr>
                </pic:pic>
              </a:graphicData>
            </a:graphic>
          </wp:anchor>
        </w:drawing>
      </w:r>
    </w:p>
    <w:p w14:paraId="1B585EB3">
      <w:pPr>
        <w:jc w:val="center"/>
        <w:rPr>
          <w:rFonts w:hint="eastAsia"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黑体" w:hAnsi="Times New Roman" w:eastAsia="黑体" w:cs="黑体"/>
          <w:b/>
          <w:color w:val="000000"/>
          <w:kern w:val="2"/>
          <w:sz w:val="24"/>
          <w:szCs w:val="24"/>
          <w:lang w:val="en-US" w:eastAsia="zh-CN" w:bidi="ar-SA"/>
        </w:rPr>
        <w:drawing>
          <wp:anchor distT="0" distB="0" distL="114300" distR="114300" simplePos="0" relativeHeight="251699200" behindDoc="1" locked="0" layoutInCell="1" allowOverlap="1">
            <wp:simplePos x="0" y="0"/>
            <wp:positionH relativeFrom="column">
              <wp:posOffset>-1143000</wp:posOffset>
            </wp:positionH>
            <wp:positionV relativeFrom="paragraph">
              <wp:posOffset>-897255</wp:posOffset>
            </wp:positionV>
            <wp:extent cx="7567295" cy="10700385"/>
            <wp:effectExtent l="0" t="0" r="14605" b="5715"/>
            <wp:wrapNone/>
            <wp:docPr id="97" name="图片 97" descr="技术信息——检测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技术信息——检测报告_08"/>
                    <pic:cNvPicPr>
                      <a:picLocks noChangeAspect="1"/>
                    </pic:cNvPicPr>
                  </pic:nvPicPr>
                  <pic:blipFill>
                    <a:blip r:embed="rId65"/>
                    <a:stretch>
                      <a:fillRect/>
                    </a:stretch>
                  </pic:blipFill>
                  <pic:spPr>
                    <a:xfrm>
                      <a:off x="0" y="0"/>
                      <a:ext cx="7567295" cy="10700385"/>
                    </a:xfrm>
                    <a:prstGeom prst="rect">
                      <a:avLst/>
                    </a:prstGeom>
                  </pic:spPr>
                </pic:pic>
              </a:graphicData>
            </a:graphic>
          </wp:anchor>
        </w:drawing>
      </w:r>
    </w:p>
    <w:p w14:paraId="33CC9161">
      <w:pPr>
        <w:jc w:val="center"/>
        <w:rPr>
          <w:rFonts w:ascii="黑体" w:hAnsi="Times New Roman" w:eastAsia="黑体" w:cs="黑体"/>
          <w:b/>
          <w:color w:val="000000"/>
          <w:kern w:val="2"/>
          <w:sz w:val="24"/>
          <w:szCs w:val="24"/>
          <w:lang w:val="en-US" w:eastAsia="zh-CN" w:bidi="ar-SA"/>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704320" behindDoc="1" locked="0" layoutInCell="1" allowOverlap="1">
            <wp:simplePos x="0" y="0"/>
            <wp:positionH relativeFrom="column">
              <wp:posOffset>-1133475</wp:posOffset>
            </wp:positionH>
            <wp:positionV relativeFrom="paragraph">
              <wp:posOffset>-887095</wp:posOffset>
            </wp:positionV>
            <wp:extent cx="7540625" cy="10026650"/>
            <wp:effectExtent l="0" t="0" r="3175" b="12700"/>
            <wp:wrapNone/>
            <wp:docPr id="101" name="图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
                    <pic:cNvPicPr>
                      <a:picLocks noChangeAspect="1"/>
                    </pic:cNvPicPr>
                  </pic:nvPicPr>
                  <pic:blipFill>
                    <a:blip r:embed="rId66"/>
                    <a:stretch>
                      <a:fillRect/>
                    </a:stretch>
                  </pic:blipFill>
                  <pic:spPr>
                    <a:xfrm>
                      <a:off x="0" y="0"/>
                      <a:ext cx="7540625" cy="10026650"/>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703296" behindDoc="0" locked="0" layoutInCell="1" allowOverlap="1">
                <wp:simplePos x="0" y="0"/>
                <wp:positionH relativeFrom="column">
                  <wp:posOffset>4775200</wp:posOffset>
                </wp:positionH>
                <wp:positionV relativeFrom="paragraph">
                  <wp:posOffset>-648335</wp:posOffset>
                </wp:positionV>
                <wp:extent cx="869950" cy="1828800"/>
                <wp:effectExtent l="0" t="0" r="0" b="0"/>
                <wp:wrapSquare wrapText="bothSides"/>
                <wp:docPr id="54" name="文本框 32"/>
                <wp:cNvGraphicFramePr/>
                <a:graphic xmlns:a="http://schemas.openxmlformats.org/drawingml/2006/main">
                  <a:graphicData uri="http://schemas.microsoft.com/office/word/2010/wordprocessingShape">
                    <wps:wsp>
                      <wps:cNvSpPr/>
                      <wps:spPr>
                        <a:xfrm>
                          <a:off x="0" y="0"/>
                          <a:ext cx="869950" cy="1828800"/>
                        </a:xfrm>
                        <a:prstGeom prst="rect">
                          <a:avLst/>
                        </a:prstGeom>
                        <a:noFill/>
                        <a:ln>
                          <a:noFill/>
                        </a:ln>
                      </wps:spPr>
                      <wps:txbx>
                        <w:txbxContent>
                          <w:p w14:paraId="131EBE07">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附件十一</w:t>
                            </w:r>
                          </w:p>
                        </w:txbxContent>
                      </wps:txbx>
                      <wps:bodyPr wrap="square" upright="0">
                        <a:spAutoFit/>
                      </wps:bodyPr>
                    </wps:wsp>
                  </a:graphicData>
                </a:graphic>
              </wp:anchor>
            </w:drawing>
          </mc:Choice>
          <mc:Fallback>
            <w:pict>
              <v:rect id="文本框 32" o:spid="_x0000_s1026" o:spt="1" style="position:absolute;left:0pt;margin-left:376pt;margin-top:-51.05pt;height:144pt;width:68.5pt;mso-wrap-distance-bottom:0pt;mso-wrap-distance-left:9pt;mso-wrap-distance-right:9pt;mso-wrap-distance-top:0pt;z-index:251703296;mso-width-relative:page;mso-height-relative:page;" filled="f" stroked="f" coordsize="21600,21600" o:gfxdata="UEsDBAoAAAAAAIdO4kAAAAAAAAAAAAAAAAAEAAAAZHJzL1BLAwQUAAAACACHTuJAlGs0YNsAAAAM&#10;AQAADwAAAGRycy9kb3ducmV2LnhtbE2Py07DMBBF90j8gzVIbFBrJ6JtEuJ0UUAq3RH6AU4yJKHx&#10;OIrd1993WMFyZo7unJuvL3YQJ5x870hDNFcgkGrX9NRq2H+9zxIQPhhqzOAINVzRw7q4v8tN1rgz&#10;feKpDK3gEPKZ0dCFMGZS+rpDa/zcjUh8+3aTNYHHqZXNZM4cbgcZK7WU1vTEHzoz4qbD+lAerYaP&#10;3fNuv9nKn0Pavz5tV6WS1fJN68eHSL2ACHgJfzD86rM6FOxUuSM1XgwaVouYuwQNs0jFEQhGkiTl&#10;VcVsskhBFrn8X6K4AVBLAwQUAAAACACHTuJA0dgHir8BAABuAwAADgAAAGRycy9lMm9Eb2MueG1s&#10;rVNLbtswEN0X6B0I7mvJbhMoguWggJFuijZAmgPQFGURED+doSz5Au0Nuuqm+57L5+iQUp0m2WTR&#10;DTUcDt+894ZaX4+mYwcFqJ2t+HKRc6asdLW2+4rff7l5U3CGQdhadM6qih8V8uvN61frwZdq5VrX&#10;1QoYgVgsB1/xNgRfZhnKVhmBC+eVpcPGgRGBtrDPahADoZsuW+X5ZTY4qD04qRApu50O+YwILwF0&#10;TaOl2jrZG2XDhAqqE4EkYas98k1i2zRKhs9NgyqwruKkNKSVmlC8i2u2WYtyD8K3Ws4UxEsoPNFk&#10;hLbU9Ay1FUGwHvQzKKMlOHRNWEhnsklIcoRULPMn3ty1wqukhaxGfzYd/x+s/HS4Babril+848wK&#10;QxM//fh++vn79Osbe7uKBg0eS6q787cw75DCqHZswMQv6WBjMvV4NlWNgUlKFpdXVxdkt6SjZbEq&#10;ijy5nj3c9oDhg3KGxaDiQENLXorDRwzUkUr/lsRm1t3orkuD6+yjBBXGTBYJTxRjFMbdOPPeufpI&#10;cgead8Xxay9AcdZ70Ps2vYyIhv59H6hF6hzvT5dmWBpDIjQ/mTjnf/ep6uE32f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lGs0YNsAAAAMAQAADwAAAAAAAAABACAAAAAiAAAAZHJzL2Rvd25yZXYu&#10;eG1sUEsBAhQAFAAAAAgAh07iQNHYB4q/AQAAbgMAAA4AAAAAAAAAAQAgAAAAKgEAAGRycy9lMm9E&#10;b2MueG1sUEsFBgAAAAAGAAYAWQEAAFsFAAAAAA==&#10;">
                <v:fill on="f" focussize="0,0"/>
                <v:stroke on="f"/>
                <v:imagedata o:title=""/>
                <o:lock v:ext="edit" aspectratio="f"/>
                <v:textbox style="mso-fit-shape-to-text:t;">
                  <w:txbxContent>
                    <w:p w14:paraId="131EBE07">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附件十一</w:t>
                      </w:r>
                    </w:p>
                  </w:txbxContent>
                </v:textbox>
                <w10:wrap type="square"/>
              </v:rect>
            </w:pict>
          </mc:Fallback>
        </mc:AlternateContent>
      </w:r>
    </w:p>
    <w:p w14:paraId="1131F2F6">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704320" behindDoc="1" locked="0" layoutInCell="1" allowOverlap="1">
            <wp:simplePos x="0" y="0"/>
            <wp:positionH relativeFrom="column">
              <wp:posOffset>-1133475</wp:posOffset>
            </wp:positionH>
            <wp:positionV relativeFrom="paragraph">
              <wp:posOffset>-898525</wp:posOffset>
            </wp:positionV>
            <wp:extent cx="7566660" cy="10699750"/>
            <wp:effectExtent l="0" t="0" r="15240" b="6350"/>
            <wp:wrapNone/>
            <wp:docPr id="103" name="图片 103" descr="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_01"/>
                    <pic:cNvPicPr>
                      <a:picLocks noChangeAspect="1"/>
                    </pic:cNvPicPr>
                  </pic:nvPicPr>
                  <pic:blipFill>
                    <a:blip r:embed="rId67"/>
                    <a:stretch>
                      <a:fillRect/>
                    </a:stretch>
                  </pic:blipFill>
                  <pic:spPr>
                    <a:xfrm>
                      <a:off x="0" y="0"/>
                      <a:ext cx="7566660" cy="10699750"/>
                    </a:xfrm>
                    <a:prstGeom prst="rect">
                      <a:avLst/>
                    </a:prstGeom>
                  </pic:spPr>
                </pic:pic>
              </a:graphicData>
            </a:graphic>
          </wp:anchor>
        </w:drawing>
      </w:r>
    </w:p>
    <w:p w14:paraId="311D3ACA">
      <w:pPr>
        <w:jc w:val="center"/>
        <w:rPr>
          <w:rFonts w:hint="eastAsia" w:eastAsia="宋体"/>
          <w:b/>
          <w:bCs/>
          <w:sz w:val="32"/>
          <w:szCs w:val="32"/>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b/>
          <w:bCs/>
          <w:sz w:val="32"/>
          <w:szCs w:val="32"/>
          <w:lang w:eastAsia="zh-CN"/>
        </w:rPr>
        <w:drawing>
          <wp:anchor distT="0" distB="0" distL="114300" distR="114300" simplePos="0" relativeHeight="251704320" behindDoc="1" locked="0" layoutInCell="1" allowOverlap="1">
            <wp:simplePos x="0" y="0"/>
            <wp:positionH relativeFrom="column">
              <wp:posOffset>-1143000</wp:posOffset>
            </wp:positionH>
            <wp:positionV relativeFrom="paragraph">
              <wp:posOffset>-888365</wp:posOffset>
            </wp:positionV>
            <wp:extent cx="7570470" cy="10704830"/>
            <wp:effectExtent l="0" t="0" r="11430" b="1270"/>
            <wp:wrapNone/>
            <wp:docPr id="104" name="图片 104" descr="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_01"/>
                    <pic:cNvPicPr>
                      <a:picLocks noChangeAspect="1"/>
                    </pic:cNvPicPr>
                  </pic:nvPicPr>
                  <pic:blipFill>
                    <a:blip r:embed="rId68"/>
                    <a:stretch>
                      <a:fillRect/>
                    </a:stretch>
                  </pic:blipFill>
                  <pic:spPr>
                    <a:xfrm>
                      <a:off x="0" y="0"/>
                      <a:ext cx="7570470" cy="10704830"/>
                    </a:xfrm>
                    <a:prstGeom prst="rect">
                      <a:avLst/>
                    </a:prstGeom>
                  </pic:spPr>
                </pic:pic>
              </a:graphicData>
            </a:graphic>
          </wp:anchor>
        </w:drawing>
      </w:r>
    </w:p>
    <w:p w14:paraId="38BE3DAA">
      <w:pPr>
        <w:jc w:val="center"/>
        <w:rPr>
          <w:rFonts w:hint="eastAsia"/>
          <w:b/>
          <w:bCs/>
          <w:sz w:val="32"/>
          <w:szCs w:val="32"/>
        </w:rPr>
      </w:pPr>
      <w:r>
        <w:rPr>
          <w:rFonts w:hint="eastAsia" w:ascii="Times New Roman" w:hAnsi="Times New Roman" w:eastAsia="宋体" w:cs="Times New Roman"/>
          <w:sz w:val="28"/>
          <w:szCs w:val="28"/>
          <w:lang w:eastAsia="zh-CN"/>
        </w:rPr>
        <w:drawing>
          <wp:anchor distT="0" distB="0" distL="114300" distR="114300" simplePos="0" relativeHeight="251686912" behindDoc="1" locked="0" layoutInCell="1" allowOverlap="1">
            <wp:simplePos x="0" y="0"/>
            <wp:positionH relativeFrom="column">
              <wp:posOffset>-2689860</wp:posOffset>
            </wp:positionH>
            <wp:positionV relativeFrom="paragraph">
              <wp:posOffset>663575</wp:posOffset>
            </wp:positionV>
            <wp:extent cx="10688320" cy="7562215"/>
            <wp:effectExtent l="0" t="0" r="635" b="17780"/>
            <wp:wrapNone/>
            <wp:docPr id="57" name="图片 57" descr="9d6aec9a11b59309f3783b7f8d3c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9d6aec9a11b59309f3783b7f8d3c87a"/>
                    <pic:cNvPicPr>
                      <a:picLocks noChangeAspect="1"/>
                    </pic:cNvPicPr>
                  </pic:nvPicPr>
                  <pic:blipFill>
                    <a:blip r:embed="rId69"/>
                    <a:stretch>
                      <a:fillRect/>
                    </a:stretch>
                  </pic:blipFill>
                  <pic:spPr>
                    <a:xfrm rot="5400000">
                      <a:off x="0" y="0"/>
                      <a:ext cx="10688320" cy="7562215"/>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680768" behindDoc="0" locked="0" layoutInCell="1" allowOverlap="1">
                <wp:simplePos x="0" y="0"/>
                <wp:positionH relativeFrom="column">
                  <wp:posOffset>5023485</wp:posOffset>
                </wp:positionH>
                <wp:positionV relativeFrom="paragraph">
                  <wp:posOffset>-635635</wp:posOffset>
                </wp:positionV>
                <wp:extent cx="869950" cy="1828800"/>
                <wp:effectExtent l="0" t="0" r="0" b="0"/>
                <wp:wrapSquare wrapText="bothSides"/>
                <wp:docPr id="3" name="文本框 32"/>
                <wp:cNvGraphicFramePr/>
                <a:graphic xmlns:a="http://schemas.openxmlformats.org/drawingml/2006/main">
                  <a:graphicData uri="http://schemas.microsoft.com/office/word/2010/wordprocessingShape">
                    <wps:wsp>
                      <wps:cNvSpPr/>
                      <wps:spPr>
                        <a:xfrm>
                          <a:off x="0" y="0"/>
                          <a:ext cx="869950" cy="1828800"/>
                        </a:xfrm>
                        <a:prstGeom prst="rect">
                          <a:avLst/>
                        </a:prstGeom>
                        <a:noFill/>
                        <a:ln>
                          <a:noFill/>
                        </a:ln>
                      </wps:spPr>
                      <wps:txbx>
                        <w:txbxContent>
                          <w:p w14:paraId="0472D63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附件十二</w:t>
                            </w:r>
                          </w:p>
                        </w:txbxContent>
                      </wps:txbx>
                      <wps:bodyPr wrap="square" upright="0">
                        <a:spAutoFit/>
                      </wps:bodyPr>
                    </wps:wsp>
                  </a:graphicData>
                </a:graphic>
              </wp:anchor>
            </w:drawing>
          </mc:Choice>
          <mc:Fallback>
            <w:pict>
              <v:rect id="文本框 32" o:spid="_x0000_s1026" o:spt="1" style="position:absolute;left:0pt;margin-left:395.55pt;margin-top:-50.05pt;height:144pt;width:68.5pt;mso-wrap-distance-bottom:0pt;mso-wrap-distance-left:9pt;mso-wrap-distance-right:9pt;mso-wrap-distance-top:0pt;z-index:251680768;mso-width-relative:page;mso-height-relative:page;" filled="f" stroked="f" coordsize="21600,21600" o:gfxdata="UEsDBAoAAAAAAIdO4kAAAAAAAAAAAAAAAAAEAAAAZHJzL1BLAwQUAAAACACHTuJA9BHHmNkAAAAM&#10;AQAADwAAAGRycy9kb3ducmV2LnhtbE2Py07DMBBF90j8gzVIbFBru0LNgzhdFJBKd4R+gJMMSWg8&#10;jmL3wd8zrGB3R3N050yxubpRnHEOgycDeqlAIDW+HagzcPh4XaQgQrTU2tETGvjGAJvy9qaweesv&#10;9I7nKnaCSyjk1kAf45RLGZoenQ1LPyHx7tPPzkYe5062s71wuRvlSqm1dHYgvtDbCbc9Nsfq5Ay8&#10;7R/3h+1Ofh2z4flhl1RK1usXY+7vtHoCEfEa/2D41Wd1KNmp9idqgxgNJJnWjBpYaKU4MZKtUg41&#10;s2mSgSwL+f+J8gdQSwMEFAAAAAgAh07iQNp6b/q+AQAAbQMAAA4AAABkcnMvZTJvRG9jLnhtbK1T&#10;S27bMBDdF+gdCO5ryQ4aKILloICRbookQNoD0BRlERA/naEs+QLJDbrqpvuey+fokFKdNt1k0Q01&#10;HA7fvPeGWl+PpmMHBaidrfhykXOmrHS1tvuKf/l8867gDIOwteicVRU/KuTXm7dv1oMv1cq1rqsV&#10;MAKxWA6+4m0IvswylK0yAhfOK0uHjQMjAm1hn9UgBkI3XbbK88tscFB7cFIhUnY7HfIZEV4D6JpG&#10;S7V1sjfKhgkVVCcCScJWe+SbxLZplAx3TYMqsK7ipDSklZpQvItrtlmLcg/Ct1rOFMRrKLzQZIS2&#10;1PQMtRVBsB70P1BGS3DomrCQzmSTkOQIqVjmL7x5aIVXSQtZjf5sOv4/WHl7uAem64pfcGaFoYGf&#10;vj2dvv88/XhkF6voz+CxpLIHfw/zDimMYscGTPySDDYmT49nT9UYmKRkcXl19Z7clnS0LFZFkSfT&#10;s+fbHjB8VM6wGFQcaGbJSnH4hIE6UunvktjMuhvddWlunf0rQYUxk0XCE8UYhXE3zrx3rj6S2oHG&#10;XXH82gtQnPUe9L5NDyOiof/QB2qROsf706UZlqaQCM0vJo75z32qev5LNr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BHHmNkAAAAMAQAADwAAAAAAAAABACAAAAAiAAAAZHJzL2Rvd25yZXYueG1s&#10;UEsBAhQAFAAAAAgAh07iQNp6b/q+AQAAbQMAAA4AAAAAAAAAAQAgAAAAKAEAAGRycy9lMm9Eb2Mu&#10;eG1sUEsFBgAAAAAGAAYAWQEAAFgFAAAAAA==&#10;">
                <v:fill on="f" focussize="0,0"/>
                <v:stroke on="f"/>
                <v:imagedata o:title=""/>
                <o:lock v:ext="edit" aspectratio="f"/>
                <v:textbox style="mso-fit-shape-to-text:t;">
                  <w:txbxContent>
                    <w:p w14:paraId="0472D639">
                      <w:pPr>
                        <w:pStyle w:val="35"/>
                        <w:wordWrap w:val="0"/>
                        <w:spacing w:line="360" w:lineRule="auto"/>
                        <w:jc w:val="right"/>
                        <w:rPr>
                          <w:rFonts w:hint="default" w:ascii="Times New Roman" w:cs="Times New Roman"/>
                          <w:b w:val="0"/>
                          <w:bCs w:val="0"/>
                          <w:sz w:val="24"/>
                          <w:szCs w:val="24"/>
                          <w:lang w:val="en-US" w:eastAsia="zh-CN"/>
                        </w:rPr>
                      </w:pPr>
                      <w:r>
                        <w:rPr>
                          <w:rFonts w:hint="eastAsia" w:ascii="Times New Roman" w:cs="Times New Roman"/>
                          <w:b w:val="0"/>
                          <w:bCs w:val="0"/>
                          <w:sz w:val="24"/>
                          <w:szCs w:val="24"/>
                          <w:lang w:val="en-US" w:eastAsia="zh-CN"/>
                        </w:rPr>
                        <w:t>附件十二</w:t>
                      </w:r>
                    </w:p>
                  </w:txbxContent>
                </v:textbox>
                <w10:wrap type="square"/>
              </v:rect>
            </w:pict>
          </mc:Fallback>
        </mc:AlternateContent>
      </w:r>
    </w:p>
    <w:p w14:paraId="07A76C3A">
      <w:pPr>
        <w:rPr>
          <w:rFonts w:hint="eastAsia"/>
        </w:rPr>
      </w:pPr>
    </w:p>
    <w:p w14:paraId="3D66670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8"/>
          <w:szCs w:val="28"/>
        </w:rPr>
      </w:pPr>
    </w:p>
    <w:p w14:paraId="250DBA30">
      <w:pPr>
        <w:pStyle w:val="18"/>
        <w:jc w:val="right"/>
        <w:rPr>
          <w:rFonts w:hint="eastAsia" w:ascii="Times New Roman" w:hAnsi="Times New Roman" w:eastAsia="宋体" w:cs="Times New Roman"/>
          <w:sz w:val="28"/>
          <w:szCs w:val="28"/>
          <w:lang w:eastAsia="zh-CN"/>
        </w:rPr>
      </w:pPr>
    </w:p>
    <w:p w14:paraId="3D6FBCA7">
      <w:pPr>
        <w:pStyle w:val="18"/>
        <w:rPr>
          <w:rFonts w:hint="default" w:ascii="Times New Roman" w:hAnsi="Times New Roman" w:cs="Times New Roman"/>
          <w:sz w:val="28"/>
          <w:szCs w:val="28"/>
        </w:rPr>
      </w:pPr>
    </w:p>
    <w:p w14:paraId="396DFB25">
      <w:pPr>
        <w:pStyle w:val="18"/>
        <w:rPr>
          <w:rFonts w:hint="default" w:ascii="Times New Roman" w:hAnsi="Times New Roman" w:cs="Times New Roman"/>
          <w:sz w:val="28"/>
          <w:szCs w:val="28"/>
        </w:rPr>
      </w:pPr>
    </w:p>
    <w:p w14:paraId="3D4B99FC">
      <w:pPr>
        <w:pStyle w:val="18"/>
        <w:rPr>
          <w:rFonts w:hint="default" w:ascii="Times New Roman" w:hAnsi="Times New Roman" w:cs="Times New Roman"/>
          <w:sz w:val="28"/>
          <w:szCs w:val="28"/>
        </w:rPr>
      </w:pPr>
    </w:p>
    <w:p w14:paraId="68A9D19C">
      <w:pPr>
        <w:pStyle w:val="18"/>
        <w:rPr>
          <w:rFonts w:hint="eastAsia" w:eastAsia="宋体"/>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C1A0B0C">
      <w:pPr>
        <w:pStyle w:val="18"/>
        <w:rPr>
          <w:rFonts w:hint="eastAsia" w:eastAsia="宋体"/>
          <w:lang w:eastAsia="zh-CN"/>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ascii="黑体" w:hAnsi="Times New Roman" w:eastAsia="黑体" w:cs="黑体"/>
          <w:b/>
          <w:color w:val="000000"/>
          <w:kern w:val="2"/>
          <w:sz w:val="24"/>
          <w:szCs w:val="24"/>
          <w:lang w:val="en-US" w:eastAsia="zh-CN" w:bidi="ar-SA"/>
        </w:rPr>
        <w:drawing>
          <wp:anchor distT="0" distB="0" distL="114300" distR="114300" simplePos="0" relativeHeight="251706368" behindDoc="1" locked="0" layoutInCell="1" allowOverlap="1">
            <wp:simplePos x="0" y="0"/>
            <wp:positionH relativeFrom="column">
              <wp:posOffset>-1134745</wp:posOffset>
            </wp:positionH>
            <wp:positionV relativeFrom="paragraph">
              <wp:posOffset>-890270</wp:posOffset>
            </wp:positionV>
            <wp:extent cx="7550150" cy="10672445"/>
            <wp:effectExtent l="0" t="0" r="12700" b="14605"/>
            <wp:wrapNone/>
            <wp:docPr id="100" name="图片 100" descr="b30ae921f80654ec1cd16b81f4ae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b30ae921f80654ec1cd16b81f4ae583"/>
                    <pic:cNvPicPr>
                      <a:picLocks noChangeAspect="1"/>
                    </pic:cNvPicPr>
                  </pic:nvPicPr>
                  <pic:blipFill>
                    <a:blip r:embed="rId70"/>
                    <a:stretch>
                      <a:fillRect/>
                    </a:stretch>
                  </pic:blipFill>
                  <pic:spPr>
                    <a:xfrm>
                      <a:off x="0" y="0"/>
                      <a:ext cx="7550150" cy="10672445"/>
                    </a:xfrm>
                    <a:prstGeom prst="rect">
                      <a:avLst/>
                    </a:prstGeom>
                  </pic:spPr>
                </pic:pic>
              </a:graphicData>
            </a:graphic>
          </wp:anchor>
        </w:drawing>
      </w:r>
      <w:r>
        <w:rPr>
          <w:rFonts w:ascii="黑体" w:hAnsi="Times New Roman" w:eastAsia="黑体" w:cs="黑体"/>
          <w:b/>
          <w:color w:val="000000"/>
          <w:kern w:val="2"/>
          <w:sz w:val="24"/>
          <w:szCs w:val="24"/>
          <w:lang w:val="en-US" w:eastAsia="zh-CN" w:bidi="ar-SA"/>
        </w:rPr>
        <mc:AlternateContent>
          <mc:Choice Requires="wps">
            <w:drawing>
              <wp:anchor distT="0" distB="0" distL="114300" distR="114300" simplePos="0" relativeHeight="251705344" behindDoc="0" locked="0" layoutInCell="1" allowOverlap="1">
                <wp:simplePos x="0" y="0"/>
                <wp:positionH relativeFrom="column">
                  <wp:posOffset>5023485</wp:posOffset>
                </wp:positionH>
                <wp:positionV relativeFrom="paragraph">
                  <wp:posOffset>-635635</wp:posOffset>
                </wp:positionV>
                <wp:extent cx="869950" cy="1828800"/>
                <wp:effectExtent l="0" t="0" r="0" b="0"/>
                <wp:wrapSquare wrapText="bothSides"/>
                <wp:docPr id="98" name="文本框 32"/>
                <wp:cNvGraphicFramePr/>
                <a:graphic xmlns:a="http://schemas.openxmlformats.org/drawingml/2006/main">
                  <a:graphicData uri="http://schemas.microsoft.com/office/word/2010/wordprocessingShape">
                    <wps:wsp>
                      <wps:cNvSpPr/>
                      <wps:spPr>
                        <a:xfrm>
                          <a:off x="0" y="0"/>
                          <a:ext cx="869950" cy="1828800"/>
                        </a:xfrm>
                        <a:prstGeom prst="rect">
                          <a:avLst/>
                        </a:prstGeom>
                        <a:noFill/>
                        <a:ln>
                          <a:noFill/>
                        </a:ln>
                      </wps:spPr>
                      <wps:txbx>
                        <w:txbxContent>
                          <w:p w14:paraId="52720659">
                            <w:pPr>
                              <w:pStyle w:val="35"/>
                              <w:wordWrap w:val="0"/>
                              <w:spacing w:line="360" w:lineRule="auto"/>
                              <w:jc w:val="right"/>
                              <w:rPr>
                                <w:rFonts w:hint="eastAsia" w:ascii="Times New Roman" w:eastAsia="黑体" w:cs="Times New Roman"/>
                                <w:b w:val="0"/>
                                <w:bCs w:val="0"/>
                                <w:sz w:val="24"/>
                                <w:szCs w:val="24"/>
                                <w:lang w:val="en-US" w:eastAsia="zh-CN"/>
                              </w:rPr>
                            </w:pPr>
                            <w:r>
                              <w:rPr>
                                <w:rFonts w:hint="eastAsia" w:ascii="Times New Roman" w:cs="Times New Roman"/>
                                <w:b w:val="0"/>
                                <w:bCs w:val="0"/>
                                <w:sz w:val="24"/>
                                <w:szCs w:val="24"/>
                                <w:lang w:val="en-US" w:eastAsia="zh-CN"/>
                              </w:rPr>
                              <w:t>附件十三</w:t>
                            </w:r>
                          </w:p>
                        </w:txbxContent>
                      </wps:txbx>
                      <wps:bodyPr wrap="square" upright="0">
                        <a:spAutoFit/>
                      </wps:bodyPr>
                    </wps:wsp>
                  </a:graphicData>
                </a:graphic>
              </wp:anchor>
            </w:drawing>
          </mc:Choice>
          <mc:Fallback>
            <w:pict>
              <v:rect id="文本框 32" o:spid="_x0000_s1026" o:spt="1" style="position:absolute;left:0pt;margin-left:395.55pt;margin-top:-50.05pt;height:144pt;width:68.5pt;mso-wrap-distance-bottom:0pt;mso-wrap-distance-left:9pt;mso-wrap-distance-right:9pt;mso-wrap-distance-top:0pt;z-index:251705344;mso-width-relative:page;mso-height-relative:page;" filled="f" stroked="f" coordsize="21600,21600" o:gfxdata="UEsDBAoAAAAAAIdO4kAAAAAAAAAAAAAAAAAEAAAAZHJzL1BLAwQUAAAACACHTuJA9BHHmNkAAAAM&#10;AQAADwAAAGRycy9kb3ducmV2LnhtbE2Py07DMBBF90j8gzVIbFBru0LNgzhdFJBKd4R+gJMMSWg8&#10;jmL3wd8zrGB3R3N050yxubpRnHEOgycDeqlAIDW+HagzcPh4XaQgQrTU2tETGvjGAJvy9qaweesv&#10;9I7nKnaCSyjk1kAf45RLGZoenQ1LPyHx7tPPzkYe5062s71wuRvlSqm1dHYgvtDbCbc9Nsfq5Ay8&#10;7R/3h+1Ofh2z4flhl1RK1usXY+7vtHoCEfEa/2D41Wd1KNmp9idqgxgNJJnWjBpYaKU4MZKtUg41&#10;s2mSgSwL+f+J8gdQSwMEFAAAAAgAh07iQHHABHW+AQAAbgMAAA4AAABkcnMvZTJvRG9jLnhtbK1T&#10;S27bMBDdF+gdCO5ryS4ayILloICRboo2QNoD0BRlERA/naEs+QLtDbrqpvuey+fokFKcNtlkkQ01&#10;HA7fvPeG2lyPpmNHBaidrfhykXOmrHS1toeKf/1y86bgDIOwteicVRU/KeTX29evNoMv1cq1rqsV&#10;MAKxWA6+4m0IvswylK0yAhfOK0uHjQMjAm3hkNUgBkI3XbbK86tscFB7cFIhUnY3HfIZEZ4D6JpG&#10;S7VzsjfKhgkVVCcCScJWe+TbxLZplAyfmwZVYF3FSWlIKzWheB/XbLsR5QGEb7WcKYjnUHikyQht&#10;qekFaieCYD3oJ1BGS3DomrCQzmSTkOQIqVjmj7y5a4VXSQtZjf5iOr4crPx0vAWm64qvae5WGJr4&#10;+eeP868/59/f2dtVNGjwWFLdnb+FeYcURrVjAyZ+SQcbk6mni6lqDExSsrhar9+R3ZKOlsWqKPLk&#10;evZw2wOGD8oZFoOKAw0teSmOHzFQRyq9L4nNrLvRXZcG19n/ElQYM1kkPFGMURj348x77+oTyR1o&#10;3hXHb70AxVnvQR/a9DIiGvr3faAWqXO8P12aYWkMidD8ZOKc/92nqoffZPs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BHHmNkAAAAMAQAADwAAAAAAAAABACAAAAAiAAAAZHJzL2Rvd25yZXYueG1s&#10;UEsBAhQAFAAAAAgAh07iQHHABHW+AQAAbgMAAA4AAAAAAAAAAQAgAAAAKAEAAGRycy9lMm9Eb2Mu&#10;eG1sUEsFBgAAAAAGAAYAWQEAAFgFAAAAAA==&#10;">
                <v:fill on="f" focussize="0,0"/>
                <v:stroke on="f"/>
                <v:imagedata o:title=""/>
                <o:lock v:ext="edit" aspectratio="f"/>
                <v:textbox style="mso-fit-shape-to-text:t;">
                  <w:txbxContent>
                    <w:p w14:paraId="52720659">
                      <w:pPr>
                        <w:pStyle w:val="35"/>
                        <w:wordWrap w:val="0"/>
                        <w:spacing w:line="360" w:lineRule="auto"/>
                        <w:jc w:val="right"/>
                        <w:rPr>
                          <w:rFonts w:hint="eastAsia" w:ascii="Times New Roman" w:eastAsia="黑体" w:cs="Times New Roman"/>
                          <w:b w:val="0"/>
                          <w:bCs w:val="0"/>
                          <w:sz w:val="24"/>
                          <w:szCs w:val="24"/>
                          <w:lang w:val="en-US" w:eastAsia="zh-CN"/>
                        </w:rPr>
                      </w:pPr>
                      <w:r>
                        <w:rPr>
                          <w:rFonts w:hint="eastAsia" w:ascii="Times New Roman" w:cs="Times New Roman"/>
                          <w:b w:val="0"/>
                          <w:bCs w:val="0"/>
                          <w:sz w:val="24"/>
                          <w:szCs w:val="24"/>
                          <w:lang w:val="en-US" w:eastAsia="zh-CN"/>
                        </w:rPr>
                        <w:t>附件十三</w:t>
                      </w:r>
                    </w:p>
                  </w:txbxContent>
                </v:textbox>
                <w10:wrap type="square"/>
              </v:rect>
            </w:pict>
          </mc:Fallback>
        </mc:AlternateContent>
      </w:r>
    </w:p>
    <w:p w14:paraId="08CEED2B">
      <w:pPr>
        <w:pStyle w:val="35"/>
        <w:widowControl w:val="0"/>
        <w:wordWrap/>
        <w:autoSpaceDE w:val="0"/>
        <w:autoSpaceDN w:val="0"/>
        <w:adjustRightInd w:val="0"/>
        <w:snapToGrid/>
        <w:spacing w:line="240" w:lineRule="auto"/>
        <w:jc w:val="center"/>
        <w:textAlignment w:val="auto"/>
        <w:rPr>
          <w:rFonts w:hint="eastAsia" w:eastAsia="宋体"/>
          <w:lang w:eastAsia="zh-CN"/>
        </w:rPr>
      </w:pPr>
      <w:r>
        <w:rPr>
          <w:rFonts w:ascii="黑体" w:hAnsi="Times New Roman" w:eastAsia="黑体" w:cs="黑体"/>
          <w:b/>
          <w:color w:val="000000"/>
          <w:kern w:val="2"/>
          <w:sz w:val="21"/>
          <w:szCs w:val="24"/>
          <w:lang w:val="en-US" w:eastAsia="zh-CN" w:bidi="ar-SA"/>
        </w:rPr>
        <mc:AlternateContent>
          <mc:Choice Requires="wpg">
            <w:drawing>
              <wp:anchor distT="0" distB="0" distL="114300" distR="114300" simplePos="0" relativeHeight="251681792" behindDoc="0" locked="0" layoutInCell="1" allowOverlap="1">
                <wp:simplePos x="0" y="0"/>
                <wp:positionH relativeFrom="column">
                  <wp:posOffset>2296795</wp:posOffset>
                </wp:positionH>
                <wp:positionV relativeFrom="paragraph">
                  <wp:posOffset>1537335</wp:posOffset>
                </wp:positionV>
                <wp:extent cx="1736725" cy="1049020"/>
                <wp:effectExtent l="13335" t="12700" r="21590" b="24130"/>
                <wp:wrapNone/>
                <wp:docPr id="61" name="组合 7"/>
                <wp:cNvGraphicFramePr/>
                <a:graphic xmlns:a="http://schemas.openxmlformats.org/drawingml/2006/main">
                  <a:graphicData uri="http://schemas.microsoft.com/office/word/2010/wordprocessingGroup">
                    <wpg:wgp>
                      <wpg:cNvGrpSpPr/>
                      <wpg:grpSpPr>
                        <a:xfrm flipH="1">
                          <a:off x="0" y="0"/>
                          <a:ext cx="1736817" cy="1049020"/>
                          <a:chOff x="7636" y="4972"/>
                          <a:chExt cx="4363" cy="1480"/>
                        </a:xfrm>
                      </wpg:grpSpPr>
                      <wps:wsp>
                        <wps:cNvPr id="62" name="椭圆 2"/>
                        <wps:cNvSpPr/>
                        <wps:spPr>
                          <a:xfrm>
                            <a:off x="7636" y="4972"/>
                            <a:ext cx="119" cy="119"/>
                          </a:xfrm>
                          <a:prstGeom prst="ellipse">
                            <a:avLst/>
                          </a:prstGeom>
                          <a:solidFill>
                            <a:srgbClr val="C00000"/>
                          </a:solidFill>
                          <a:ln w="25400" cap="flat" cmpd="sng">
                            <a:solidFill>
                              <a:srgbClr val="C00000"/>
                            </a:solidFill>
                            <a:prstDash val="solid"/>
                            <a:headEnd type="none" w="med" len="med"/>
                            <a:tailEnd type="none" w="med" len="med"/>
                          </a:ln>
                        </wps:spPr>
                        <wps:bodyPr upright="0"/>
                      </wps:wsp>
                      <wps:wsp>
                        <wps:cNvPr id="63" name="椭圆形标注 4"/>
                        <wps:cNvSpPr/>
                        <wps:spPr>
                          <a:xfrm>
                            <a:off x="7698" y="5800"/>
                            <a:ext cx="4301" cy="652"/>
                          </a:xfrm>
                          <a:prstGeom prst="wedgeEllipseCallout">
                            <a:avLst>
                              <a:gd name="adj1" fmla="val -46500"/>
                              <a:gd name="adj2" fmla="val -156750"/>
                            </a:avLst>
                          </a:prstGeom>
                          <a:noFill/>
                          <a:ln w="25400" cap="flat" cmpd="sng">
                            <a:solidFill>
                              <a:srgbClr val="C00000"/>
                            </a:solidFill>
                            <a:prstDash val="solid"/>
                            <a:miter/>
                            <a:headEnd type="none" w="med" len="med"/>
                            <a:tailEnd type="none" w="med" len="med"/>
                          </a:ln>
                        </wps:spPr>
                        <wps:txbx>
                          <w:txbxContent>
                            <w:p w14:paraId="0E13E564">
                              <w:pPr>
                                <w:jc w:val="center"/>
                                <w:rPr>
                                  <w:rFonts w:hint="eastAsia" w:eastAsia="宋体"/>
                                  <w:b/>
                                  <w:bCs/>
                                  <w:color w:val="000000"/>
                                  <w:lang w:eastAsia="zh-CN"/>
                                </w:rPr>
                              </w:pPr>
                              <w:r>
                                <w:rPr>
                                  <w:rFonts w:hint="eastAsia"/>
                                  <w:b/>
                                  <w:bCs/>
                                  <w:color w:val="000000"/>
                                  <w:lang w:val="en-US" w:eastAsia="zh-CN"/>
                                </w:rPr>
                                <w:t>搬迁前</w:t>
                              </w:r>
                              <w:r>
                                <w:rPr>
                                  <w:rFonts w:hint="eastAsia"/>
                                  <w:b/>
                                  <w:bCs/>
                                  <w:color w:val="000000"/>
                                  <w:lang w:eastAsia="zh-CN"/>
                                </w:rPr>
                                <w:t>项目地</w:t>
                              </w:r>
                            </w:p>
                          </w:txbxContent>
                        </wps:txbx>
                        <wps:bodyPr upright="0"/>
                      </wps:wsp>
                    </wpg:wgp>
                  </a:graphicData>
                </a:graphic>
              </wp:anchor>
            </w:drawing>
          </mc:Choice>
          <mc:Fallback>
            <w:pict>
              <v:group id="组合 7" o:spid="_x0000_s1026" o:spt="203" style="position:absolute;left:0pt;flip:x;margin-left:180.85pt;margin-top:121.05pt;height:82.6pt;width:136.75pt;z-index:251681792;mso-width-relative:page;mso-height-relative:page;" coordorigin="7636,4972" coordsize="4363,1480" o:gfxdata="UEsDBAoAAAAAAIdO4kAAAAAAAAAAAAAAAAAEAAAAZHJzL1BLAwQUAAAACACHTuJAzSDGHdoAAAAL&#10;AQAADwAAAGRycy9kb3ducmV2LnhtbE2PTUvEMBRF94L/ITzBnZO0jZ2h9nUQQRFxM1WHWWaaZxts&#10;ktJkPvz3xpUuH/dw73n1+mxHdqQ5GO8QsoUARq7z2rge4f3t8WYFLETltBq9I4RvCrBuLi9qVWl/&#10;chs6trFnqcSFSiEMMU4V56EbyKqw8BO5lH362aqYzrnnelanVG5HngtRcquMSwuDmuhhoO6rPViE&#10;j3sjSW53L6+iI3rWfPfUGol4fZWJO2CRzvEPhl/9pA5Nctr7g9OBjQhFmS0TipDLPAOWiLK4zYHt&#10;EaRYFsCbmv//ofkBUEsDBBQAAAAIAIdO4kCdO11aAQMAAOQHAAAOAAAAZHJzL2Uyb0RvYy54bWzF&#10;Vc2O0zAQviPxDpbvu0naNG2jpnvYLssBwUoLD+Amzg9ybMt2m+4dAUcegANCHLhw4oh4nF1eg7GT&#10;dLsLiALS0kPqn/F4vm++Gc+ONjVDa6p0JXiCg0MfI8pTkVW8SPCzpw8OJhhpQ3hGmOA0wRdU46P5&#10;/XuzRsZ0IErBMqoQOOE6bmSCS2Nk7Hk6LWlN9KGQlMNmLlRNDExV4WWKNOC9Zt7A9yOvESqTSqRU&#10;a1hdtJu486j2cSjyvErpQqSrmnLTelWUEQOQdFlJjecu2jynqXmS55oaxBIMSI37wiUwXtqvN5+R&#10;uFBEllXahUD2CeEWpppUHC7duloQQ9BKVT+4qqtUCS1yc5iK2muBOEYAReDf4uZUiZV0WIq4KeSW&#10;dEjULdb/2m36eH2mUJUlOAow4qSGjH/78uLyzWs0tuQ0sojB5lTJc3mmuoWinVm8m1zVKGeVfAha&#10;cgwAJrRxBF9sCaYbg1JYDMbDaBKMMUphL/DDqT/oUpCWkCd7bhwNI4xgO5yOB2160vKkOx8Oo2F3&#10;OJy4k14bwnzm2Ui3gTUSxKmvGdP/xth5SSR1idCWjZ6xQc/Y1YdPl29fIhevvRpstnTpWANzPVf2&#10;v2PoJ0i3PAXTDiYMgPQtShJLpc0pFTWygwRTBtxrGxuJyfqRNq11b2WXtWBV9qBizE1UsTxmCq0J&#10;FMSxb3/dBTfMGEdNggejELZRSqDMcygvGNYSpKJ54S68cUTv59lGtiC6bCNwHtosl5RkJzxD5kKC&#10;Bjn0HmxjqGmGEaPQquwI0JHYkIrtYwmsMe6U0efA5mYpsgtI4EqqqihdP7CUdYKxgr8L5YCK21pr&#10;lXP59f3Vu1dXnz+i0EL8AwlNoVtDsYwmbR5J3EsoHPpQ0LbOopHT5a811NCsoCetkI4JY2JlrvVk&#10;CS+yLlqSPQenec2gR4KC0EEYjfqLd42gMHaMglE0HvUycyJ1it7VKBdWoC67/0F6dWWocpfflQjN&#10;ZrnpEv0bPbq+Bs3fUdY9VPZ12Z07/V4/zvP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zSDGHdoA&#10;AAALAQAADwAAAAAAAAABACAAAAAiAAAAZHJzL2Rvd25yZXYueG1sUEsBAhQAFAAAAAgAh07iQJ07&#10;XVoBAwAA5AcAAA4AAAAAAAAAAQAgAAAAKQEAAGRycy9lMm9Eb2MueG1sUEsFBgAAAAAGAAYAWQEA&#10;AJwGAAAAAA==&#10;">
                <o:lock v:ext="edit" aspectratio="f"/>
                <v:shape id="椭圆 2" o:spid="_x0000_s1026" o:spt="3" type="#_x0000_t3" style="position:absolute;left:7636;top:4972;height:119;width:119;" fillcolor="#C00000" filled="t" stroked="t" coordsize="21600,21600" o:gfxdata="UEsDBAoAAAAAAIdO4kAAAAAAAAAAAAAAAAAEAAAAZHJzL1BLAwQUAAAACACHTuJAwrfbsr0AAADb&#10;AAAADwAAAGRycy9kb3ducmV2LnhtbEWP3WrCQBSE7wu+w3KE3tWNoYQYXQUNll6V+vMAx+wxCWbP&#10;ht2Npm/fLRS8HGbmG2a1GU0n7uR8a1nBfJaAIK6sbrlWcD7t33IQPiBr7CyTgh/ysFlPXlZYaPvg&#10;A92PoRYRwr5ABU0IfSGlrxoy6Ge2J47e1TqDIUpXS+3wEeGmk2mSZNJgy3GhwZ52DVW342AUfC/C&#10;18f7udqOZujK1JX59UJeqdfpPFmCCDSGZ/i//akVZCn8fY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t9uyvQAA&#10;ANsAAAAPAAAAAAAAAAEAIAAAACIAAABkcnMvZG93bnJldi54bWxQSwECFAAUAAAACACHTuJAMy8F&#10;njsAAAA5AAAAEAAAAAAAAAABACAAAAAMAQAAZHJzL3NoYXBleG1sLnhtbFBLBQYAAAAABgAGAFsB&#10;AAC2AwAAAAA=&#10;">
                  <v:fill on="t" focussize="0,0"/>
                  <v:stroke weight="2pt" color="#C00000" joinstyle="round"/>
                  <v:imagedata o:title=""/>
                  <o:lock v:ext="edit" aspectratio="f"/>
                </v:shape>
                <v:shape id="椭圆形标注 4" o:spid="_x0000_s1026" o:spt="63" type="#_x0000_t63" style="position:absolute;left:7698;top:5800;height:652;width:4301;" filled="f" stroked="t" coordsize="21600,21600" o:gfxdata="UEsDBAoAAAAAAIdO4kAAAAAAAAAAAAAAAAAEAAAAZHJzL1BLAwQUAAAACACHTuJAqbkFNrkAAADb&#10;AAAADwAAAGRycy9kb3ducmV2LnhtbEWPzQrCMBCE74LvEFbwIpqqoFKNggXBgwd/70uzttVmU5po&#10;9e2NIHgcZuYbZrF6mVI8qXaFZQXDQQSCOLW64EzB+bTpz0A4j6yxtEwK3uRgtWy3Fhhr2/CBnkef&#10;iQBhF6OC3PsqltKlORl0A1sRB+9qa4M+yDqTusYmwE0pR1E0kQYLDgs5VpTklN6PD6MAx363cb3T&#10;VO+bq7slSbFOLm+lup1hNAfh6eX/4V97qxVMxvD9En6AX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m5BTa5AAAA2wAA&#10;AA8AAAAAAAAAAQAgAAAAIgAAAGRycy9kb3ducmV2LnhtbFBLAQIUABQAAAAIAIdO4kAzLwWeOwAA&#10;ADkAAAAQAAAAAAAAAAEAIAAAAAgBAABkcnMvc2hhcGV4bWwueG1sUEsFBgAAAAAGAAYAWwEAALID&#10;AAAAAA==&#10;" adj="756,-23058">
                  <v:fill on="f" focussize="0,0"/>
                  <v:stroke weight="2pt" color="#C00000" joinstyle="miter"/>
                  <v:imagedata o:title=""/>
                  <o:lock v:ext="edit" aspectratio="f"/>
                  <v:textbox>
                    <w:txbxContent>
                      <w:p w14:paraId="0E13E564">
                        <w:pPr>
                          <w:jc w:val="center"/>
                          <w:rPr>
                            <w:rFonts w:hint="eastAsia" w:eastAsia="宋体"/>
                            <w:b/>
                            <w:bCs/>
                            <w:color w:val="000000"/>
                            <w:lang w:eastAsia="zh-CN"/>
                          </w:rPr>
                        </w:pPr>
                        <w:r>
                          <w:rPr>
                            <w:rFonts w:hint="eastAsia"/>
                            <w:b/>
                            <w:bCs/>
                            <w:color w:val="000000"/>
                            <w:lang w:val="en-US" w:eastAsia="zh-CN"/>
                          </w:rPr>
                          <w:t>搬迁前</w:t>
                        </w:r>
                        <w:r>
                          <w:rPr>
                            <w:rFonts w:hint="eastAsia"/>
                            <w:b/>
                            <w:bCs/>
                            <w:color w:val="000000"/>
                            <w:lang w:eastAsia="zh-CN"/>
                          </w:rPr>
                          <w:t>项目地</w:t>
                        </w:r>
                      </w:p>
                    </w:txbxContent>
                  </v:textbox>
                </v:shape>
              </v:group>
            </w:pict>
          </mc:Fallback>
        </mc:AlternateContent>
      </w:r>
      <w:r>
        <w:rPr>
          <w:rFonts w:ascii="黑体" w:hAnsi="Times New Roman" w:eastAsia="黑体" w:cs="黑体"/>
          <w:b/>
          <w:color w:val="000000"/>
          <w:kern w:val="2"/>
          <w:sz w:val="24"/>
          <w:szCs w:val="24"/>
          <w:lang w:val="en-US" w:eastAsia="zh-CN" w:bidi="ar-SA"/>
        </w:rPr>
        <w:drawing>
          <wp:inline distT="0" distB="0" distL="114300" distR="114300">
            <wp:extent cx="6760210" cy="4679950"/>
            <wp:effectExtent l="0" t="0" r="2540" b="635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71">
                      <a:lum/>
                    </a:blip>
                    <a:stretch>
                      <a:fillRect/>
                    </a:stretch>
                  </pic:blipFill>
                  <pic:spPr>
                    <a:xfrm>
                      <a:off x="0" y="0"/>
                      <a:ext cx="6760210" cy="4679950"/>
                    </a:xfrm>
                    <a:prstGeom prst="rect">
                      <a:avLst/>
                    </a:prstGeom>
                    <a:noFill/>
                    <a:ln>
                      <a:noFill/>
                    </a:ln>
                  </pic:spPr>
                </pic:pic>
              </a:graphicData>
            </a:graphic>
          </wp:inline>
        </w:drawing>
      </w:r>
      <w:r>
        <w:rPr>
          <w:rFonts w:ascii="黑体" w:hAnsi="Times New Roman" w:eastAsia="黑体" w:cs="黑体"/>
          <w:b/>
          <w:color w:val="000000"/>
          <w:kern w:val="2"/>
          <w:sz w:val="24"/>
          <w:szCs w:val="24"/>
          <w:lang w:val="en-US" w:eastAsia="zh-CN" w:bidi="ar-SA"/>
        </w:rPr>
        <w:drawing>
          <wp:anchor distT="0" distB="0" distL="114300" distR="114300" simplePos="0" relativeHeight="251663360" behindDoc="0" locked="0" layoutInCell="1" allowOverlap="1">
            <wp:simplePos x="0" y="0"/>
            <wp:positionH relativeFrom="column">
              <wp:posOffset>7197725</wp:posOffset>
            </wp:positionH>
            <wp:positionV relativeFrom="paragraph">
              <wp:posOffset>40640</wp:posOffset>
            </wp:positionV>
            <wp:extent cx="714375" cy="877570"/>
            <wp:effectExtent l="0" t="0" r="9525" b="17780"/>
            <wp:wrapNone/>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72">
                      <a:lum/>
                    </a:blip>
                    <a:stretch>
                      <a:fillRect/>
                    </a:stretch>
                  </pic:blipFill>
                  <pic:spPr>
                    <a:xfrm>
                      <a:off x="0" y="0"/>
                      <a:ext cx="714375" cy="877570"/>
                    </a:xfrm>
                    <a:prstGeom prst="rect">
                      <a:avLst/>
                    </a:prstGeom>
                    <a:noFill/>
                    <a:ln>
                      <a:noFill/>
                    </a:ln>
                  </pic:spPr>
                </pic:pic>
              </a:graphicData>
            </a:graphic>
          </wp:anchor>
        </w:drawing>
      </w:r>
      <w:r>
        <w:rPr>
          <w:rFonts w:ascii="黑体" w:hAnsi="Times New Roman" w:eastAsia="黑体" w:cs="黑体"/>
          <w:b/>
          <w:color w:val="000000"/>
          <w:kern w:val="2"/>
          <w:sz w:val="21"/>
          <w:szCs w:val="24"/>
          <w:lang w:val="en-US" w:eastAsia="zh-CN" w:bidi="ar-SA"/>
        </w:rPr>
        <mc:AlternateContent>
          <mc:Choice Requires="wpg">
            <w:drawing>
              <wp:anchor distT="0" distB="0" distL="114300" distR="114300" simplePos="0" relativeHeight="251662336" behindDoc="0" locked="0" layoutInCell="1" allowOverlap="1">
                <wp:simplePos x="0" y="0"/>
                <wp:positionH relativeFrom="column">
                  <wp:posOffset>4316730</wp:posOffset>
                </wp:positionH>
                <wp:positionV relativeFrom="paragraph">
                  <wp:posOffset>1529715</wp:posOffset>
                </wp:positionV>
                <wp:extent cx="1591310" cy="939800"/>
                <wp:effectExtent l="12700" t="12700" r="15240" b="19050"/>
                <wp:wrapNone/>
                <wp:docPr id="32" name="组合 7"/>
                <wp:cNvGraphicFramePr/>
                <a:graphic xmlns:a="http://schemas.openxmlformats.org/drawingml/2006/main">
                  <a:graphicData uri="http://schemas.microsoft.com/office/word/2010/wordprocessingGroup">
                    <wpg:wgp>
                      <wpg:cNvGrpSpPr/>
                      <wpg:grpSpPr>
                        <a:xfrm>
                          <a:off x="0" y="0"/>
                          <a:ext cx="1591310" cy="939800"/>
                          <a:chOff x="7636" y="4972"/>
                          <a:chExt cx="2506" cy="1480"/>
                        </a:xfrm>
                      </wpg:grpSpPr>
                      <wps:wsp>
                        <wps:cNvPr id="26" name="椭圆 2"/>
                        <wps:cNvSpPr/>
                        <wps:spPr>
                          <a:xfrm>
                            <a:off x="7636" y="4972"/>
                            <a:ext cx="119" cy="119"/>
                          </a:xfrm>
                          <a:prstGeom prst="ellipse">
                            <a:avLst/>
                          </a:prstGeom>
                          <a:solidFill>
                            <a:srgbClr val="C00000"/>
                          </a:solidFill>
                          <a:ln w="25400" cap="flat" cmpd="sng">
                            <a:solidFill>
                              <a:srgbClr val="C00000"/>
                            </a:solidFill>
                            <a:prstDash val="solid"/>
                            <a:headEnd type="none" w="med" len="med"/>
                            <a:tailEnd type="none" w="med" len="med"/>
                          </a:ln>
                        </wps:spPr>
                        <wps:bodyPr upright="0"/>
                      </wps:wsp>
                      <wps:wsp>
                        <wps:cNvPr id="31" name="椭圆形标注 4"/>
                        <wps:cNvSpPr/>
                        <wps:spPr>
                          <a:xfrm>
                            <a:off x="7699" y="5800"/>
                            <a:ext cx="2443" cy="652"/>
                          </a:xfrm>
                          <a:prstGeom prst="wedgeEllipseCallout">
                            <a:avLst>
                              <a:gd name="adj1" fmla="val -46500"/>
                              <a:gd name="adj2" fmla="val -156750"/>
                            </a:avLst>
                          </a:prstGeom>
                          <a:noFill/>
                          <a:ln w="25400" cap="flat" cmpd="sng">
                            <a:solidFill>
                              <a:srgbClr val="C00000"/>
                            </a:solidFill>
                            <a:prstDash val="solid"/>
                            <a:miter/>
                            <a:headEnd type="none" w="med" len="med"/>
                            <a:tailEnd type="none" w="med" len="med"/>
                          </a:ln>
                        </wps:spPr>
                        <wps:txbx>
                          <w:txbxContent>
                            <w:p w14:paraId="520004B9">
                              <w:pPr>
                                <w:jc w:val="center"/>
                                <w:rPr>
                                  <w:rFonts w:hint="eastAsia" w:eastAsia="宋体"/>
                                  <w:b/>
                                  <w:bCs/>
                                  <w:color w:val="000000"/>
                                  <w:lang w:eastAsia="zh-CN"/>
                                </w:rPr>
                              </w:pPr>
                              <w:r>
                                <w:rPr>
                                  <w:rFonts w:hint="eastAsia"/>
                                  <w:b/>
                                  <w:bCs/>
                                  <w:color w:val="000000"/>
                                  <w:lang w:val="en-US" w:eastAsia="zh-CN"/>
                                </w:rPr>
                                <w:t>搬迁后</w:t>
                              </w:r>
                              <w:r>
                                <w:rPr>
                                  <w:rFonts w:hint="eastAsia"/>
                                  <w:b/>
                                  <w:bCs/>
                                  <w:color w:val="000000"/>
                                  <w:lang w:eastAsia="zh-CN"/>
                                </w:rPr>
                                <w:t>项目地</w:t>
                              </w:r>
                            </w:p>
                          </w:txbxContent>
                        </wps:txbx>
                        <wps:bodyPr upright="0"/>
                      </wps:wsp>
                    </wpg:wgp>
                  </a:graphicData>
                </a:graphic>
              </wp:anchor>
            </w:drawing>
          </mc:Choice>
          <mc:Fallback>
            <w:pict>
              <v:group id="组合 7" o:spid="_x0000_s1026" o:spt="203" style="position:absolute;left:0pt;margin-left:339.9pt;margin-top:120.45pt;height:74pt;width:125.3pt;z-index:251662336;mso-width-relative:page;mso-height-relative:page;" coordorigin="7636,4972" coordsize="2506,1480" o:gfxdata="UEsDBAoAAAAAAIdO4kAAAAAAAAAAAAAAAAAEAAAAZHJzL1BLAwQUAAAACACHTuJAsL5aENwAAAAL&#10;AQAADwAAAGRycy9kb3ducmV2LnhtbE2PQUvDQBSE74L/YXmCN7ubptYkZlOkqKdSsBXE22vymoRm&#10;34bsNmn/vetJj8MMM9/kq4vpxEiDay1riGYKBHFpq5ZrDZ/7t4cEhPPIFXaWScOVHKyK25scs8pO&#10;/EHjztcilLDLUEPjfZ9J6cqGDLqZ7YmDd7SDQR/kUMtqwCmUm07OlVpKgy2HhQZ7WjdUnnZno+F9&#10;wukljl7Hzem4vn7vH7dfm4i0vr+L1DMITxf/F4Zf/IAORWA62DNXTnQalk9pQPca5guVggiJNFYL&#10;EAcNcZKkIItc/v9Q/ABQSwMEFAAAAAgAh07iQONkZu30AgAA2QcAAA4AAABkcnMvZTJvRG9jLnht&#10;bMVVzW4TMRC+I/EOlu/tZjfZtFl100PT9oKgUuEBnF3vD/KfbCeb3BFw5AE4IMSBCyeOiMdpeQ3G&#10;3s02LUVEIJUcNv4Zz8z3zefx0fGKM7Sk2tRSpDjcH2BERSbzWpQpfvH8bO8QI2OJyAmTgqZ4TQ0+&#10;nj5+dNSohEaykiynGoETYZJGpbiyViVBYLKKcmL2paICNgupObEw1WWQa9KAd86CaDAYB43UudIy&#10;o8bA6qzdxJ1HvYtDWRR1RmcyW3AqbOtVU0YsQDJVrQye+myLgmb2WVEYahFLMSC1/gtBYDx332B6&#10;RJJSE1XVWZcC2SWFO5g4qQUE7V3NiCVooetfXPE609LIwu5nkgctEM8IoAgHd7g513KhPJYyaUrV&#10;kw6FusP6X7vNni4vNKrzFA8jjAThUPEf315dvXuLDhw5jSoTsDnX6lJd6G6hbGcO76rQ3P0DErTy&#10;tK57WunKogwWw3gSDkNgPIO9yXByOOh4zyoojjt2MB6OMYLd0eQgamuSVafd8SgewKY7G44O/clg&#10;Ezdw6fXZNAoUaW5oMv9G02VFFPXsG0dBR1MEubQ0XX/6cvX+NfL5utBg03NkEgN03UPQPUh7msJJ&#10;BxMGwHSPkiRKG3tOJUdukGLKGIjc5UYSsnxibGu9sXLLRrI6P6sZ8xNdzk+YRksCt+Bk4H5dgFtm&#10;TKAmxVE8gm2UEbjbBdwpGHIF+jCi9AFvHTG7eXaZzYip2gy8h7bKFSX5qciRXSsQnoCGg10OnOYY&#10;MQr9yY0AHUksqdkulsAaE0Ceq0hbAzeay3wNBVwoXZeVbwKOsk4wTuUPoJxheFs5V98/Xn94c/31&#10;Mxo5iC6HHSU0AaHAdYj7i7SRUDQaDVsNjWOvy99rqKF5SU9bIZ0QxuTC3ujJEV7mnc5J/hIyLziD&#10;xggKQnujcby5wdtG0D+2jMJ4fBBvZOZF6hW9rVEhnUB9df+D9HhtqfbBH0qEdjVfdYX+gx59X4OO&#10;7ynrXif3pGzPvX5vXuTp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LC+WhDcAAAACwEAAA8AAAAA&#10;AAAAAQAgAAAAIgAAAGRycy9kb3ducmV2LnhtbFBLAQIUABQAAAAIAIdO4kDjZGbt9AIAANkHAAAO&#10;AAAAAAAAAAEAIAAAACsBAABkcnMvZTJvRG9jLnhtbFBLBQYAAAAABgAGAFkBAACRBgAAAAA=&#10;">
                <o:lock v:ext="edit" aspectratio="f"/>
                <v:shape id="椭圆 2" o:spid="_x0000_s1026" o:spt="3" type="#_x0000_t3" style="position:absolute;left:7636;top:4972;height:119;width:119;" fillcolor="#C00000" filled="t" stroked="t" coordsize="21600,21600" o:gfxdata="UEsDBAoAAAAAAIdO4kAAAAAAAAAAAAAAAAAEAAAAZHJzL1BLAwQUAAAACACHTuJAK+Zkcb0AAADb&#10;AAAADwAAAGRycy9kb3ducmV2LnhtbEWP3WrCQBSE7wu+w3KE3tWNoYQYXQUNll6V+vMAx+wxCWbP&#10;ht2Npm/fLRS8HGbmG2a1GU0n7uR8a1nBfJaAIK6sbrlWcD7t33IQPiBr7CyTgh/ysFlPXlZYaPvg&#10;A92PoRYRwr5ABU0IfSGlrxoy6Ge2J47e1TqDIUpXS+3wEeGmk2mSZNJgy3GhwZ52DVW342AUfC/C&#10;18f7udqOZujK1JX59UJeqdfpPFmCCDSGZ/i//akVpBn8fY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5mRxvQAA&#10;ANsAAAAPAAAAAAAAAAEAIAAAACIAAABkcnMvZG93bnJldi54bWxQSwECFAAUAAAACACHTuJAMy8F&#10;njsAAAA5AAAAEAAAAAAAAAABACAAAAAMAQAAZHJzL3NoYXBleG1sLnhtbFBLBQYAAAAABgAGAFsB&#10;AAC2AwAAAAA=&#10;">
                  <v:fill on="t" focussize="0,0"/>
                  <v:stroke weight="2pt" color="#C00000" joinstyle="round"/>
                  <v:imagedata o:title=""/>
                  <o:lock v:ext="edit" aspectratio="f"/>
                </v:shape>
                <v:shape id="椭圆形标注 4" o:spid="_x0000_s1026" o:spt="63" type="#_x0000_t63" style="position:absolute;left:7699;top:5800;height:652;width:2443;" filled="f" stroked="t" coordsize="21600,21600" o:gfxdata="UEsDBAoAAAAAAIdO4kAAAAAAAAAAAAAAAAAEAAAAZHJzL1BLAwQUAAAACACHTuJAJZQRx70AAADb&#10;AAAADwAAAGRycy9kb3ducmV2LnhtbEWPzWrDMBCE74W+g9hCLqWRHUNTHMuBGgI99JDGyX2xNrZT&#10;a2Us1T9vXwUKPQ4z8w2T7WfTiZEG11pWEK8jEMSV1S3XCs7l4eUNhPPIGjvLpGAhB/v88SHDVNuJ&#10;v2g8+VoECLsUFTTe96mUrmrIoFvbnjh4VzsY9EEOtdQDTgFuOrmJoldpsOWw0GBPRUPV9+nHKMDE&#10;fx7cc7nVx+nqbkXRvheXRanVUxztQHia/X/4r/2hFSQx3L+EHy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BHHvQAA&#10;ANsAAAAPAAAAAAAAAAEAIAAAACIAAABkcnMvZG93bnJldi54bWxQSwECFAAUAAAACACHTuJAMy8F&#10;njsAAAA5AAAAEAAAAAAAAAABACAAAAAMAQAAZHJzL3NoYXBleG1sLnhtbFBLBQYAAAAABgAGAFsB&#10;AAC2AwAAAAA=&#10;" adj="756,-23058">
                  <v:fill on="f" focussize="0,0"/>
                  <v:stroke weight="2pt" color="#C00000" joinstyle="miter"/>
                  <v:imagedata o:title=""/>
                  <o:lock v:ext="edit" aspectratio="f"/>
                  <v:textbox>
                    <w:txbxContent>
                      <w:p w14:paraId="520004B9">
                        <w:pPr>
                          <w:jc w:val="center"/>
                          <w:rPr>
                            <w:rFonts w:hint="eastAsia" w:eastAsia="宋体"/>
                            <w:b/>
                            <w:bCs/>
                            <w:color w:val="000000"/>
                            <w:lang w:eastAsia="zh-CN"/>
                          </w:rPr>
                        </w:pPr>
                        <w:r>
                          <w:rPr>
                            <w:rFonts w:hint="eastAsia"/>
                            <w:b/>
                            <w:bCs/>
                            <w:color w:val="000000"/>
                            <w:lang w:val="en-US" w:eastAsia="zh-CN"/>
                          </w:rPr>
                          <w:t>搬迁后</w:t>
                        </w:r>
                        <w:r>
                          <w:rPr>
                            <w:rFonts w:hint="eastAsia"/>
                            <w:b/>
                            <w:bCs/>
                            <w:color w:val="000000"/>
                            <w:lang w:eastAsia="zh-CN"/>
                          </w:rPr>
                          <w:t>项目地</w:t>
                        </w:r>
                      </w:p>
                    </w:txbxContent>
                  </v:textbox>
                </v:shape>
              </v:group>
            </w:pict>
          </mc:Fallback>
        </mc:AlternateContent>
      </w:r>
    </w:p>
    <w:p w14:paraId="45B0946C">
      <w:pPr>
        <w:pStyle w:val="35"/>
        <w:widowControl w:val="0"/>
        <w:wordWrap/>
        <w:autoSpaceDE w:val="0"/>
        <w:autoSpaceDN w:val="0"/>
        <w:adjustRightInd w:val="0"/>
        <w:snapToGrid/>
        <w:spacing w:line="240" w:lineRule="auto"/>
        <w:jc w:val="center"/>
        <w:textAlignment w:val="auto"/>
        <w:rPr>
          <w:rFonts w:hint="eastAsia" w:eastAsia="宋体"/>
          <w:b w:val="0"/>
          <w:bCs/>
          <w:color w:val="000000"/>
          <w:lang w:eastAsia="zh-CN"/>
        </w:rPr>
      </w:pPr>
      <w:r>
        <w:rPr>
          <w:rFonts w:hint="eastAsia" w:ascii="黑体" w:eastAsia="黑体"/>
          <w:b w:val="0"/>
          <w:bCs/>
          <w:color w:val="000000"/>
          <w:sz w:val="24"/>
          <w:szCs w:val="32"/>
        </w:rPr>
        <w:t>附图</w:t>
      </w:r>
      <w:r>
        <w:rPr>
          <w:rFonts w:hint="eastAsia"/>
          <w:b w:val="0"/>
          <w:bCs/>
          <w:color w:val="000000"/>
          <w:sz w:val="24"/>
          <w:szCs w:val="32"/>
          <w:lang w:val="en-US" w:eastAsia="zh-CN"/>
        </w:rPr>
        <w:t>一</w:t>
      </w:r>
      <w:r>
        <w:rPr>
          <w:rFonts w:hint="eastAsia" w:ascii="黑体" w:eastAsia="黑体"/>
          <w:b w:val="0"/>
          <w:bCs/>
          <w:color w:val="000000"/>
          <w:sz w:val="24"/>
          <w:szCs w:val="32"/>
        </w:rPr>
        <w:t xml:space="preserve">  项目地理位置图</w:t>
      </w:r>
    </w:p>
    <w:p w14:paraId="59CA41FE">
      <w:pPr>
        <w:rPr>
          <w:rFonts w:hint="eastAsia"/>
          <w:lang w:eastAsia="zh-CN"/>
        </w:rPr>
      </w:pPr>
    </w:p>
    <w:p w14:paraId="387AB3DA">
      <w:pPr>
        <w:pStyle w:val="35"/>
        <w:widowControl w:val="0"/>
        <w:wordWrap/>
        <w:autoSpaceDE w:val="0"/>
        <w:autoSpaceDN w:val="0"/>
        <w:adjustRightInd w:val="0"/>
        <w:snapToGrid/>
        <w:spacing w:line="240" w:lineRule="auto"/>
        <w:jc w:val="center"/>
        <w:textAlignment w:val="auto"/>
        <w:rPr>
          <w:rFonts w:hint="eastAsia"/>
          <w:b/>
          <w:bCs/>
          <w:lang w:eastAsia="zh-CN"/>
        </w:rPr>
      </w:pPr>
      <w:r>
        <w:rPr>
          <w:rFonts w:hint="eastAsia"/>
          <w:b/>
          <w:bCs/>
          <w:lang w:eastAsia="zh-CN"/>
        </w:rPr>
        <w:drawing>
          <wp:inline distT="0" distB="0" distL="114300" distR="114300">
            <wp:extent cx="8081645" cy="4679950"/>
            <wp:effectExtent l="0" t="0" r="14605" b="6350"/>
            <wp:docPr id="37" name="图片 37" descr="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页-8"/>
                    <pic:cNvPicPr>
                      <a:picLocks noChangeAspect="1"/>
                    </pic:cNvPicPr>
                  </pic:nvPicPr>
                  <pic:blipFill>
                    <a:blip r:embed="rId73"/>
                    <a:stretch>
                      <a:fillRect/>
                    </a:stretch>
                  </pic:blipFill>
                  <pic:spPr>
                    <a:xfrm>
                      <a:off x="0" y="0"/>
                      <a:ext cx="8081645" cy="4679950"/>
                    </a:xfrm>
                    <a:prstGeom prst="rect">
                      <a:avLst/>
                    </a:prstGeom>
                  </pic:spPr>
                </pic:pic>
              </a:graphicData>
            </a:graphic>
          </wp:inline>
        </w:drawing>
      </w:r>
    </w:p>
    <w:p w14:paraId="568A9BCF">
      <w:pPr>
        <w:pStyle w:val="35"/>
        <w:widowControl w:val="0"/>
        <w:wordWrap/>
        <w:autoSpaceDE w:val="0"/>
        <w:autoSpaceDN w:val="0"/>
        <w:adjustRightInd w:val="0"/>
        <w:snapToGrid/>
        <w:spacing w:line="240" w:lineRule="auto"/>
        <w:jc w:val="center"/>
        <w:textAlignment w:val="auto"/>
        <w:rPr>
          <w:rFonts w:hint="eastAsia"/>
          <w:color w:val="000000" w:themeColor="text1"/>
          <w:lang w:eastAsia="zh-CN"/>
          <w14:textFill>
            <w14:solidFill>
              <w14:schemeClr w14:val="tx1"/>
            </w14:solidFill>
          </w14:textFill>
        </w:rPr>
      </w:pPr>
      <w:r>
        <w:rPr>
          <w:rFonts w:hint="default" w:ascii="黑体" w:hAnsi="Times New Roman" w:eastAsia="黑体"/>
          <w:b w:val="0"/>
          <w:bCs/>
          <w:color w:val="000000" w:themeColor="text1"/>
          <w:sz w:val="24"/>
          <w:szCs w:val="32"/>
          <w14:textFill>
            <w14:solidFill>
              <w14:schemeClr w14:val="tx1"/>
            </w14:solidFill>
          </w14:textFill>
        </w:rPr>
        <w:t>附图</w:t>
      </w:r>
      <w:r>
        <w:rPr>
          <w:rFonts w:hint="eastAsia" w:hAnsi="Times New Roman"/>
          <w:b w:val="0"/>
          <w:bCs/>
          <w:color w:val="000000" w:themeColor="text1"/>
          <w:sz w:val="24"/>
          <w:szCs w:val="32"/>
          <w:lang w:val="en-US" w:eastAsia="zh-CN"/>
          <w14:textFill>
            <w14:solidFill>
              <w14:schemeClr w14:val="tx1"/>
            </w14:solidFill>
          </w14:textFill>
        </w:rPr>
        <w:t>二</w:t>
      </w:r>
      <w:r>
        <w:rPr>
          <w:rFonts w:hint="default" w:ascii="黑体" w:hAnsi="Times New Roman" w:eastAsia="黑体"/>
          <w:b w:val="0"/>
          <w:bCs/>
          <w:color w:val="000000" w:themeColor="text1"/>
          <w:sz w:val="24"/>
          <w:szCs w:val="32"/>
          <w14:textFill>
            <w14:solidFill>
              <w14:schemeClr w14:val="tx1"/>
            </w14:solidFill>
          </w14:textFill>
        </w:rPr>
        <w:t xml:space="preserve"> </w:t>
      </w:r>
      <w:r>
        <w:rPr>
          <w:rFonts w:hint="eastAsia" w:ascii="黑体" w:hAnsi="Times New Roman" w:eastAsia="黑体"/>
          <w:b w:val="0"/>
          <w:bCs/>
          <w:color w:val="000000" w:themeColor="text1"/>
          <w:sz w:val="24"/>
          <w:szCs w:val="32"/>
          <w:lang w:val="en-US" w:eastAsia="zh-CN"/>
          <w14:textFill>
            <w14:solidFill>
              <w14:schemeClr w14:val="tx1"/>
            </w14:solidFill>
          </w14:textFill>
        </w:rPr>
        <w:t xml:space="preserve"> </w:t>
      </w:r>
      <w:r>
        <w:rPr>
          <w:rFonts w:hint="eastAsia" w:ascii="黑体" w:hAnsi="Times New Roman" w:eastAsia="黑体"/>
          <w:b w:val="0"/>
          <w:bCs/>
          <w:color w:val="000000" w:themeColor="text1"/>
          <w:sz w:val="24"/>
          <w:szCs w:val="32"/>
          <w:lang w:eastAsia="zh-CN"/>
          <w14:textFill>
            <w14:solidFill>
              <w14:schemeClr w14:val="tx1"/>
            </w14:solidFill>
          </w14:textFill>
        </w:rPr>
        <w:t>厂区周边环境概况图</w:t>
      </w:r>
    </w:p>
    <w:p w14:paraId="7719FC6A">
      <w:pPr>
        <w:pStyle w:val="18"/>
        <w:jc w:val="center"/>
        <w:rPr>
          <w:rFonts w:hint="eastAsia"/>
          <w:color w:val="000000" w:themeColor="text1"/>
          <w:lang w:eastAsia="zh-CN"/>
          <w14:textFill>
            <w14:solidFill>
              <w14:schemeClr w14:val="tx1"/>
            </w14:solidFill>
          </w14:textFill>
        </w:rPr>
        <w:sectPr>
          <w:pgSz w:w="16838" w:h="11906" w:orient="landscape"/>
          <w:pgMar w:top="1800" w:right="1417" w:bottom="1800"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3B727D7E">
      <w:pPr>
        <w:pStyle w:val="35"/>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lang w:eastAsia="zh-CN"/>
        </w:rPr>
      </w:pPr>
      <w:r>
        <w:rPr>
          <w:rFonts w:hint="eastAsia"/>
          <w:lang w:eastAsia="zh-CN"/>
        </w:rPr>
        <w:drawing>
          <wp:inline distT="0" distB="0" distL="114300" distR="114300">
            <wp:extent cx="8068310" cy="3581400"/>
            <wp:effectExtent l="0" t="0" r="8890" b="0"/>
            <wp:docPr id="10" name="图片 10" descr="绘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绘图2"/>
                    <pic:cNvPicPr>
                      <a:picLocks noChangeAspect="1"/>
                    </pic:cNvPicPr>
                  </pic:nvPicPr>
                  <pic:blipFill>
                    <a:blip r:embed="rId74"/>
                    <a:stretch>
                      <a:fillRect/>
                    </a:stretch>
                  </pic:blipFill>
                  <pic:spPr>
                    <a:xfrm>
                      <a:off x="0" y="0"/>
                      <a:ext cx="8068310" cy="3581400"/>
                    </a:xfrm>
                    <a:prstGeom prst="rect">
                      <a:avLst/>
                    </a:prstGeom>
                  </pic:spPr>
                </pic:pic>
              </a:graphicData>
            </a:graphic>
          </wp:inline>
        </w:drawing>
      </w:r>
    </w:p>
    <w:p w14:paraId="7744CFE9">
      <w:pPr>
        <w:pStyle w:val="35"/>
        <w:widowControl w:val="0"/>
        <w:wordWrap/>
        <w:autoSpaceDE w:val="0"/>
        <w:autoSpaceDN w:val="0"/>
        <w:adjustRightInd w:val="0"/>
        <w:snapToGrid/>
        <w:spacing w:line="240" w:lineRule="auto"/>
        <w:jc w:val="center"/>
        <w:textAlignment w:val="auto"/>
        <w:rPr>
          <w:rFonts w:hint="eastAsia" w:ascii="黑体" w:hAnsi="Times New Roman" w:eastAsia="黑体"/>
          <w:b w:val="0"/>
          <w:bCs/>
          <w:color w:val="000000" w:themeColor="text1"/>
          <w:sz w:val="24"/>
          <w:szCs w:val="32"/>
          <w:lang w:val="en-US" w:eastAsia="zh-CN"/>
          <w14:textFill>
            <w14:solidFill>
              <w14:schemeClr w14:val="tx1"/>
            </w14:solidFill>
          </w14:textFill>
        </w:rPr>
        <w:sectPr>
          <w:pgSz w:w="16838" w:h="11906" w:orient="landscape"/>
          <w:pgMar w:top="1800" w:right="1417" w:bottom="1800" w:left="1134"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黑体" w:hAnsi="Times New Roman" w:eastAsia="黑体"/>
          <w:b w:val="0"/>
          <w:bCs/>
          <w:color w:val="000000" w:themeColor="text1"/>
          <w:sz w:val="24"/>
          <w:szCs w:val="32"/>
          <w:lang w:val="en-US" w:eastAsia="zh-CN"/>
          <w14:textFill>
            <w14:solidFill>
              <w14:schemeClr w14:val="tx1"/>
            </w14:solidFill>
          </w14:textFill>
        </w:rPr>
        <w:t>附图</w:t>
      </w:r>
      <w:r>
        <w:rPr>
          <w:rFonts w:hint="eastAsia" w:hAnsi="Times New Roman"/>
          <w:b w:val="0"/>
          <w:bCs/>
          <w:color w:val="000000" w:themeColor="text1"/>
          <w:sz w:val="24"/>
          <w:szCs w:val="32"/>
          <w:lang w:val="en-US" w:eastAsia="zh-CN"/>
          <w14:textFill>
            <w14:solidFill>
              <w14:schemeClr w14:val="tx1"/>
            </w14:solidFill>
          </w14:textFill>
        </w:rPr>
        <w:t>三</w:t>
      </w:r>
      <w:r>
        <w:rPr>
          <w:rFonts w:hint="default" w:ascii="黑体" w:hAnsi="Times New Roman" w:eastAsia="黑体"/>
          <w:b w:val="0"/>
          <w:bCs/>
          <w:color w:val="000000" w:themeColor="text1"/>
          <w:sz w:val="24"/>
          <w:szCs w:val="32"/>
          <w:lang w:val="en-US" w:eastAsia="zh-CN"/>
          <w14:textFill>
            <w14:solidFill>
              <w14:schemeClr w14:val="tx1"/>
            </w14:solidFill>
          </w14:textFill>
        </w:rPr>
        <w:t xml:space="preserve"> </w:t>
      </w:r>
      <w:r>
        <w:rPr>
          <w:rFonts w:hint="eastAsia" w:ascii="黑体" w:hAnsi="Times New Roman" w:eastAsia="黑体"/>
          <w:b w:val="0"/>
          <w:bCs/>
          <w:color w:val="000000" w:themeColor="text1"/>
          <w:sz w:val="24"/>
          <w:szCs w:val="32"/>
          <w:lang w:val="en-US" w:eastAsia="zh-CN"/>
          <w14:textFill>
            <w14:solidFill>
              <w14:schemeClr w14:val="tx1"/>
            </w14:solidFill>
          </w14:textFill>
        </w:rPr>
        <w:t xml:space="preserve"> 项目平面布置图</w:t>
      </w:r>
    </w:p>
    <w:p w14:paraId="21F55319">
      <w:pPr>
        <w:pStyle w:val="35"/>
        <w:widowControl w:val="0"/>
        <w:wordWrap/>
        <w:autoSpaceDE w:val="0"/>
        <w:autoSpaceDN w:val="0"/>
        <w:adjustRightInd w:val="0"/>
        <w:snapToGrid/>
        <w:spacing w:line="240" w:lineRule="auto"/>
        <w:jc w:val="center"/>
        <w:textAlignment w:val="auto"/>
        <w:rPr>
          <w:rFonts w:hint="default" w:ascii="黑体" w:hAnsi="Times New Roman" w:eastAsia="黑体"/>
          <w:b w:val="0"/>
          <w:bCs/>
          <w:color w:val="000000"/>
          <w:sz w:val="24"/>
          <w:szCs w:val="32"/>
          <w:lang w:val="en-US" w:eastAsia="zh-CN"/>
        </w:rPr>
      </w:pPr>
      <w:r>
        <w:rPr>
          <w:rFonts w:hint="default" w:ascii="黑体" w:hAnsi="Times New Roman" w:eastAsia="黑体"/>
          <w:b w:val="0"/>
          <w:bCs/>
          <w:color w:val="000000"/>
          <w:sz w:val="24"/>
          <w:szCs w:val="32"/>
          <w:lang w:val="en-US" w:eastAsia="zh-CN"/>
        </w:rPr>
        <w:drawing>
          <wp:inline distT="0" distB="0" distL="114300" distR="114300">
            <wp:extent cx="5272405" cy="3956685"/>
            <wp:effectExtent l="0" t="0" r="4445" b="5715"/>
            <wp:docPr id="38" name="图片 38" descr="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页-6"/>
                    <pic:cNvPicPr>
                      <a:picLocks noChangeAspect="1"/>
                    </pic:cNvPicPr>
                  </pic:nvPicPr>
                  <pic:blipFill>
                    <a:blip r:embed="rId75"/>
                    <a:stretch>
                      <a:fillRect/>
                    </a:stretch>
                  </pic:blipFill>
                  <pic:spPr>
                    <a:xfrm>
                      <a:off x="0" y="0"/>
                      <a:ext cx="5272405" cy="3956685"/>
                    </a:xfrm>
                    <a:prstGeom prst="rect">
                      <a:avLst/>
                    </a:prstGeom>
                  </pic:spPr>
                </pic:pic>
              </a:graphicData>
            </a:graphic>
          </wp:inline>
        </w:drawing>
      </w:r>
    </w:p>
    <w:p w14:paraId="5DC93A63">
      <w:pPr>
        <w:pStyle w:val="35"/>
        <w:widowControl w:val="0"/>
        <w:wordWrap/>
        <w:autoSpaceDE w:val="0"/>
        <w:autoSpaceDN w:val="0"/>
        <w:adjustRightInd w:val="0"/>
        <w:snapToGrid/>
        <w:spacing w:line="240" w:lineRule="auto"/>
        <w:jc w:val="center"/>
        <w:textAlignment w:val="auto"/>
        <w:rPr>
          <w:rFonts w:hint="eastAsia" w:ascii="黑体" w:hAnsi="Times New Roman" w:eastAsia="黑体"/>
          <w:b w:val="0"/>
          <w:bCs/>
          <w:color w:val="000000" w:themeColor="text1"/>
          <w:sz w:val="24"/>
          <w:szCs w:val="32"/>
          <w:lang w:val="en-US" w:eastAsia="zh-CN"/>
          <w14:textFill>
            <w14:solidFill>
              <w14:schemeClr w14:val="tx1"/>
            </w14:solidFill>
          </w14:textFill>
        </w:rPr>
        <w:sectPr>
          <w:pgSz w:w="11906" w:h="16838"/>
          <w:pgMar w:top="1417" w:right="1800" w:bottom="1134"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黑体" w:hAnsi="Times New Roman" w:eastAsia="黑体"/>
          <w:b w:val="0"/>
          <w:bCs/>
          <w:color w:val="000000" w:themeColor="text1"/>
          <w:sz w:val="24"/>
          <w:szCs w:val="32"/>
          <w:lang w:val="en-US" w:eastAsia="zh-CN"/>
          <w14:textFill>
            <w14:solidFill>
              <w14:schemeClr w14:val="tx1"/>
            </w14:solidFill>
          </w14:textFill>
        </w:rPr>
        <w:t>附图</w:t>
      </w:r>
      <w:r>
        <w:rPr>
          <w:rFonts w:hint="eastAsia"/>
          <w:b w:val="0"/>
          <w:bCs/>
          <w:color w:val="000000" w:themeColor="text1"/>
          <w:sz w:val="24"/>
          <w:szCs w:val="32"/>
          <w:lang w:val="en-US" w:eastAsia="zh-CN"/>
          <w14:textFill>
            <w14:solidFill>
              <w14:schemeClr w14:val="tx1"/>
            </w14:solidFill>
          </w14:textFill>
        </w:rPr>
        <w:t>四</w:t>
      </w:r>
      <w:r>
        <w:rPr>
          <w:rFonts w:hint="default" w:ascii="黑体" w:hAnsi="Times New Roman" w:eastAsia="黑体"/>
          <w:b w:val="0"/>
          <w:bCs/>
          <w:color w:val="000000" w:themeColor="text1"/>
          <w:sz w:val="24"/>
          <w:szCs w:val="32"/>
          <w:lang w:val="en-US" w:eastAsia="zh-CN"/>
          <w14:textFill>
            <w14:solidFill>
              <w14:schemeClr w14:val="tx1"/>
            </w14:solidFill>
          </w14:textFill>
        </w:rPr>
        <w:t xml:space="preserve"> </w:t>
      </w:r>
      <w:r>
        <w:rPr>
          <w:rFonts w:hint="eastAsia" w:ascii="黑体" w:hAnsi="Times New Roman" w:eastAsia="黑体"/>
          <w:b w:val="0"/>
          <w:bCs/>
          <w:color w:val="000000" w:themeColor="text1"/>
          <w:sz w:val="24"/>
          <w:szCs w:val="32"/>
          <w:lang w:val="en-US" w:eastAsia="zh-CN"/>
          <w14:textFill>
            <w14:solidFill>
              <w14:schemeClr w14:val="tx1"/>
            </w14:solidFill>
          </w14:textFill>
        </w:rPr>
        <w:t xml:space="preserve"> 租赁厂房</w:t>
      </w:r>
      <w:r>
        <w:rPr>
          <w:rFonts w:hint="eastAsia"/>
          <w:b w:val="0"/>
          <w:bCs/>
          <w:color w:val="000000" w:themeColor="text1"/>
          <w:sz w:val="24"/>
          <w:szCs w:val="32"/>
          <w:lang w:val="en-US" w:eastAsia="zh-CN"/>
          <w14:textFill>
            <w14:solidFill>
              <w14:schemeClr w14:val="tx1"/>
            </w14:solidFill>
          </w14:textFill>
        </w:rPr>
        <w:t>厂区</w:t>
      </w:r>
      <w:r>
        <w:rPr>
          <w:rFonts w:hint="eastAsia" w:ascii="黑体" w:hAnsi="Times New Roman" w:eastAsia="黑体"/>
          <w:b w:val="0"/>
          <w:bCs/>
          <w:color w:val="000000" w:themeColor="text1"/>
          <w:sz w:val="24"/>
          <w:szCs w:val="32"/>
          <w:lang w:val="en-US" w:eastAsia="zh-CN"/>
          <w14:textFill>
            <w14:solidFill>
              <w14:schemeClr w14:val="tx1"/>
            </w14:solidFill>
          </w14:textFill>
        </w:rPr>
        <w:t>位置图</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485EB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8" w:hRule="atLeast"/>
        </w:trPr>
        <w:tc>
          <w:tcPr>
            <w:tcW w:w="4261" w:type="dxa"/>
            <w:vAlign w:val="top"/>
          </w:tcPr>
          <w:p w14:paraId="3437E999">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eastAsia="zh-CN"/>
              </w:rPr>
              <w:drawing>
                <wp:inline distT="0" distB="0" distL="114300" distR="114300">
                  <wp:extent cx="2561590" cy="1920240"/>
                  <wp:effectExtent l="0" t="0" r="10160" b="3810"/>
                  <wp:docPr id="19" name="图片 19" descr="656d6652b0d80bb98b05ec033ce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56d6652b0d80bb98b05ec033cee257"/>
                          <pic:cNvPicPr>
                            <a:picLocks noChangeAspect="1"/>
                          </pic:cNvPicPr>
                        </pic:nvPicPr>
                        <pic:blipFill>
                          <a:blip r:embed="rId76"/>
                          <a:stretch>
                            <a:fillRect/>
                          </a:stretch>
                        </pic:blipFill>
                        <pic:spPr>
                          <a:xfrm>
                            <a:off x="0" y="0"/>
                            <a:ext cx="2561590" cy="1920240"/>
                          </a:xfrm>
                          <a:prstGeom prst="rect">
                            <a:avLst/>
                          </a:prstGeom>
                        </pic:spPr>
                      </pic:pic>
                    </a:graphicData>
                  </a:graphic>
                </wp:inline>
              </w:drawing>
            </w:r>
          </w:p>
        </w:tc>
        <w:tc>
          <w:tcPr>
            <w:tcW w:w="4261" w:type="dxa"/>
            <w:vAlign w:val="top"/>
          </w:tcPr>
          <w:p w14:paraId="3F4F406B">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eastAsia="zh-CN"/>
              </w:rPr>
              <w:drawing>
                <wp:inline distT="0" distB="0" distL="114300" distR="114300">
                  <wp:extent cx="2561590" cy="1920240"/>
                  <wp:effectExtent l="0" t="0" r="10160" b="3810"/>
                  <wp:docPr id="18" name="图片 18" descr="fd6febe9acfe92fed31f83f0968cf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d6febe9acfe92fed31f83f0968cfde"/>
                          <pic:cNvPicPr>
                            <a:picLocks noChangeAspect="1"/>
                          </pic:cNvPicPr>
                        </pic:nvPicPr>
                        <pic:blipFill>
                          <a:blip r:embed="rId77"/>
                          <a:stretch>
                            <a:fillRect/>
                          </a:stretch>
                        </pic:blipFill>
                        <pic:spPr>
                          <a:xfrm>
                            <a:off x="0" y="0"/>
                            <a:ext cx="2561590" cy="1920240"/>
                          </a:xfrm>
                          <a:prstGeom prst="rect">
                            <a:avLst/>
                          </a:prstGeom>
                        </pic:spPr>
                      </pic:pic>
                    </a:graphicData>
                  </a:graphic>
                </wp:inline>
              </w:drawing>
            </w:r>
          </w:p>
        </w:tc>
      </w:tr>
      <w:tr w14:paraId="10A91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15F5FD63">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厂区西侧</w:t>
            </w:r>
          </w:p>
        </w:tc>
        <w:tc>
          <w:tcPr>
            <w:tcW w:w="4261" w:type="dxa"/>
            <w:vAlign w:val="top"/>
          </w:tcPr>
          <w:p w14:paraId="290280C9">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厂区北侧</w:t>
            </w:r>
          </w:p>
        </w:tc>
      </w:tr>
      <w:tr w14:paraId="08938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38D1E243">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eastAsia="zh-CN"/>
              </w:rPr>
              <w:drawing>
                <wp:inline distT="0" distB="0" distL="114300" distR="114300">
                  <wp:extent cx="2567305" cy="1924685"/>
                  <wp:effectExtent l="0" t="0" r="4445" b="18415"/>
                  <wp:docPr id="21" name="图片 21" descr="08e15dbe696e1a022a9bc947b00b6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8e15dbe696e1a022a9bc947b00b6d3"/>
                          <pic:cNvPicPr>
                            <a:picLocks noChangeAspect="1"/>
                          </pic:cNvPicPr>
                        </pic:nvPicPr>
                        <pic:blipFill>
                          <a:blip r:embed="rId78"/>
                          <a:stretch>
                            <a:fillRect/>
                          </a:stretch>
                        </pic:blipFill>
                        <pic:spPr>
                          <a:xfrm>
                            <a:off x="0" y="0"/>
                            <a:ext cx="2567305" cy="1924685"/>
                          </a:xfrm>
                          <a:prstGeom prst="rect">
                            <a:avLst/>
                          </a:prstGeom>
                        </pic:spPr>
                      </pic:pic>
                    </a:graphicData>
                  </a:graphic>
                </wp:inline>
              </w:drawing>
            </w:r>
          </w:p>
        </w:tc>
        <w:tc>
          <w:tcPr>
            <w:tcW w:w="4261" w:type="dxa"/>
            <w:vAlign w:val="top"/>
          </w:tcPr>
          <w:p w14:paraId="4B425632">
            <w:pPr>
              <w:spacing w:beforeAutospacing="0" w:afterAutospacing="0"/>
              <w:rPr>
                <w:rFonts w:hint="eastAsia" w:ascii="Times New Roman" w:hAnsi="Times New Roman" w:eastAsia="宋体" w:cs="Times New Roman"/>
                <w:sz w:val="24"/>
                <w:szCs w:val="20"/>
                <w:lang w:eastAsia="zh-CN"/>
              </w:rPr>
            </w:pPr>
            <w:r>
              <w:rPr>
                <w:rFonts w:hint="eastAsia" w:ascii="Times New Roman" w:hAnsi="Times New Roman" w:eastAsia="宋体" w:cs="Times New Roman"/>
                <w:sz w:val="24"/>
                <w:szCs w:val="20"/>
                <w:lang w:eastAsia="zh-CN"/>
              </w:rPr>
              <w:drawing>
                <wp:inline distT="0" distB="0" distL="114300" distR="114300">
                  <wp:extent cx="2567305" cy="1924685"/>
                  <wp:effectExtent l="0" t="0" r="4445" b="18415"/>
                  <wp:docPr id="22" name="图片 22" descr="294eb369aaf4411bc0789786c37ff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94eb369aaf4411bc0789786c37ff48"/>
                          <pic:cNvPicPr>
                            <a:picLocks noChangeAspect="1"/>
                          </pic:cNvPicPr>
                        </pic:nvPicPr>
                        <pic:blipFill>
                          <a:blip r:embed="rId79"/>
                          <a:stretch>
                            <a:fillRect/>
                          </a:stretch>
                        </pic:blipFill>
                        <pic:spPr>
                          <a:xfrm>
                            <a:off x="0" y="0"/>
                            <a:ext cx="2567305" cy="1924685"/>
                          </a:xfrm>
                          <a:prstGeom prst="rect">
                            <a:avLst/>
                          </a:prstGeom>
                        </pic:spPr>
                      </pic:pic>
                    </a:graphicData>
                  </a:graphic>
                </wp:inline>
              </w:drawing>
            </w:r>
          </w:p>
        </w:tc>
      </w:tr>
      <w:tr w14:paraId="2CF47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vAlign w:val="top"/>
          </w:tcPr>
          <w:p w14:paraId="5E5E846F">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lang w:val="en-US" w:eastAsia="zh-CN"/>
              </w:rPr>
              <w:t>厂区东侧</w:t>
            </w:r>
          </w:p>
        </w:tc>
        <w:tc>
          <w:tcPr>
            <w:tcW w:w="4261" w:type="dxa"/>
            <w:vAlign w:val="top"/>
          </w:tcPr>
          <w:p w14:paraId="1E306ECF">
            <w:pPr>
              <w:spacing w:beforeAutospacing="0" w:afterAutospacing="0"/>
              <w:jc w:val="center"/>
              <w:rPr>
                <w:rFonts w:hint="eastAsia" w:ascii="Times New Roman" w:hAnsi="Times New Roman" w:cs="Times New Roman"/>
                <w:sz w:val="24"/>
                <w:szCs w:val="20"/>
              </w:rPr>
            </w:pPr>
            <w:r>
              <w:rPr>
                <w:rFonts w:hint="eastAsia" w:ascii="Times New Roman" w:hAnsi="Times New Roman" w:cs="Times New Roman"/>
                <w:sz w:val="24"/>
                <w:szCs w:val="20"/>
              </w:rPr>
              <w:t>厂区南侧</w:t>
            </w:r>
          </w:p>
        </w:tc>
      </w:tr>
      <w:tr w14:paraId="110B2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48ED16AA">
            <w:pPr>
              <w:spacing w:beforeAutospacing="0" w:afterAutospacing="0"/>
              <w:jc w:val="center"/>
              <w:rPr>
                <w:rFonts w:hint="eastAsia" w:ascii="Times New Roman" w:hAnsi="Times New Roman" w:cs="Times New Roman"/>
                <w:sz w:val="24"/>
                <w:szCs w:val="20"/>
                <w:lang w:eastAsia="zh-CN"/>
              </w:rPr>
            </w:pPr>
            <w:r>
              <w:rPr>
                <w:rFonts w:hint="eastAsia" w:ascii="Times New Roman" w:hAnsi="Times New Roman" w:cs="Times New Roman"/>
                <w:sz w:val="24"/>
                <w:szCs w:val="20"/>
                <w:lang w:eastAsia="zh-CN"/>
              </w:rPr>
              <w:drawing>
                <wp:inline distT="0" distB="0" distL="114300" distR="114300">
                  <wp:extent cx="2567305" cy="1924685"/>
                  <wp:effectExtent l="0" t="0" r="4445" b="18415"/>
                  <wp:docPr id="20" name="图片 20" descr="6f1602d4b29b92397670fea4f1d5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f1602d4b29b92397670fea4f1d59c0"/>
                          <pic:cNvPicPr>
                            <a:picLocks noChangeAspect="1"/>
                          </pic:cNvPicPr>
                        </pic:nvPicPr>
                        <pic:blipFill>
                          <a:blip r:embed="rId80"/>
                          <a:stretch>
                            <a:fillRect/>
                          </a:stretch>
                        </pic:blipFill>
                        <pic:spPr>
                          <a:xfrm>
                            <a:off x="0" y="0"/>
                            <a:ext cx="2567305" cy="1924685"/>
                          </a:xfrm>
                          <a:prstGeom prst="rect">
                            <a:avLst/>
                          </a:prstGeom>
                        </pic:spPr>
                      </pic:pic>
                    </a:graphicData>
                  </a:graphic>
                </wp:inline>
              </w:drawing>
            </w:r>
          </w:p>
        </w:tc>
        <w:tc>
          <w:tcPr>
            <w:tcW w:w="4261" w:type="dxa"/>
            <w:vAlign w:val="top"/>
          </w:tcPr>
          <w:p w14:paraId="11DCE358">
            <w:pPr>
              <w:spacing w:beforeAutospacing="0" w:afterAutospacing="0"/>
              <w:jc w:val="center"/>
              <w:rPr>
                <w:rFonts w:hint="eastAsia" w:ascii="Times New Roman" w:hAnsi="Times New Roman" w:cs="Times New Roman"/>
                <w:sz w:val="24"/>
                <w:szCs w:val="20"/>
                <w:lang w:eastAsia="zh-CN"/>
              </w:rPr>
            </w:pPr>
            <w:r>
              <w:rPr>
                <w:rFonts w:hint="eastAsia" w:ascii="Times New Roman" w:hAnsi="Times New Roman" w:cs="Times New Roman"/>
                <w:sz w:val="24"/>
                <w:szCs w:val="20"/>
                <w:lang w:eastAsia="zh-CN"/>
              </w:rPr>
              <w:drawing>
                <wp:inline distT="0" distB="0" distL="114300" distR="114300">
                  <wp:extent cx="2567305" cy="1924685"/>
                  <wp:effectExtent l="0" t="0" r="4445" b="18415"/>
                  <wp:docPr id="75" name="图片 75" descr="da6cd8e720f578d6f951b3939d3b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6cd8e720f578d6f951b3939d3b753"/>
                          <pic:cNvPicPr>
                            <a:picLocks noChangeAspect="1"/>
                          </pic:cNvPicPr>
                        </pic:nvPicPr>
                        <pic:blipFill>
                          <a:blip r:embed="rId81"/>
                          <a:stretch>
                            <a:fillRect/>
                          </a:stretch>
                        </pic:blipFill>
                        <pic:spPr>
                          <a:xfrm>
                            <a:off x="0" y="0"/>
                            <a:ext cx="2567305" cy="1924685"/>
                          </a:xfrm>
                          <a:prstGeom prst="rect">
                            <a:avLst/>
                          </a:prstGeom>
                        </pic:spPr>
                      </pic:pic>
                    </a:graphicData>
                  </a:graphic>
                </wp:inline>
              </w:drawing>
            </w:r>
          </w:p>
        </w:tc>
      </w:tr>
      <w:tr w14:paraId="38505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top"/>
          </w:tcPr>
          <w:p w14:paraId="0C96A037">
            <w:pPr>
              <w:spacing w:beforeAutospacing="0" w:afterAutospacing="0"/>
              <w:ind w:left="0" w:leftChars="0" w:right="0"/>
              <w:jc w:val="center"/>
              <w:rPr>
                <w:rFonts w:hint="default" w:ascii="Times New Roman" w:hAnsi="Times New Roman" w:cs="Times New Roman"/>
                <w:sz w:val="24"/>
                <w:szCs w:val="20"/>
                <w:lang w:val="en-US" w:eastAsia="zh-CN"/>
              </w:rPr>
            </w:pPr>
            <w:r>
              <w:rPr>
                <w:rFonts w:hint="eastAsia" w:ascii="Times New Roman" w:hAnsi="Times New Roman" w:cs="Times New Roman"/>
                <w:sz w:val="24"/>
                <w:szCs w:val="20"/>
                <w:lang w:eastAsia="zh-CN"/>
              </w:rPr>
              <w:t>项目</w:t>
            </w:r>
            <w:r>
              <w:rPr>
                <w:rFonts w:hint="eastAsia" w:ascii="Times New Roman" w:hAnsi="Times New Roman" w:cs="Times New Roman"/>
                <w:sz w:val="24"/>
                <w:szCs w:val="20"/>
              </w:rPr>
              <w:t>现状</w:t>
            </w:r>
          </w:p>
        </w:tc>
        <w:tc>
          <w:tcPr>
            <w:tcW w:w="4261" w:type="dxa"/>
            <w:vAlign w:val="top"/>
          </w:tcPr>
          <w:p w14:paraId="59E78022">
            <w:pPr>
              <w:spacing w:beforeAutospacing="0" w:afterAutospacing="0"/>
              <w:ind w:left="0" w:leftChars="0" w:right="0"/>
              <w:jc w:val="center"/>
              <w:rPr>
                <w:rFonts w:hint="default" w:ascii="Times New Roman" w:hAnsi="Times New Roman" w:cs="Times New Roman"/>
                <w:sz w:val="24"/>
                <w:szCs w:val="20"/>
                <w:lang w:val="en-US" w:eastAsia="zh-CN"/>
              </w:rPr>
            </w:pPr>
            <w:r>
              <w:rPr>
                <w:rFonts w:hint="eastAsia" w:ascii="Times New Roman" w:hAnsi="Times New Roman" w:cs="Times New Roman"/>
                <w:color w:val="000000" w:themeColor="text1"/>
                <w:sz w:val="24"/>
                <w:szCs w:val="20"/>
                <w:lang w:eastAsia="zh-CN"/>
                <w14:textFill>
                  <w14:solidFill>
                    <w14:schemeClr w14:val="tx1"/>
                  </w14:solidFill>
                </w14:textFill>
              </w:rPr>
              <w:t>工程师现场勘查照片</w:t>
            </w:r>
          </w:p>
        </w:tc>
      </w:tr>
    </w:tbl>
    <w:p w14:paraId="537B0331">
      <w:pPr>
        <w:adjustRightInd w:val="0"/>
        <w:snapToGrid w:val="0"/>
        <w:jc w:val="center"/>
        <w:rPr>
          <w:rFonts w:hint="eastAsia" w:ascii="黑体" w:hAnsi="Times New Roman" w:eastAsia="黑体" w:cs="黑体"/>
          <w:b w:val="0"/>
          <w:bCs/>
          <w:color w:val="000000"/>
          <w:kern w:val="2"/>
          <w:sz w:val="24"/>
          <w:szCs w:val="32"/>
          <w:lang w:val="en-US" w:eastAsia="zh-CN" w:bidi="ar-SA"/>
        </w:rPr>
      </w:pPr>
      <w:r>
        <w:rPr>
          <w:rFonts w:hint="eastAsia" w:ascii="黑体" w:hAnsi="Times New Roman" w:eastAsia="黑体" w:cs="黑体"/>
          <w:b w:val="0"/>
          <w:bCs/>
          <w:color w:val="000000"/>
          <w:kern w:val="2"/>
          <w:sz w:val="24"/>
          <w:szCs w:val="32"/>
          <w:lang w:val="en-US" w:eastAsia="zh-CN" w:bidi="ar-SA"/>
        </w:rPr>
        <w:t>附图五  项目现状照片</w:t>
      </w:r>
    </w:p>
    <w:p w14:paraId="2E25130C">
      <w:pPr>
        <w:pStyle w:val="18"/>
        <w:jc w:val="center"/>
        <w:rPr>
          <w:rFonts w:hint="eastAsia" w:ascii="黑体" w:hAnsi="Times New Roman" w:eastAsia="黑体" w:cs="黑体"/>
          <w:b w:val="0"/>
          <w:bCs/>
          <w:color w:val="000000"/>
          <w:kern w:val="2"/>
          <w:sz w:val="24"/>
          <w:szCs w:val="32"/>
          <w:lang w:val="en-US" w:eastAsia="zh-CN" w:bidi="ar-SA"/>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79FFBF21">
      <w:pPr>
        <w:pStyle w:val="18"/>
        <w:jc w:val="center"/>
      </w:pPr>
      <w:r>
        <w:rPr>
          <w:rFonts w:ascii="宋体" w:hAnsi="宋体" w:eastAsia="宋体" w:cs="宋体"/>
          <w:sz w:val="24"/>
          <w:szCs w:val="22"/>
          <w:lang w:val="zh-CN" w:eastAsia="zh-CN" w:bidi="zh-CN"/>
        </w:rPr>
        <mc:AlternateContent>
          <mc:Choice Requires="wps">
            <w:drawing>
              <wp:anchor distT="0" distB="0" distL="114300" distR="114300" simplePos="0" relativeHeight="251672576" behindDoc="0" locked="0" layoutInCell="1" allowOverlap="1">
                <wp:simplePos x="0" y="0"/>
                <wp:positionH relativeFrom="column">
                  <wp:posOffset>3185160</wp:posOffset>
                </wp:positionH>
                <wp:positionV relativeFrom="paragraph">
                  <wp:posOffset>1935480</wp:posOffset>
                </wp:positionV>
                <wp:extent cx="650240" cy="315595"/>
                <wp:effectExtent l="12700" t="12700" r="1070610" b="281305"/>
                <wp:wrapNone/>
                <wp:docPr id="45" name="矩形标注 69"/>
                <wp:cNvGraphicFramePr/>
                <a:graphic xmlns:a="http://schemas.openxmlformats.org/drawingml/2006/main">
                  <a:graphicData uri="http://schemas.microsoft.com/office/word/2010/wordprocessingShape">
                    <wps:wsp>
                      <wps:cNvSpPr/>
                      <wps:spPr>
                        <a:xfrm>
                          <a:off x="0" y="0"/>
                          <a:ext cx="650240" cy="315595"/>
                        </a:xfrm>
                        <a:prstGeom prst="wedgeRectCallout">
                          <a:avLst>
                            <a:gd name="adj1" fmla="val 196843"/>
                            <a:gd name="adj2" fmla="val 124046"/>
                          </a:avLst>
                        </a:prstGeom>
                        <a:noFill/>
                        <a:ln w="25400" cap="flat" cmpd="sng">
                          <a:solidFill>
                            <a:srgbClr val="C00000"/>
                          </a:solidFill>
                          <a:prstDash val="solid"/>
                          <a:miter/>
                          <a:headEnd type="none" w="med" len="med"/>
                          <a:tailEnd type="none" w="med" len="med"/>
                        </a:ln>
                      </wps:spPr>
                      <wps:txbx>
                        <w:txbxContent>
                          <w:p w14:paraId="73A572FA">
                            <w:pPr>
                              <w:jc w:val="center"/>
                              <w:rPr>
                                <w:rFonts w:hint="default" w:eastAsia="宋体"/>
                                <w:b/>
                                <w:bCs/>
                                <w:color w:val="000000"/>
                                <w:lang w:val="en-US" w:eastAsia="zh-CN"/>
                              </w:rPr>
                            </w:pPr>
                            <w:r>
                              <w:rPr>
                                <w:rFonts w:hint="eastAsia"/>
                                <w:b/>
                                <w:bCs/>
                                <w:color w:val="000000"/>
                                <w:lang w:val="en-US" w:eastAsia="zh-CN"/>
                              </w:rPr>
                              <w:t>项目地</w:t>
                            </w:r>
                          </w:p>
                        </w:txbxContent>
                      </wps:txbx>
                      <wps:bodyPr upright="0"/>
                    </wps:wsp>
                  </a:graphicData>
                </a:graphic>
              </wp:anchor>
            </w:drawing>
          </mc:Choice>
          <mc:Fallback>
            <w:pict>
              <v:shape id="矩形标注 69" o:spid="_x0000_s1026" o:spt="61" type="#_x0000_t61" style="position:absolute;left:0pt;margin-left:250.8pt;margin-top:152.4pt;height:24.85pt;width:51.2pt;z-index:251672576;mso-width-relative:page;mso-height-relative:page;" filled="f" stroked="t" coordsize="21600,21600" o:gfxdata="UEsDBAoAAAAAAIdO4kAAAAAAAAAAAAAAAAAEAAAAZHJzL1BLAwQUAAAACACHTuJAad0weNwAAAAL&#10;AQAADwAAAGRycy9kb3ducmV2LnhtbE2Py07DMBBF90j8gzVI7KgdSCIIcSqEhHhUqKIUqezc2MQB&#10;exzFblr+nmEFy5k5unNuPT94xyYzxj6ghGwmgBlsg+6xk7B+vTu7BBaTQq1cQCPh20SYN8dHtap0&#10;2OOLmVapYxSCsVISbEpDxXlsrfEqzsJgkG4fYfQq0Th2XI9qT+He8XMhSu5Vj/TBqsHcWtN+rXZe&#10;wtLZ9+XYXsXPx6fp+Wbztlms7x+kPD3JxDWwZA7pD4ZffVKHhpy2YYc6MiehEFlJqIQLkVMHIkqR&#10;U7stbYq8AN7U/H+H5gdQSwMEFAAAAAgAh07iQHSH1PE0AgAAZwQAAA4AAABkcnMvZTJvRG9jLnht&#10;bK1US5LTMBDdU8UdVNoTO5k4NXHFmUXCsKFgioEDKJJsi9KvJCV2TsAxoFjBmjXHYbgGLdlkPmyy&#10;wAu55W69fv265dVVryQ6cOeF0RWeTnKMuKaGCd1U+MP76xeXGPlANCPSaF7hI/f4av382aqzJZ+Z&#10;1kjGHQIQ7cvOVrgNwZZZ5mnLFfETY7kGZ22cIgG2rsmYIx2gK5nN8nyRdcYx6wzl3sPX7eDEI6I7&#10;B9DUtaB8a+hecR0GVMclCVCSb4X1eJ3Y1jWn4W1dex6QrDBUGtIKScDexTVbr0jZOGJbQUcK5BwK&#10;T2pSRGhIeoLakkDQ3ol/oJSgznhThwk1KhsKSYpAFdP8iTa3LbE81QJSe3sS3f8/WPrmcOOQYBWe&#10;FxhpoqDjvz9///Xz692XT3c/vqHFMmrUWV9C6K29cePOgxkL7mun4htKQX3S9XjSlfcBUfi4KPLZ&#10;HBSn4LqYFsWyiJjZ/WHrfHjFjULRqHDHWcPfQe82REqzD0lZcnjtQ5KYjTwJ+zjFqFYSOnYgEk2X&#10;i8v5xdjSB0GzR0HAZL4Y84+YwOQvg5hAm2shZZoMqVFX4VkxzyN9AuNew5iBqSxI5nWTqHkjBYtn&#10;4mnvmt1GOgSMKrzJ4zNmexQWE26Jb4e45BqYKxG4S8lbTthLzVA4WuiKhtuIIxvFGUaSw+WNVooM&#10;RMhzIqFQqUH52M6hgdEK/a4HmGjuDDvCPOytE02bLgs4UjjMX2rZeFfigD/cp6j7/8P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ndMHjcAAAACwEAAA8AAAAAAAAAAQAgAAAAIgAAAGRycy9kb3du&#10;cmV2LnhtbFBLAQIUABQAAAAIAIdO4kB0h9TxNAIAAGcEAAAOAAAAAAAAAAEAIAAAACsBAABkcnMv&#10;ZTJvRG9jLnhtbFBLBQYAAAAABgAGAFkBAADRBQAAAAA=&#10;" adj="53318,37594">
                <v:fill on="f" focussize="0,0"/>
                <v:stroke weight="2pt" color="#C00000" joinstyle="miter"/>
                <v:imagedata o:title=""/>
                <o:lock v:ext="edit" aspectratio="f"/>
                <v:textbox>
                  <w:txbxContent>
                    <w:p w14:paraId="73A572FA">
                      <w:pPr>
                        <w:jc w:val="center"/>
                        <w:rPr>
                          <w:rFonts w:hint="default" w:eastAsia="宋体"/>
                          <w:b/>
                          <w:bCs/>
                          <w:color w:val="000000"/>
                          <w:lang w:val="en-US" w:eastAsia="zh-CN"/>
                        </w:rPr>
                      </w:pPr>
                      <w:r>
                        <w:rPr>
                          <w:rFonts w:hint="eastAsia"/>
                          <w:b/>
                          <w:bCs/>
                          <w:color w:val="000000"/>
                          <w:lang w:val="en-US" w:eastAsia="zh-CN"/>
                        </w:rPr>
                        <w:t>项目地</w:t>
                      </w:r>
                    </w:p>
                  </w:txbxContent>
                </v:textbox>
              </v:shape>
            </w:pict>
          </mc:Fallback>
        </mc:AlternateContent>
      </w:r>
      <w:r>
        <w:rPr>
          <w:rFonts w:ascii="宋体" w:hAnsi="宋体" w:eastAsia="宋体" w:cs="宋体"/>
          <w:sz w:val="22"/>
          <w:szCs w:val="22"/>
          <w:lang w:val="zh-CN" w:eastAsia="zh-CN" w:bidi="zh-CN"/>
        </w:rPr>
        <mc:AlternateContent>
          <mc:Choice Requires="wps">
            <w:drawing>
              <wp:anchor distT="0" distB="0" distL="114300" distR="114300" simplePos="0" relativeHeight="251671552" behindDoc="0" locked="0" layoutInCell="1" allowOverlap="1">
                <wp:simplePos x="0" y="0"/>
                <wp:positionH relativeFrom="column">
                  <wp:posOffset>4783455</wp:posOffset>
                </wp:positionH>
                <wp:positionV relativeFrom="paragraph">
                  <wp:posOffset>2474595</wp:posOffset>
                </wp:positionV>
                <wp:extent cx="76200" cy="76200"/>
                <wp:effectExtent l="12700" t="12700" r="25400" b="25400"/>
                <wp:wrapNone/>
                <wp:docPr id="44" name="椭圆 40"/>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0" o:spid="_x0000_s1026" o:spt="3" type="#_x0000_t3" style="position:absolute;left:0pt;margin-left:376.65pt;margin-top:194.85pt;height:6pt;width:6pt;z-index:251671552;mso-width-relative:page;mso-height-relative:page;" fillcolor="#C00000" filled="t" stroked="t" coordsize="21600,21600" o:gfxdata="UEsDBAoAAAAAAIdO4kAAAAAAAAAAAAAAAAAEAAAAZHJzL1BLAwQUAAAACACHTuJAGyX41NkAAAAL&#10;AQAADwAAAGRycy9kb3ducmV2LnhtbE2PQU7DMBBF90jcwRokdtRO0zZpGqcSVLBEUHoAJ54mUWM7&#10;sp023J5hBcuZefrzfrmfzcCu6EPvrIRkIYChbZzubSvh9PX6lAMLUVmtBmdRwjcG2Ff3d6UqtLvZ&#10;T7weY8soxIZCSehiHAvOQ9OhUWHhRrR0OztvVKTRt1x7daNwM/ClEBtuVG/pQ6dGfOmwuRwnI+Fj&#10;G9/fVqfmeTbTcFj6Q36uMUj5+JCIHbCIc/yD4Vef1KEip9pNVgc2SMjWaUqohDTfZsCIyDZr2tQS&#10;ViLJgFcl/9+h+gFQSwMEFAAAAAgAh07iQH+YV0fwAQAAFwQAAA4AAABkcnMvZTJvRG9jLnhtbK1T&#10;S27bMBDdF+gdCO5rKYabFoLlLOKkm6INkPYAY5KSCPAHDm3ZF+gpuuy2x2rP0SHl2k268SJaUENy&#10;+Pjem+HyZm8N26mI2ruWX81qzpQTXmrXt/zrl/s37znDBE6C8U61/KCQ36xev1qOoVFzP3gjVWQE&#10;4rAZQ8uHlEJTVSgGZQFnPihHm52PFhJNY1/JCCOhW1PN6/q6Gn2UIXqhEGl1PW3yI2K8BNB3nRZq&#10;7cXWKpcm1KgMJJKEgw7IV4Vt1ymRPncdqsRMy0lpKiNdQvEmj9VqCU0fIQxaHCnAJRSeabKgHV16&#10;glpDAraN+j8oq0X06Ls0E95Wk5DiCKm4qp958zhAUEULWY3hZDq+HKz4tHuITMuWLxacObBU8d8/&#10;fv76/o0tijtjwIaSHsNDJK/yDCnMUvddtPlPIti+OHo4Oar2iQlafHdNJedM0M4UEkZ1Phoipg/K&#10;W5aDlitjqHhZMTSw+4hpyv6blZfRGy3vtTFlEvvNrYlsB1Td2zp/uaB0wZM049jY8vnbRaEC1LMd&#10;9QqxsoF0o+vLhU+O4GXImdkacJgYFISpowYF8s5Jlg6BDHX0kHjmYJXkzCh6dzkiqtAk0OaSTBJl&#10;HGk7VyBHGy8PVL9tiLofSnNn/XmH+qU4cezt3JD/zkvW+T2v/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JfjU2QAAAAsBAAAPAAAAAAAAAAEAIAAAACIAAABkcnMvZG93bnJldi54bWxQSwECFAAU&#10;AAAACACHTuJAf5hXR/ABAAAXBAAADgAAAAAAAAABACAAAAAoAQAAZHJzL2Uyb0RvYy54bWxQSwUG&#10;AAAAAAYABgBZAQAAigUAAAAA&#10;">
                <v:fill on="t" focussize="0,0"/>
                <v:stroke weight="2pt" color="#C00000" joinstyle="round"/>
                <v:imagedata o:title=""/>
                <o:lock v:ext="edit" aspectratio="f"/>
              </v:shape>
            </w:pict>
          </mc:Fallback>
        </mc:AlternateContent>
      </w:r>
      <w:r>
        <w:drawing>
          <wp:inline distT="0" distB="0" distL="114300" distR="114300">
            <wp:extent cx="5389880" cy="7602220"/>
            <wp:effectExtent l="0" t="0" r="1270"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82"/>
                    <a:stretch>
                      <a:fillRect/>
                    </a:stretch>
                  </pic:blipFill>
                  <pic:spPr>
                    <a:xfrm>
                      <a:off x="0" y="0"/>
                      <a:ext cx="5389880" cy="7602220"/>
                    </a:xfrm>
                    <a:prstGeom prst="rect">
                      <a:avLst/>
                    </a:prstGeom>
                    <a:noFill/>
                    <a:ln>
                      <a:noFill/>
                    </a:ln>
                  </pic:spPr>
                </pic:pic>
              </a:graphicData>
            </a:graphic>
          </wp:inline>
        </w:drawing>
      </w:r>
    </w:p>
    <w:p w14:paraId="1BE6F424">
      <w:pPr>
        <w:pStyle w:val="18"/>
        <w:jc w:val="center"/>
        <w:rPr>
          <w:rFonts w:hint="eastAsia" w:ascii="黑体" w:hAnsi="宋体" w:eastAsia="黑体" w:cs="宋体"/>
          <w:color w:val="000000"/>
          <w:sz w:val="24"/>
          <w:szCs w:val="32"/>
          <w:lang w:val="en-US" w:eastAsia="zh-CN" w:bidi="zh-CN"/>
        </w:rPr>
      </w:pPr>
      <w:r>
        <w:rPr>
          <w:rFonts w:ascii="宋体" w:hAnsi="宋体" w:eastAsia="宋体" w:cs="宋体"/>
          <w:sz w:val="22"/>
          <w:szCs w:val="22"/>
          <w:lang w:val="zh-CN" w:eastAsia="zh-CN" w:bidi="zh-CN"/>
        </w:rPr>
        <mc:AlternateContent>
          <mc:Choice Requires="wps">
            <w:drawing>
              <wp:anchor distT="0" distB="0" distL="114300" distR="114300" simplePos="0" relativeHeight="251664384" behindDoc="0" locked="0" layoutInCell="1" allowOverlap="1">
                <wp:simplePos x="0" y="0"/>
                <wp:positionH relativeFrom="column">
                  <wp:posOffset>4573905</wp:posOffset>
                </wp:positionH>
                <wp:positionV relativeFrom="paragraph">
                  <wp:posOffset>2428240</wp:posOffset>
                </wp:positionV>
                <wp:extent cx="75565" cy="75565"/>
                <wp:effectExtent l="12700" t="12700" r="26035" b="26035"/>
                <wp:wrapNone/>
                <wp:docPr id="35" name="椭圆 4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5" o:spid="_x0000_s1026" o:spt="3" type="#_x0000_t3" style="position:absolute;left:0pt;margin-left:360.15pt;margin-top:191.2pt;height:5.95pt;width:5.95pt;z-index:251664384;mso-width-relative:page;mso-height-relative:page;" fillcolor="#C00000" filled="t" stroked="t" coordsize="21600,21600" o:gfxdata="UEsDBAoAAAAAAIdO4kAAAAAAAAAAAAAAAAAEAAAAZHJzL1BLAwQUAAAACACHTuJA7ImtXNgAAAAL&#10;AQAADwAAAGRycy9kb3ducmV2LnhtbE2PQU7DMBBF90jcwRokdtSuE9E0xKkEFSwRLT2AE0+TiNiO&#10;bKcNt2dYwXJmnv68X+0WO7ILhjh4p2C9EsDQtd4MrlNw+nx9KIDFpJ3Ro3eo4Bsj7Orbm0qXxl/d&#10;AS/H1DEKcbHUCvqUppLz2PZodVz5CR3dzj5YnWgMHTdBXyncjlwK8citHhx96PWELz22X8fZKvjY&#10;pve3/NQ+L3Ye9zLsi3ODUan7u7V4ApZwSX8w/OqTOtTk1PjZmchGBRspMkIVZIXMgRGxyaQE1tBm&#10;m2fA64r/71D/AFBLAwQUAAAACACHTuJAOo/YTfIBAAAXBAAADgAAAGRycy9lMm9Eb2MueG1srVPN&#10;bhMxEL4j8Q6W72TTtFvQKpseGsoFQaXCA0xs764l/8njZJMX4Ck4cuWx4DkYe0NKyyWH7sE79oy/&#10;me+b8fJmbw3bqYjau5ZfzOacKSe81K5v+dcvd2/ecYYJnATjnWr5QSG/Wb1+tRxDoxZ+8EaqyAjE&#10;YTOGlg8phaaqUAzKAs58UI6cnY8WEm1jX8kII6FbUy3m8+tq9FGG6IVCpNP15ORHxHgOoO86LdTa&#10;i61VLk2oURlIRAkHHZCvSrVdp0T63HWoEjMtJ6aprJSE7E1eq9USmj5CGLQ4lgDnlPCMkwXtKOkJ&#10;ag0J2Dbq/6CsFtGj79JMeFtNRIoixOJi/kybhwGCKlxIagwn0fHlYMWn3X1kWrb8subMgaWO//7x&#10;89f3b+yqzuqMARsKegj38bhDMjPVfRdt/hMJti+KHk6Kqn1igg7f1vU14QryTCZhVI9XQ8T0QXnL&#10;stFyZQw1LzOGBnYfMU3Rf6PyMXqj5Z02pmxiv7k1ke2Auns7z18umRI8CTOOjS1f1FfkZgJoZjua&#10;FTJtIN7o+pLwyRU8DzlXtgYcpgoKwjRRgwL53kmWDoEEdfSQeK7BKsmZUfTuskWlQpNAm3MiiZRx&#10;xC33Y+pAtjZeHqh/2xB1P5Thzvyzh+alKHGc7TyQ/+5L1ON7Xv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7ImtXNgAAAALAQAADwAAAAAAAAABACAAAAAiAAAAZHJzL2Rvd25yZXYueG1sUEsBAhQA&#10;FAAAAAgAh07iQDqP2E3yAQAAFwQAAA4AAAAAAAAAAQAgAAAAJwEAAGRycy9lMm9Eb2MueG1sUEsF&#10;BgAAAAAGAAYAWQEAAIsFAAAAAA==&#10;">
                <v:fill on="t" focussize="0,0"/>
                <v:stroke weight="2pt" color="#C00000" joinstyle="round"/>
                <v:imagedata o:title=""/>
                <o:lock v:ext="edit" aspectratio="f"/>
              </v:shape>
            </w:pict>
          </mc:Fallback>
        </mc:AlternateContent>
      </w:r>
      <w:r>
        <w:rPr>
          <w:rFonts w:hint="eastAsia" w:ascii="黑体" w:hAnsi="Times New Roman" w:eastAsia="黑体" w:cs="黑体"/>
          <w:b w:val="0"/>
          <w:bCs/>
          <w:color w:val="000000"/>
          <w:kern w:val="2"/>
          <w:sz w:val="24"/>
          <w:szCs w:val="32"/>
          <w:lang w:val="en-US" w:eastAsia="zh-CN" w:bidi="ar-SA"/>
        </w:rPr>
        <w:t>附</w:t>
      </w:r>
      <w:r>
        <w:rPr>
          <w:rFonts w:hint="eastAsia" w:ascii="黑体" w:hAnsi="宋体" w:eastAsia="黑体" w:cs="宋体"/>
          <w:color w:val="000000"/>
          <w:sz w:val="24"/>
          <w:szCs w:val="32"/>
          <w:lang w:val="en-US" w:eastAsia="zh-CN" w:bidi="zh-CN"/>
        </w:rPr>
        <w:t>图</w:t>
      </w:r>
      <w:r>
        <w:rPr>
          <w:rFonts w:hint="eastAsia" w:ascii="黑体" w:eastAsia="黑体" w:cs="宋体"/>
          <w:color w:val="000000"/>
          <w:sz w:val="24"/>
          <w:szCs w:val="32"/>
          <w:lang w:val="en-US" w:eastAsia="zh-CN" w:bidi="zh-CN"/>
        </w:rPr>
        <w:t>六</w:t>
      </w:r>
      <w:r>
        <w:rPr>
          <w:rFonts w:hint="eastAsia" w:ascii="黑体" w:hAnsi="宋体" w:eastAsia="黑体" w:cs="宋体"/>
          <w:color w:val="000000"/>
          <w:sz w:val="24"/>
          <w:szCs w:val="32"/>
          <w:lang w:val="en-US" w:eastAsia="zh-CN" w:bidi="zh-CN"/>
        </w:rPr>
        <w:t xml:space="preserve">  项目在许昌魏都区先进制造业开发区用地功能布局中的位置</w:t>
      </w:r>
    </w:p>
    <w:p w14:paraId="25A2F02C">
      <w:pPr>
        <w:pStyle w:val="18"/>
        <w:widowControl w:val="0"/>
        <w:wordWrap/>
        <w:autoSpaceDE w:val="0"/>
        <w:autoSpaceDN w:val="0"/>
        <w:adjustRightInd/>
        <w:snapToGrid/>
        <w:ind w:left="0" w:firstLine="0" w:firstLineChars="0"/>
        <w:jc w:val="center"/>
        <w:textAlignment w:val="auto"/>
        <w:rPr>
          <w:rFonts w:hint="eastAsia" w:ascii="黑体" w:hAnsi="Times New Roman" w:eastAsia="黑体" w:cs="黑体"/>
          <w:b w:val="0"/>
          <w:bCs/>
          <w:color w:val="000000"/>
          <w:kern w:val="2"/>
          <w:sz w:val="24"/>
          <w:szCs w:val="32"/>
          <w:lang w:val="en-US" w:eastAsia="zh-CN" w:bidi="ar-SA"/>
        </w:rPr>
      </w:pPr>
      <w:r>
        <w:rPr>
          <w:rFonts w:ascii="宋体" w:hAnsi="宋体" w:eastAsia="宋体" w:cs="宋体"/>
          <w:sz w:val="24"/>
          <w:szCs w:val="22"/>
          <w:lang w:val="zh-CN" w:eastAsia="zh-CN" w:bidi="zh-CN"/>
        </w:rPr>
        <mc:AlternateContent>
          <mc:Choice Requires="wps">
            <w:drawing>
              <wp:anchor distT="0" distB="0" distL="114300" distR="114300" simplePos="0" relativeHeight="251674624" behindDoc="0" locked="0" layoutInCell="1" allowOverlap="1">
                <wp:simplePos x="0" y="0"/>
                <wp:positionH relativeFrom="column">
                  <wp:posOffset>3197860</wp:posOffset>
                </wp:positionH>
                <wp:positionV relativeFrom="paragraph">
                  <wp:posOffset>1927225</wp:posOffset>
                </wp:positionV>
                <wp:extent cx="650240" cy="315595"/>
                <wp:effectExtent l="12700" t="12700" r="1070610" b="281305"/>
                <wp:wrapNone/>
                <wp:docPr id="47" name="自选图形 41"/>
                <wp:cNvGraphicFramePr/>
                <a:graphic xmlns:a="http://schemas.openxmlformats.org/drawingml/2006/main">
                  <a:graphicData uri="http://schemas.microsoft.com/office/word/2010/wordprocessingShape">
                    <wps:wsp>
                      <wps:cNvSpPr/>
                      <wps:spPr>
                        <a:xfrm>
                          <a:off x="0" y="0"/>
                          <a:ext cx="650240" cy="315595"/>
                        </a:xfrm>
                        <a:prstGeom prst="wedgeRectCallout">
                          <a:avLst>
                            <a:gd name="adj1" fmla="val 196843"/>
                            <a:gd name="adj2" fmla="val 124046"/>
                          </a:avLst>
                        </a:prstGeom>
                        <a:noFill/>
                        <a:ln w="25400" cap="flat" cmpd="sng">
                          <a:solidFill>
                            <a:srgbClr val="C00000"/>
                          </a:solidFill>
                          <a:prstDash val="solid"/>
                          <a:miter/>
                          <a:headEnd type="none" w="med" len="med"/>
                          <a:tailEnd type="none" w="med" len="med"/>
                        </a:ln>
                      </wps:spPr>
                      <wps:txbx>
                        <w:txbxContent>
                          <w:p w14:paraId="612B951F">
                            <w:pPr>
                              <w:jc w:val="center"/>
                              <w:rPr>
                                <w:rFonts w:hint="default" w:eastAsia="宋体"/>
                                <w:b/>
                                <w:bCs/>
                                <w:color w:val="000000"/>
                                <w:lang w:val="en-US" w:eastAsia="zh-CN"/>
                              </w:rPr>
                            </w:pPr>
                            <w:r>
                              <w:rPr>
                                <w:rFonts w:hint="eastAsia"/>
                                <w:b/>
                                <w:bCs/>
                                <w:color w:val="000000"/>
                                <w:lang w:val="en-US" w:eastAsia="zh-CN"/>
                              </w:rPr>
                              <w:t>项目地</w:t>
                            </w:r>
                          </w:p>
                        </w:txbxContent>
                      </wps:txbx>
                      <wps:bodyPr upright="0"/>
                    </wps:wsp>
                  </a:graphicData>
                </a:graphic>
              </wp:anchor>
            </w:drawing>
          </mc:Choice>
          <mc:Fallback>
            <w:pict>
              <v:shape id="自选图形 41" o:spid="_x0000_s1026" o:spt="61" type="#_x0000_t61" style="position:absolute;left:0pt;margin-left:251.8pt;margin-top:151.75pt;height:24.85pt;width:51.2pt;z-index:251674624;mso-width-relative:page;mso-height-relative:page;" filled="f" stroked="t" coordsize="21600,21600" o:gfxdata="UEsDBAoAAAAAAIdO4kAAAAAAAAAAAAAAAAAEAAAAZHJzL1BLAwQUAAAACACHTuJAwUXq49wAAAAL&#10;AQAADwAAAGRycy9kb3ducmV2LnhtbE2Py07DMBBF90j8gzVI7KjdRoloiFMhJMRLVUVbpLJzYxMH&#10;4nFku2n5e4YVLGfm6M651eLkejaaEDuPEqYTAcxg43WHrYTt5v7qGlhMCrXqPRoJ3ybCoj4/q1Sp&#10;/RFfzbhOLaMQjKWSYFMaSs5jY41TceIHg3T78MGpRGNouQ7qSOGu5zMhCu5Uh/TBqsHcWdN8rQ9O&#10;wqq376vQzOPn0/O4vN297V62D49SXl5MxQ2wZE7pD4ZffVKHmpz2/oA6sl5CLrKCUAmZyHJgRBSi&#10;oHZ72uTZDHhd8f8d6h9QSwMEFAAAAAgAh07iQLTFz782AgAAZwQAAA4AAABkcnMvZTJvRG9jLnht&#10;bK1US5LTMBDdU8UdVNoT2xknzKTizCJh2FAwxcABFEm2RelXkhI7O3YUZ2DHcu4At5kquAUt2WQ+&#10;bLLAC7nlbr1+/brl5WWvJNpz54XRFS4mOUZcU8OEbir88cPVi3OMfCCaEWk0r/CBe3y5ev5s2dkF&#10;n5rWSMYdAhDtF52tcBuCXWSZpy1XxE+M5RqctXGKBNi6JmOOdICuZDbN83nWGcesM5R7D183gxOP&#10;iO4UQFPXgvKNoTvFdRhQHZckQEm+FdbjVWJb15yGd3XteUCywlBpSCskAXsb12y1JIvGEdsKOlIg&#10;p1B4UpMiQkPSI9SGBIJ2TvwDpQR1xps6TKhR2VBIUgSqKPIn2ty0xPJUC0jt7VF0//9g6dv9tUOC&#10;Vbh8iZEmCjr+68vt789f7779vPvxHZVF1KizfgGhN/bajTsPZiy4r52KbygF9UnXw1FX3gdE4eN8&#10;lk9LUJyC66yYzS5mETO7P2ydD6+5USgaFe44a/h76N2aSGl2ISlL9m98SBKzkSdhnwqMaiWhY3si&#10;UXExPy/PxpY+CJo+CgIm5XzMP2ICk78MYgJtroSUaTKkRl2Fp7Myj/QJjHsNYwamsiCZ102i5o0U&#10;LJ6Jp71rtmvpEDCq8DqPz5jtUVhMuCG+HeKSa2CuROAuJW85Ya80Q+FgoSsabiOObBRnGEkOlzda&#10;KTIQIU+JhEKlBuVjO4cGRiv02x5gork17ADzsLNONG26LOBI4TB/qWXjXYkD/nCfou7/D6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wUXq49wAAAALAQAADwAAAAAAAAABACAAAAAiAAAAZHJzL2Rv&#10;d25yZXYueG1sUEsBAhQAFAAAAAgAh07iQLTFz782AgAAZwQAAA4AAAAAAAAAAQAgAAAAKwEAAGRy&#10;cy9lMm9Eb2MueG1sUEsFBgAAAAAGAAYAWQEAANMFAAAAAA==&#10;" adj="53318,37594">
                <v:fill on="f" focussize="0,0"/>
                <v:stroke weight="2pt" color="#C00000" joinstyle="miter"/>
                <v:imagedata o:title=""/>
                <o:lock v:ext="edit" aspectratio="f"/>
                <v:textbox>
                  <w:txbxContent>
                    <w:p w14:paraId="612B951F">
                      <w:pPr>
                        <w:jc w:val="center"/>
                        <w:rPr>
                          <w:rFonts w:hint="default" w:eastAsia="宋体"/>
                          <w:b/>
                          <w:bCs/>
                          <w:color w:val="000000"/>
                          <w:lang w:val="en-US" w:eastAsia="zh-CN"/>
                        </w:rPr>
                      </w:pPr>
                      <w:r>
                        <w:rPr>
                          <w:rFonts w:hint="eastAsia"/>
                          <w:b/>
                          <w:bCs/>
                          <w:color w:val="000000"/>
                          <w:lang w:val="en-US" w:eastAsia="zh-CN"/>
                        </w:rPr>
                        <w:t>项目地</w:t>
                      </w:r>
                    </w:p>
                  </w:txbxContent>
                </v:textbox>
              </v:shape>
            </w:pict>
          </mc:Fallback>
        </mc:AlternateContent>
      </w:r>
      <w:r>
        <w:rPr>
          <w:rFonts w:ascii="宋体" w:hAnsi="宋体" w:eastAsia="宋体" w:cs="宋体"/>
          <w:sz w:val="22"/>
          <w:szCs w:val="22"/>
          <w:lang w:val="zh-CN" w:eastAsia="zh-CN" w:bidi="zh-CN"/>
        </w:rPr>
        <mc:AlternateContent>
          <mc:Choice Requires="wps">
            <w:drawing>
              <wp:anchor distT="0" distB="0" distL="114300" distR="114300" simplePos="0" relativeHeight="251673600" behindDoc="0" locked="0" layoutInCell="1" allowOverlap="1">
                <wp:simplePos x="0" y="0"/>
                <wp:positionH relativeFrom="column">
                  <wp:posOffset>4796155</wp:posOffset>
                </wp:positionH>
                <wp:positionV relativeFrom="paragraph">
                  <wp:posOffset>2466340</wp:posOffset>
                </wp:positionV>
                <wp:extent cx="76200" cy="76200"/>
                <wp:effectExtent l="12700" t="12700" r="25400" b="25400"/>
                <wp:wrapNone/>
                <wp:docPr id="46" name="椭圆 42"/>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42" o:spid="_x0000_s1026" o:spt="3" type="#_x0000_t3" style="position:absolute;left:0pt;margin-left:377.65pt;margin-top:194.2pt;height:6pt;width:6pt;z-index:251673600;mso-width-relative:page;mso-height-relative:page;" fillcolor="#C00000" filled="t" stroked="t" coordsize="21600,21600" o:gfxdata="UEsDBAoAAAAAAIdO4kAAAAAAAAAAAAAAAAAEAAAAZHJzL1BLAwQUAAAACACHTuJAIdVIr9gAAAAL&#10;AQAADwAAAGRycy9kb3ducmV2LnhtbE2Py07DMBBF90j8gzVI7KjdNm1CyKQSVLBEpfQDnHiaRPgR&#10;2U4b/h6zguXMHN05t9rNRrML+TA4i7BcCGBkW6cG2yGcPl8fCmAhSqukdpYQvinArr69qWSp3NV+&#10;0OUYO5ZCbCglQh/jWHIe2p6MDAs3kk23s/NGxjT6jisvryncaL4SYsuNHGz60MuRXnpqv46TQTg8&#10;xve37NQ+z2bS+5XfF+eGAuL93VI8AYs0xz8YfvWTOtTJqXGTVYFphHyzWScUYV0UGbBE5Ns8bRqE&#10;TIgMeF3x/x3qH1BLAwQUAAAACACHTuJA85o2OPEBAAAXBAAADgAAAGRycy9lMm9Eb2MueG1srVNL&#10;btswEN0X6B0I7msphusWguUs4qSbog2Q9gBjkpII8AcObdkX6Cm67LbHas/RIeU6TbrxIlpQQ3L4&#10;+N6b4er6YA3bq4jau5ZfzWrOlBNeate3/OuXuzfvOcMEToLxTrX8qJBfr1+/Wo2hUXM/eCNVZATi&#10;sBlDy4eUQlNVKAZlAWc+KEebnY8WEk1jX8kII6FbU83relmNPsoQvVCItLqZNvkJMV4C6LtOC7Xx&#10;YmeVSxNqVAYSScJBB+TrwrbrlEifuw5VYqblpDSVkS6heJvHar2Cpo8QBi1OFOASCs80WdCOLj1D&#10;bSAB20X9H5TVInr0XZoJb6tJSHGEVFzVz7x5GCCoooWsxnA2HV8OVnza30emZcsXS84cWKr47x8/&#10;f33/xhbz7M4YsKGkh3AfTzOkMEs9dNHmP4lgh+Lo8eyoOiQmaPHdkkrOmaCdKSSM6vFoiJg+KG9Z&#10;DlqujKHiZcXQwP4jpin7b1ZeRm+0vNPGlEnstzcmsj1QdW/q/GXKdMGTNOPY2PL520WhAtSzHfUK&#10;sbKBdKPry4VPjuBlyJnZBnCYGBSEqaMGBfLWSZaOgQx19JB45mCV5Mwoenc5IqrQJNDmkkwSZRxp&#10;y/WYKpCjrZdHqt8uRN0Ppbmz/rxD/VKcOPV2bsh/5yXr8T2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h1Uiv2AAAAAsBAAAPAAAAAAAAAAEAIAAAACIAAABkcnMvZG93bnJldi54bWxQSwECFAAU&#10;AAAACACHTuJA85o2OPEBAAAXBAAADgAAAAAAAAABACAAAAAnAQAAZHJzL2Uyb0RvYy54bWxQSwUG&#10;AAAAAAYABgBZAQAAigUAAAAA&#10;">
                <v:fill on="t" focussize="0,0"/>
                <v:stroke weight="2pt" color="#C00000" joinstyle="round"/>
                <v:imagedata o:title=""/>
                <o:lock v:ext="edit" aspectratio="f"/>
              </v:shape>
            </w:pict>
          </mc:Fallback>
        </mc:AlternateContent>
      </w:r>
      <w:r>
        <w:drawing>
          <wp:inline distT="0" distB="0" distL="114300" distR="114300">
            <wp:extent cx="5396865" cy="7567930"/>
            <wp:effectExtent l="0" t="0" r="13335" b="1397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83"/>
                    <a:stretch>
                      <a:fillRect/>
                    </a:stretch>
                  </pic:blipFill>
                  <pic:spPr>
                    <a:xfrm>
                      <a:off x="0" y="0"/>
                      <a:ext cx="5396865" cy="7567930"/>
                    </a:xfrm>
                    <a:prstGeom prst="rect">
                      <a:avLst/>
                    </a:prstGeom>
                    <a:noFill/>
                    <a:ln>
                      <a:noFill/>
                    </a:ln>
                  </pic:spPr>
                </pic:pic>
              </a:graphicData>
            </a:graphic>
          </wp:inline>
        </w:drawing>
      </w:r>
    </w:p>
    <w:p w14:paraId="12A7B88B">
      <w:pPr>
        <w:pStyle w:val="18"/>
        <w:widowControl w:val="0"/>
        <w:wordWrap/>
        <w:autoSpaceDE w:val="0"/>
        <w:autoSpaceDN w:val="0"/>
        <w:adjustRightInd/>
        <w:snapToGrid/>
        <w:ind w:left="0" w:firstLine="0" w:firstLineChars="0"/>
        <w:jc w:val="center"/>
        <w:textAlignment w:val="auto"/>
        <w:rPr>
          <w:rFonts w:hint="default" w:eastAsia="黑体"/>
          <w:lang w:val="en-US" w:eastAsia="zh-CN"/>
        </w:rPr>
      </w:pPr>
      <w:r>
        <w:rPr>
          <w:rFonts w:ascii="宋体" w:hAnsi="宋体" w:eastAsia="宋体" w:cs="宋体"/>
          <w:sz w:val="22"/>
          <w:szCs w:val="22"/>
          <w:lang w:val="zh-CN" w:eastAsia="zh-CN" w:bidi="zh-CN"/>
        </w:rPr>
        <mc:AlternateContent>
          <mc:Choice Requires="wps">
            <w:drawing>
              <wp:anchor distT="0" distB="0" distL="114300" distR="114300" simplePos="0" relativeHeight="251665408" behindDoc="0" locked="0" layoutInCell="1" allowOverlap="1">
                <wp:simplePos x="0" y="0"/>
                <wp:positionH relativeFrom="column">
                  <wp:posOffset>4749800</wp:posOffset>
                </wp:positionH>
                <wp:positionV relativeFrom="paragraph">
                  <wp:posOffset>2745740</wp:posOffset>
                </wp:positionV>
                <wp:extent cx="76200" cy="76200"/>
                <wp:effectExtent l="12700" t="12700" r="25400" b="25400"/>
                <wp:wrapNone/>
                <wp:docPr id="36" name="椭圆 12"/>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C00000"/>
                        </a:solidFill>
                        <a:ln w="25400" cap="flat" cmpd="sng">
                          <a:solidFill>
                            <a:srgbClr val="C00000"/>
                          </a:solidFill>
                          <a:prstDash val="solid"/>
                          <a:headEnd type="none" w="med" len="med"/>
                          <a:tailEnd type="none" w="med" len="med"/>
                        </a:ln>
                      </wps:spPr>
                      <wps:bodyPr upright="0"/>
                    </wps:wsp>
                  </a:graphicData>
                </a:graphic>
              </wp:anchor>
            </w:drawing>
          </mc:Choice>
          <mc:Fallback>
            <w:pict>
              <v:shape id="椭圆 12" o:spid="_x0000_s1026" o:spt="3" type="#_x0000_t3" style="position:absolute;left:0pt;margin-left:374pt;margin-top:216.2pt;height:6pt;width:6pt;z-index:251665408;mso-width-relative:page;mso-height-relative:page;" fillcolor="#C00000" filled="t" stroked="t" coordsize="21600,21600" o:gfxdata="UEsDBAoAAAAAAIdO4kAAAAAAAAAAAAAAAAAEAAAAZHJzL1BLAwQUAAAACACHTuJAHry1E9YAAAAL&#10;AQAADwAAAGRycy9kb3ducmV2LnhtbE2PwU7DMBBE70j8g7VI3KjdELUhxKkEFRwRlH6AE2+TiHgd&#10;2U4b/p7lBHvb2dHsm2q3uFGcMcTBk4b1SoFAar0dqNNw/Hy5K0DEZMia0RNq+MYIu/r6qjKl9Rf6&#10;wPMhdYJDKJZGQ5/SVEoZ2x6diSs/IfHt5IMzidfQSRvMhcPdKDOlNtKZgfhDbyZ87rH9OsxOw/tD&#10;envNj+3T4uZxn4V9cWowan17s1aPIBIu6c8Mv/iMDjUzNX4mG8WoYZsX3CVpyO+zHAQ7thvFSsMK&#10;D8i6kv871D9QSwMEFAAAAAgAh07iQJ8NDuLxAQAAFwQAAA4AAABkcnMvZTJvRG9jLnhtbK1TS44T&#10;MRDdI3EHy3vSnQwE1EpnFhOGDYKRBg5Qsd3dlvyTy0knF+AULNlyLDgHZXfIMMMmi+mFu2yXn997&#10;VV5dH6xhexVRe9fy+azmTDnhpXZ9y79+uX31jjNM4CQY71TLjwr59frli9UYGrXwgzdSRUYgDpsx&#10;tHxIKTRVhWJQFnDmg3K02floIdE09pWMMBK6NdWirpfV6KMM0QuFSKubaZOfEOMlgL7rtFAbL3ZW&#10;uTShRmUgkSQcdEC+Lmy7Ton0uetQJWZaTkpTGekSird5rNYraPoIYdDiRAEuofBEkwXt6NIz1AYS&#10;sF3U/0FZLaJH36WZ8LaahBRHSMW8fuLN/QBBFS1kNYaz6fh8sOLT/i4yLVt+teTMgaWK//7x89f3&#10;b2y+yO6MARtKug938TRDCrPUQxdt/pMIdiiOHs+OqkNighbfLqnknAnamULCqB6Ohojpg/KW5aDl&#10;yhgqXlYMDew/Ypqy/2blZfRGy1ttTJnEfntjItsDVfemzl+mTBc8SjOOjS1fvHldqAD1bEe9Qqxs&#10;IN3o+nLhoyN4GXJmtgEcJgYFYeqoQYF87yRLx0CGOnpIPHOwSnJmFL27HBFVaBJoc0kmiTKOtOV6&#10;TBXI0dbLI9VvF6Luh9LcWX/eoX4pTpx6Ozfkv/OS9fCe1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Hry1E9YAAAALAQAADwAAAAAAAAABACAAAAAiAAAAZHJzL2Rvd25yZXYueG1sUEsBAhQAFAAA&#10;AAgAh07iQJ8NDuLxAQAAFwQAAA4AAAAAAAAAAQAgAAAAJQEAAGRycy9lMm9Eb2MueG1sUEsFBgAA&#10;AAAGAAYAWQEAAIgFAAAAAA==&#10;">
                <v:fill on="t" focussize="0,0"/>
                <v:stroke weight="2pt" color="#C00000" joinstyle="round"/>
                <v:imagedata o:title=""/>
                <o:lock v:ext="edit" aspectratio="f"/>
              </v:shape>
            </w:pict>
          </mc:Fallback>
        </mc:AlternateContent>
      </w:r>
    </w:p>
    <w:p w14:paraId="2D623221">
      <w:pPr>
        <w:keepNext w:val="0"/>
        <w:keepLines w:val="0"/>
        <w:widowControl/>
        <w:suppressLineNumbers w:val="0"/>
        <w:jc w:val="center"/>
        <w:rPr>
          <w:rFonts w:hint="eastAsia" w:ascii="黑体" w:hAnsi="宋体" w:eastAsia="黑体" w:cs="宋体"/>
          <w:color w:val="000000"/>
          <w:sz w:val="24"/>
          <w:szCs w:val="32"/>
          <w:lang w:val="en-US" w:eastAsia="zh-CN" w:bidi="zh-CN"/>
        </w:rPr>
      </w:pPr>
      <w:r>
        <w:rPr>
          <w:rFonts w:hint="eastAsia" w:ascii="黑体" w:hAnsi="宋体" w:eastAsia="黑体" w:cs="宋体"/>
          <w:color w:val="000000"/>
          <w:sz w:val="24"/>
          <w:szCs w:val="32"/>
          <w:lang w:val="en-US" w:eastAsia="zh-CN" w:bidi="zh-CN"/>
        </w:rPr>
        <w:t>附图</w:t>
      </w:r>
      <w:r>
        <w:rPr>
          <w:rFonts w:hint="eastAsia" w:ascii="黑体" w:eastAsia="黑体" w:cs="宋体"/>
          <w:color w:val="000000"/>
          <w:sz w:val="24"/>
          <w:szCs w:val="32"/>
          <w:lang w:val="en-US" w:eastAsia="zh-CN" w:bidi="zh-CN"/>
        </w:rPr>
        <w:t>七</w:t>
      </w:r>
      <w:r>
        <w:rPr>
          <w:rFonts w:hint="eastAsia" w:ascii="黑体" w:hAnsi="宋体" w:eastAsia="黑体" w:cs="宋体"/>
          <w:color w:val="000000"/>
          <w:sz w:val="24"/>
          <w:szCs w:val="32"/>
          <w:lang w:val="en-US" w:eastAsia="zh-CN" w:bidi="zh-CN"/>
        </w:rPr>
        <w:t xml:space="preserve">  项目在许昌魏都区先进制造业开发区总体空间布局中的位置</w:t>
      </w:r>
    </w:p>
    <w:p w14:paraId="5EB10F9C">
      <w:pPr>
        <w:pStyle w:val="18"/>
        <w:widowControl w:val="0"/>
        <w:wordWrap/>
        <w:autoSpaceDE w:val="0"/>
        <w:autoSpaceDN w:val="0"/>
        <w:adjustRightInd/>
        <w:snapToGrid/>
        <w:ind w:left="0" w:firstLine="0" w:firstLineChars="0"/>
        <w:jc w:val="center"/>
        <w:textAlignment w:val="auto"/>
        <w:rPr>
          <w:rFonts w:hint="eastAsia" w:ascii="黑体" w:eastAsia="黑体"/>
          <w:color w:val="000000"/>
          <w:sz w:val="24"/>
          <w:szCs w:val="32"/>
        </w:rPr>
      </w:pPr>
    </w:p>
    <w:p w14:paraId="57221B63">
      <w:pPr>
        <w:pStyle w:val="18"/>
        <w:widowControl w:val="0"/>
        <w:wordWrap/>
        <w:autoSpaceDE w:val="0"/>
        <w:autoSpaceDN w:val="0"/>
        <w:adjustRightInd/>
        <w:snapToGrid/>
        <w:ind w:left="0" w:firstLine="0" w:firstLineChars="0"/>
        <w:jc w:val="both"/>
        <w:textAlignment w:val="auto"/>
        <w:rPr>
          <w:rFonts w:hint="eastAsia" w:ascii="黑体" w:eastAsia="黑体"/>
          <w:color w:val="000000"/>
          <w:sz w:val="24"/>
          <w:szCs w:val="32"/>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numberInDash"/>
          <w:cols w:space="720" w:num="1"/>
        </w:sectPr>
      </w:pPr>
    </w:p>
    <w:p w14:paraId="6BF061C6">
      <w:pPr>
        <w:pStyle w:val="18"/>
        <w:widowControl w:val="0"/>
        <w:wordWrap/>
        <w:autoSpaceDE w:val="0"/>
        <w:autoSpaceDN w:val="0"/>
        <w:adjustRightInd/>
        <w:snapToGrid/>
        <w:ind w:left="0" w:firstLine="0" w:firstLineChars="0"/>
        <w:jc w:val="center"/>
        <w:textAlignment w:val="auto"/>
        <w:rPr>
          <w:rFonts w:hint="default" w:ascii="黑体" w:eastAsia="黑体"/>
          <w:color w:val="000000"/>
          <w:sz w:val="24"/>
          <w:szCs w:val="32"/>
          <w:lang w:val="en-US" w:eastAsia="zh-CN"/>
        </w:rPr>
      </w:pPr>
      <w:r>
        <w:rPr>
          <w:rFonts w:ascii="宋体" w:hAnsi="宋体" w:eastAsia="宋体" w:cs="宋体"/>
          <w:sz w:val="22"/>
          <w:szCs w:val="22"/>
          <w:lang w:val="zh-CN" w:eastAsia="zh-CN" w:bidi="zh-CN"/>
        </w:rPr>
        <w:drawing>
          <wp:anchor distT="0" distB="0" distL="114300" distR="114300" simplePos="0" relativeHeight="251670528" behindDoc="0" locked="0" layoutInCell="1" allowOverlap="1">
            <wp:simplePos x="0" y="0"/>
            <wp:positionH relativeFrom="column">
              <wp:posOffset>50165</wp:posOffset>
            </wp:positionH>
            <wp:positionV relativeFrom="paragraph">
              <wp:posOffset>-685800</wp:posOffset>
            </wp:positionV>
            <wp:extent cx="8982075" cy="6360795"/>
            <wp:effectExtent l="0" t="0" r="9525" b="1905"/>
            <wp:wrapNone/>
            <wp:docPr id="4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7"/>
                    <pic:cNvPicPr>
                      <a:picLocks noChangeAspect="1"/>
                    </pic:cNvPicPr>
                  </pic:nvPicPr>
                  <pic:blipFill>
                    <a:blip r:embed="rId84">
                      <a:lum/>
                    </a:blip>
                    <a:stretch>
                      <a:fillRect/>
                    </a:stretch>
                  </pic:blipFill>
                  <pic:spPr>
                    <a:xfrm>
                      <a:off x="0" y="0"/>
                      <a:ext cx="8982075" cy="6360795"/>
                    </a:xfrm>
                    <a:prstGeom prst="rect">
                      <a:avLst/>
                    </a:prstGeom>
                    <a:noFill/>
                    <a:ln>
                      <a:noFill/>
                    </a:ln>
                  </pic:spPr>
                </pic:pic>
              </a:graphicData>
            </a:graphic>
          </wp:anchor>
        </w:drawing>
      </w:r>
    </w:p>
    <w:p w14:paraId="1D28DDDE">
      <w:pPr>
        <w:pStyle w:val="18"/>
        <w:widowControl w:val="0"/>
        <w:wordWrap/>
        <w:autoSpaceDE w:val="0"/>
        <w:autoSpaceDN w:val="0"/>
        <w:adjustRightInd/>
        <w:snapToGrid/>
        <w:ind w:left="0" w:firstLine="0" w:firstLineChars="0"/>
        <w:jc w:val="center"/>
        <w:textAlignment w:val="auto"/>
        <w:rPr>
          <w:rFonts w:hint="eastAsia" w:ascii="黑体" w:eastAsia="黑体"/>
          <w:color w:val="000000"/>
          <w:sz w:val="24"/>
          <w:szCs w:val="32"/>
          <w:lang w:val="en-US" w:eastAsia="zh-CN"/>
        </w:rPr>
        <w:sectPr>
          <w:pgSz w:w="16840" w:h="11910" w:orient="landscape"/>
          <w:pgMar w:top="1701" w:right="1417" w:bottom="1701" w:left="1134" w:header="0" w:footer="817" w:gutter="0"/>
          <w:pgBorders>
            <w:top w:val="none" w:sz="0" w:space="0"/>
            <w:left w:val="none" w:sz="0" w:space="0"/>
            <w:bottom w:val="none" w:sz="0" w:space="0"/>
            <w:right w:val="none" w:sz="0" w:space="0"/>
          </w:pgBorders>
          <w:pgNumType w:fmt="numberInDash"/>
          <w:cols w:space="720" w:num="1"/>
        </w:sectPr>
      </w:pPr>
      <w:r>
        <w:rPr>
          <w:rFonts w:ascii="宋体" w:hAnsi="宋体" w:eastAsia="宋体" w:cs="宋体"/>
          <w:sz w:val="24"/>
          <w:szCs w:val="22"/>
          <w:lang w:val="zh-CN" w:eastAsia="zh-CN" w:bidi="zh-CN"/>
        </w:rPr>
        <mc:AlternateContent>
          <mc:Choice Requires="wps">
            <w:drawing>
              <wp:anchor distT="0" distB="0" distL="114300" distR="114300" simplePos="0" relativeHeight="251669504" behindDoc="0" locked="0" layoutInCell="1" allowOverlap="1">
                <wp:simplePos x="0" y="0"/>
                <wp:positionH relativeFrom="column">
                  <wp:posOffset>2613025</wp:posOffset>
                </wp:positionH>
                <wp:positionV relativeFrom="paragraph">
                  <wp:posOffset>5499100</wp:posOffset>
                </wp:positionV>
                <wp:extent cx="4601210" cy="406400"/>
                <wp:effectExtent l="0" t="0" r="0" b="0"/>
                <wp:wrapNone/>
                <wp:docPr id="42" name="Quad Arrow 1062"/>
                <wp:cNvGraphicFramePr/>
                <a:graphic xmlns:a="http://schemas.openxmlformats.org/drawingml/2006/main">
                  <a:graphicData uri="http://schemas.microsoft.com/office/word/2010/wordprocessingShape">
                    <wps:wsp>
                      <wps:cNvSpPr txBox="1"/>
                      <wps:spPr>
                        <a:xfrm>
                          <a:off x="0" y="0"/>
                          <a:ext cx="4601210" cy="406400"/>
                        </a:xfrm>
                        <a:prstGeom prst="rect">
                          <a:avLst/>
                        </a:prstGeom>
                        <a:noFill/>
                        <a:ln>
                          <a:noFill/>
                        </a:ln>
                      </wps:spPr>
                      <wps:txbx>
                        <w:txbxContent>
                          <w:p w14:paraId="42C3D1EC">
                            <w:r>
                              <w:rPr>
                                <w:rFonts w:hint="eastAsia" w:ascii="黑体" w:eastAsia="黑体"/>
                                <w:color w:val="000000"/>
                                <w:sz w:val="24"/>
                                <w:szCs w:val="32"/>
                              </w:rPr>
                              <w:t>附图</w:t>
                            </w:r>
                            <w:r>
                              <w:rPr>
                                <w:rFonts w:hint="eastAsia" w:ascii="黑体" w:eastAsia="黑体"/>
                                <w:color w:val="000000"/>
                                <w:sz w:val="24"/>
                                <w:szCs w:val="32"/>
                                <w:lang w:val="en-US" w:eastAsia="zh-CN"/>
                              </w:rPr>
                              <w:t>八</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在许昌市国土空间总体规划（2021-2035）位置</w:t>
                            </w:r>
                          </w:p>
                        </w:txbxContent>
                      </wps:txbx>
                      <wps:bodyPr upright="1"/>
                    </wps:wsp>
                  </a:graphicData>
                </a:graphic>
              </wp:anchor>
            </w:drawing>
          </mc:Choice>
          <mc:Fallback>
            <w:pict>
              <v:shape id="Quad Arrow 1062" o:spid="_x0000_s1026" o:spt="202" type="#_x0000_t202" style="position:absolute;left:0pt;margin-left:205.75pt;margin-top:433pt;height:32pt;width:362.3pt;z-index:251669504;mso-width-relative:page;mso-height-relative:page;" filled="f" stroked="f" coordsize="21600,21600" o:gfxdata="UEsDBAoAAAAAAIdO4kAAAAAAAAAAAAAAAAAEAAAAZHJzL1BLAwQUAAAACACHTuJAvStg5tgAAAAM&#10;AQAADwAAAGRycy9kb3ducmV2LnhtbE2PwU7DMBBE70j8g7VI3Kht2kZtmk0PIK4gWkDi5sbbJGq8&#10;jmK3CX+Pe4Ljap9m3hTbyXXiQkNoPSPomQJBXHnbco3wsX95WIEI0bA1nWdC+KEA2/L2pjC59SO/&#10;02UXa5FCOOQGoYmxz6UMVUPOhJnvidPv6AdnYjqHWtrBjCncdfJRqUw603JqaExPTw1Vp93ZIXy+&#10;Hr+/FuqtfnbLfvSTkuzWEvH+TqsNiEhT/IPhqp/UoUxOB39mG0SHsNB6mVCEVZalUVdCzzMN4oCw&#10;nisFsizk/xHlL1BLAwQUAAAACACHTuJANByHy6MBAABTAwAADgAAAGRycy9lMm9Eb2MueG1srVNN&#10;bxshEL1X6n9A3OP9kGVVK6+jVlZyqdpUaX8AZsGLBAwasHf97zNgx2mSSw65sDDz9s28N7C+nZ1l&#10;R4XRgO95s6g5U17CYPy+5//+3t184ywm4Qdhwauen1Tkt5uvX9ZT6FQLI9hBISMSH7sp9HxMKXRV&#10;FeWonIgLCMpTUgM6keiI+2pAMRG7s1Vb16tqAhwCglQxUnR7TvILI36EELQ2Um1BHpzy6cyKyopE&#10;kuJoQuSb0q3WSqbfWkeVmO05KU1lpSK03+W12qxFt0cRRiMvLYiPtPBGkxPGU9Er1VYkwQ5o3lE5&#10;IxEi6LSQ4KqzkOIIqWjqN948jiKoooWsjuFqevw8Wvnr+IDMDD1ftpx54Wjifw5iYN8RYWJNvWqz&#10;R1OIHUEfA4HT/ANmujnP8UjBLH3W6PKXRDHKk8Onq8NqTkxScLmqm7ahlKTcsl4t6zKC6uXvgDHd&#10;K3Asb3qONMFirDj+jIk6IegzJBfzcGesLVO0/lWAgDlS5dbPLeZdmnfzRc8OhhPJOQQ0+5FKFUEF&#10;Tl6XQpd7kYf5/7mQvryFz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9K2Dm2AAAAAwBAAAPAAAA&#10;AAAAAAEAIAAAACIAAABkcnMvZG93bnJldi54bWxQSwECFAAUAAAACACHTuJANByHy6MBAABTAwAA&#10;DgAAAAAAAAABACAAAAAnAQAAZHJzL2Uyb0RvYy54bWxQSwUGAAAAAAYABgBZAQAAPAUAAAAA&#10;">
                <v:fill on="f" focussize="0,0"/>
                <v:stroke on="f"/>
                <v:imagedata o:title=""/>
                <o:lock v:ext="edit" aspectratio="f"/>
                <v:textbox>
                  <w:txbxContent>
                    <w:p w14:paraId="42C3D1EC">
                      <w:r>
                        <w:rPr>
                          <w:rFonts w:hint="eastAsia" w:ascii="黑体" w:eastAsia="黑体"/>
                          <w:color w:val="000000"/>
                          <w:sz w:val="24"/>
                          <w:szCs w:val="32"/>
                        </w:rPr>
                        <w:t>附图</w:t>
                      </w:r>
                      <w:r>
                        <w:rPr>
                          <w:rFonts w:hint="eastAsia" w:ascii="黑体" w:eastAsia="黑体"/>
                          <w:color w:val="000000"/>
                          <w:sz w:val="24"/>
                          <w:szCs w:val="32"/>
                          <w:lang w:val="en-US" w:eastAsia="zh-CN"/>
                        </w:rPr>
                        <w:t>八</w:t>
                      </w:r>
                      <w:r>
                        <w:rPr>
                          <w:rFonts w:hint="eastAsia" w:ascii="黑体" w:eastAsia="黑体"/>
                          <w:color w:val="000000"/>
                          <w:sz w:val="24"/>
                          <w:szCs w:val="32"/>
                        </w:rPr>
                        <w:t xml:space="preserve">  项目</w:t>
                      </w:r>
                      <w:r>
                        <w:rPr>
                          <w:rFonts w:hint="eastAsia" w:ascii="黑体" w:eastAsia="黑体"/>
                          <w:color w:val="000000"/>
                          <w:sz w:val="24"/>
                          <w:szCs w:val="32"/>
                          <w:lang w:val="en-US" w:eastAsia="zh-CN"/>
                        </w:rPr>
                        <w:t>在许昌市国土空间总体规划（2021-2035）位置</w:t>
                      </w:r>
                    </w:p>
                  </w:txbxContent>
                </v:textbox>
              </v:shape>
            </w:pict>
          </mc:Fallback>
        </mc:AlternateContent>
      </w:r>
    </w:p>
    <w:p w14:paraId="6511B910">
      <w:pPr>
        <w:pStyle w:val="18"/>
        <w:widowControl w:val="0"/>
        <w:wordWrap/>
        <w:autoSpaceDE w:val="0"/>
        <w:autoSpaceDN w:val="0"/>
        <w:adjustRightInd/>
        <w:snapToGrid/>
        <w:ind w:left="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7783830" cy="4679950"/>
            <wp:effectExtent l="0" t="0" r="7620" b="6350"/>
            <wp:docPr id="74" name="图片 74" descr="7c4031689bf8caf193d45a26acdec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7c4031689bf8caf193d45a26acdec71"/>
                    <pic:cNvPicPr>
                      <a:picLocks noChangeAspect="1"/>
                    </pic:cNvPicPr>
                  </pic:nvPicPr>
                  <pic:blipFill>
                    <a:blip r:embed="rId85"/>
                    <a:stretch>
                      <a:fillRect/>
                    </a:stretch>
                  </pic:blipFill>
                  <pic:spPr>
                    <a:xfrm>
                      <a:off x="0" y="0"/>
                      <a:ext cx="7783830" cy="4679950"/>
                    </a:xfrm>
                    <a:prstGeom prst="rect">
                      <a:avLst/>
                    </a:prstGeom>
                  </pic:spPr>
                </pic:pic>
              </a:graphicData>
            </a:graphic>
          </wp:inline>
        </w:drawing>
      </w:r>
    </w:p>
    <w:p w14:paraId="7665DFE4">
      <w:pPr>
        <w:pStyle w:val="18"/>
        <w:widowControl w:val="0"/>
        <w:wordWrap/>
        <w:autoSpaceDE w:val="0"/>
        <w:autoSpaceDN w:val="0"/>
        <w:adjustRightInd/>
        <w:snapToGrid/>
        <w:ind w:left="0" w:firstLine="0" w:firstLineChars="0"/>
        <w:jc w:val="center"/>
        <w:textAlignment w:val="auto"/>
        <w:rPr>
          <w:rFonts w:hint="eastAsia" w:ascii="黑体" w:eastAsia="黑体"/>
          <w:color w:val="000000"/>
          <w:sz w:val="24"/>
          <w:szCs w:val="32"/>
          <w:lang w:val="en-US" w:eastAsia="zh-CN"/>
        </w:rPr>
      </w:pPr>
    </w:p>
    <w:p w14:paraId="0AFC89C3">
      <w:pPr>
        <w:pStyle w:val="18"/>
        <w:widowControl w:val="0"/>
        <w:wordWrap/>
        <w:autoSpaceDE w:val="0"/>
        <w:autoSpaceDN w:val="0"/>
        <w:adjustRightInd/>
        <w:snapToGrid/>
        <w:ind w:left="0" w:firstLine="0" w:firstLineChars="0"/>
        <w:jc w:val="center"/>
        <w:textAlignment w:val="auto"/>
        <w:rPr>
          <w:rFonts w:hint="eastAsia" w:ascii="黑体" w:eastAsia="黑体"/>
          <w:color w:val="000000" w:themeColor="text1"/>
          <w:sz w:val="24"/>
          <w:szCs w:val="32"/>
          <w:lang w:val="en-US" w:eastAsia="zh-CN"/>
          <w14:textFill>
            <w14:solidFill>
              <w14:schemeClr w14:val="tx1"/>
            </w14:solidFill>
          </w14:textFill>
        </w:rPr>
      </w:pPr>
      <w:r>
        <w:rPr>
          <w:rFonts w:hint="eastAsia" w:ascii="黑体" w:eastAsia="黑体"/>
          <w:color w:val="000000" w:themeColor="text1"/>
          <w:sz w:val="24"/>
          <w:szCs w:val="32"/>
          <w14:textFill>
            <w14:solidFill>
              <w14:schemeClr w14:val="tx1"/>
            </w14:solidFill>
          </w14:textFill>
        </w:rPr>
        <w:t>附图</w:t>
      </w:r>
      <w:r>
        <w:rPr>
          <w:rFonts w:hint="eastAsia" w:ascii="黑体" w:eastAsia="黑体"/>
          <w:color w:val="000000" w:themeColor="text1"/>
          <w:sz w:val="24"/>
          <w:szCs w:val="32"/>
          <w:lang w:val="en-US" w:eastAsia="zh-CN"/>
          <w14:textFill>
            <w14:solidFill>
              <w14:schemeClr w14:val="tx1"/>
            </w14:solidFill>
          </w14:textFill>
        </w:rPr>
        <w:t>九</w:t>
      </w:r>
      <w:r>
        <w:rPr>
          <w:rFonts w:hint="eastAsia" w:ascii="黑体" w:eastAsia="黑体"/>
          <w:color w:val="000000" w:themeColor="text1"/>
          <w:sz w:val="24"/>
          <w:szCs w:val="32"/>
          <w14:textFill>
            <w14:solidFill>
              <w14:schemeClr w14:val="tx1"/>
            </w14:solidFill>
          </w14:textFill>
        </w:rPr>
        <w:t xml:space="preserve">  </w:t>
      </w:r>
      <w:r>
        <w:rPr>
          <w:rFonts w:hint="eastAsia" w:ascii="黑体" w:eastAsia="黑体"/>
          <w:color w:val="000000" w:themeColor="text1"/>
          <w:sz w:val="24"/>
          <w:szCs w:val="32"/>
          <w:lang w:val="en-US" w:eastAsia="zh-CN"/>
          <w14:textFill>
            <w14:solidFill>
              <w14:schemeClr w14:val="tx1"/>
            </w14:solidFill>
          </w14:textFill>
        </w:rPr>
        <w:t>项目</w:t>
      </w:r>
      <w:r>
        <w:rPr>
          <w:rFonts w:hint="eastAsia" w:ascii="黑体" w:eastAsia="黑体"/>
          <w:color w:val="000000" w:themeColor="text1"/>
          <w:sz w:val="24"/>
          <w:szCs w:val="32"/>
          <w14:textFill>
            <w14:solidFill>
              <w14:schemeClr w14:val="tx1"/>
            </w14:solidFill>
          </w14:textFill>
        </w:rPr>
        <w:t>与许昌市饮用水源保护区的</w:t>
      </w:r>
      <w:r>
        <w:rPr>
          <w:rFonts w:hint="eastAsia" w:ascii="黑体" w:eastAsia="黑体"/>
          <w:color w:val="000000" w:themeColor="text1"/>
          <w:sz w:val="24"/>
          <w:szCs w:val="32"/>
          <w:lang w:val="en-US" w:eastAsia="zh-CN"/>
          <w14:textFill>
            <w14:solidFill>
              <w14:schemeClr w14:val="tx1"/>
            </w14:solidFill>
          </w14:textFill>
        </w:rPr>
        <w:t>相对</w:t>
      </w:r>
      <w:r>
        <w:rPr>
          <w:rFonts w:hint="eastAsia" w:ascii="黑体" w:eastAsia="黑体"/>
          <w:color w:val="000000" w:themeColor="text1"/>
          <w:sz w:val="24"/>
          <w:szCs w:val="32"/>
          <w14:textFill>
            <w14:solidFill>
              <w14:schemeClr w14:val="tx1"/>
            </w14:solidFill>
          </w14:textFill>
        </w:rPr>
        <w:t>位置关系</w:t>
      </w:r>
      <w:r>
        <w:rPr>
          <w:rFonts w:hint="eastAsia" w:ascii="黑体" w:eastAsia="黑体"/>
          <w:color w:val="000000" w:themeColor="text1"/>
          <w:sz w:val="24"/>
          <w:szCs w:val="32"/>
          <w:lang w:eastAsia="zh-CN"/>
          <w14:textFill>
            <w14:solidFill>
              <w14:schemeClr w14:val="tx1"/>
            </w14:solidFill>
          </w14:textFill>
        </w:rPr>
        <w:t>图</w:t>
      </w:r>
    </w:p>
    <w:sectPr>
      <w:pgSz w:w="16840" w:h="11910" w:orient="landscape"/>
      <w:pgMar w:top="1701" w:right="1417" w:bottom="1701" w:left="1134" w:header="0" w:footer="817" w:gutter="0"/>
      <w:pgBorders>
        <w:top w:val="none" w:sz="0" w:space="0"/>
        <w:left w:val="none" w:sz="0" w:space="0"/>
        <w:bottom w:val="none" w:sz="0" w:space="0"/>
        <w:right w:val="none" w:sz="0" w:space="0"/>
      </w:pgBorders>
      <w:pgNumType w:fmt="numberInDash"/>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2010609030101010101"/>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auto"/>
    <w:pitch w:val="default"/>
    <w:sig w:usb0="00000287" w:usb1="00000000" w:usb2="00000000" w:usb3="00000000" w:csb0="2000009F" w:csb1="DFD70000"/>
  </w:font>
  <w:font w:name="Cambria">
    <w:panose1 w:val="02040503050406030204"/>
    <w:charset w:val="00"/>
    <w:family w:val="auto"/>
    <w:pitch w:val="default"/>
    <w:sig w:usb0="E00002FF" w:usb1="400004FF" w:usb2="00000000" w:usb3="00000000" w:csb0="2000019F" w:csb1="00000000"/>
  </w:font>
  <w:font w:name="楷体">
    <w:panose1 w:val="02010609060101010101"/>
    <w:charset w:val="86"/>
    <w:family w:val="auto"/>
    <w:pitch w:val="default"/>
    <w:sig w:usb0="800002BF" w:usb1="38CF7CFA" w:usb2="00000016" w:usb3="00000000" w:csb0="00040001" w:csb1="00000000"/>
  </w:font>
  <w:font w:name="Consolas">
    <w:panose1 w:val="020B0609020204030204"/>
    <w:charset w:val="00"/>
    <w:family w:val="auto"/>
    <w:pitch w:val="default"/>
    <w:sig w:usb0="E10002FF" w:usb1="4000FCFF" w:usb2="00000009" w:usb3="00000000" w:csb0="6000019F" w:csb1="DFD70000"/>
  </w:font>
  <w:font w:name="楷体_GB2312">
    <w:altName w:val="楷体"/>
    <w:panose1 w:val="02010609030101010101"/>
    <w:charset w:val="86"/>
    <w:family w:val="auto"/>
    <w:pitch w:val="default"/>
    <w:sig w:usb0="00000000" w:usb1="0000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FontAwesome">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font>
  <w:font w:name="FZHei-B01">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 w:name="MingLiU">
    <w:panose1 w:val="02020509000000000000"/>
    <w:charset w:val="88"/>
    <w:family w:val="auto"/>
    <w:pitch w:val="default"/>
    <w:sig w:usb0="A00002FF" w:usb1="28CFFCFA" w:usb2="00000016" w:usb3="00000000" w:csb0="00100001" w:csb1="00000000"/>
  </w:font>
  <w:font w:name="monospace">
    <w:altName w:val="Segoe Print"/>
    <w:panose1 w:val="00000000000000000000"/>
    <w:charset w:val="00"/>
    <w:family w:val="auto"/>
    <w:pitch w:val="default"/>
    <w:sig w:usb0="00000000" w:usb1="00000000" w:usb2="00000000" w:usb3="00000000" w:csb0="00000000" w:csb1="00000000"/>
  </w:font>
  <w:font w:name="方正小标宋_GBK">
    <w:altName w:val="微软雅黑"/>
    <w:panose1 w:val="03000509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71E625">
    <w:pPr>
      <w:pStyle w:val="10"/>
      <w:tabs>
        <w:tab w:val="left" w:pos="1900"/>
        <w:tab w:val="center" w:pos="4368"/>
      </w:tabs>
      <w:spacing w:line="240" w:lineRule="auto"/>
      <w:rPr>
        <w:rFonts w:hint="eastAsia" w:ascii="Times New Roman" w:hAnsi="Times New Roman" w:eastAsia="黑体" w:cs="Times New Roman"/>
        <w:sz w:val="20"/>
        <w:lang w:eastAsia="zh-CN"/>
      </w:rPr>
    </w:pPr>
    <w:r>
      <w:rPr>
        <w:rFonts w:hint="eastAsia" w:ascii="Times New Roman" w:hAnsi="Times New Roman" w:cs="Times New Roman"/>
        <w:sz w:val="20"/>
        <w:lang w:eastAsia="zh-CN"/>
      </w:rPr>
      <w:tab/>
    </w:r>
    <w:r>
      <w:rPr>
        <w:rFonts w:hint="eastAsia" w:ascii="Times New Roman" w:hAnsi="Times New Roman" w:cs="Times New Roman"/>
        <w:sz w:val="20"/>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28089">
    <w:pPr>
      <w:pStyle w:val="10"/>
      <w:spacing w:line="14" w:lineRule="auto"/>
      <w:rPr>
        <w:sz w:val="20"/>
      </w:rPr>
    </w:pPr>
    <w:r>
      <w:rPr>
        <w:rFonts w:ascii="黑体" w:hAnsi="黑体" w:eastAsia="黑体" w:cs="黑体"/>
        <w:sz w:val="20"/>
        <w:szCs w:val="30"/>
        <w:lang w:val="zh-CN" w:eastAsia="zh-CN" w:bidi="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0"/>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0C12FC17">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50"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2khQbEAQAAkQMAAA4AAABkcnMvZTJvRG9jLnhtbK1TzY7TMBC+I/EO&#10;lu80baWiKmq6QqoWISFYaeEBXMdpLPlPM26TvgC8AScu3HmuPgdjJ2mX5bIHLsnM2Pnm+76ZbO56&#10;a9hJAWrvKr6YzTlTTvpau0PFv365f7PmDKNwtTDeqYqfFfK77etXmy6Uaulbb2oFjEAcll2oeBtj&#10;KIsCZauswJkPytFh48GKSCkcihpER+jWFMv5/G3ReagDeKkQqbobDvmICC8B9E2jpdp5ebTKxQEV&#10;lBGRJGGrA/JtZts0SsbPTYMqMlNxUhrzk5pQvE/PYrsR5QFEaLUcKYiXUHimyQrtqOkVaieiYEfQ&#10;/0BZLcGjb+JMelsMQrIjpGIxf+bNYyuCylrIagxX0/H/wcpPpwdguq74asWZE5Ymfvnx/fLz9+XX&#10;N7bKBnUBS7r3GB6A7EoZUpjU9g3Y9CYdrM+mnq+mqj4yScXFerlez8lvSWdTQjjF7fMAGN8rb1kK&#10;Kg40tWymOH3EOFydrqRuzt9rY/LkjPurQJipUtw4pij2+34kvvf1mfR2NPCKO9pvzswHR36m3ZgC&#10;mIL9FBwD6ENL1BaZF4Z3x0gkMrfUYYAdG9Oksrpxq9IqPM3zrduftP0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XW5UtAAAAAFAQAADwAAAAAAAAABACAAAAAiAAAAZHJzL2Rvd25yZXYueG1sUEsB&#10;AhQAFAAAAAgAh07iQK2khQbEAQAAkQMAAA4AAAAAAAAAAQAgAAAAHwEAAGRycy9lMm9Eb2MueG1s&#10;UEsFBgAAAAAGAAYAWQEAAFUFAAAAAA==&#10;">
              <v:fill on="f" focussize="0,0"/>
              <v:stroke on="f"/>
              <v:imagedata o:title=""/>
              <o:lock v:ext="edit" aspectratio="f"/>
              <v:textbox inset="0mm,0mm,0mm,0mm" style="mso-fit-shape-to-text:t;">
                <w:txbxContent>
                  <w:p w14:paraId="0C12FC17">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26670">
    <w:pPr>
      <w:pStyle w:val="10"/>
      <w:tabs>
        <w:tab w:val="left" w:pos="1900"/>
        <w:tab w:val="center" w:pos="4368"/>
      </w:tabs>
      <w:spacing w:line="240" w:lineRule="auto"/>
      <w:rPr>
        <w:rFonts w:hint="eastAsia" w:ascii="Times New Roman" w:hAnsi="Times New Roman" w:eastAsia="黑体" w:cs="Times New Roman"/>
        <w:sz w:val="20"/>
        <w:lang w:eastAsia="zh-CN"/>
      </w:rPr>
    </w:pPr>
    <w:r>
      <w:rPr>
        <w:rFonts w:ascii="黑体" w:hAnsi="黑体" w:eastAsia="黑体" w:cs="黑体"/>
        <w:sz w:val="20"/>
        <w:szCs w:val="30"/>
        <w:lang w:val="zh-CN" w:eastAsia="zh-CN" w:bidi="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49"/>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76F5468A">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49" o:spid="_x0000_s1026" o:spt="1"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6WTkLHAQAAkQMAAA4AAABkcnMvZTJvRG9jLnhtbK1TS27bMBDdF+gd&#10;CO5r2UbRuILloICRokDRBkhzAJqiLAL8YYa25Au0N+iqm+57Lp+jQ0py2mSTRTbSzHD05r3H0fq6&#10;t4YdFaD2ruKL2Zwz5aSvtdtX/P7bzZsVZxiFq4XxTlX8pJBfb16/WnehVEvfelMrYATisOxCxdsY&#10;Q1kUKFtlBc58UI4OGw9WREphX9QgOkK3pljO5++KzkMdwEuFSNXtcMhHRHgOoG8aLdXWy4NVLg6o&#10;oIyIJAlbHZBvMtumUTJ+bRpUkZmKk9KYnzSE4l16Fpu1KPcgQqvlSEE8h8IjTVZoR0MvUFsRBTuA&#10;fgJltQSPvokz6W0xCMmOkIrF/JE3d60IKmshqzFcTMeXg5VfjrfAdF3xqyvOnLB04+efP86//px/&#10;f2dv3yeDuoAl9d2FWxgzpDCp7Ruw6U06WJ9NPV1MVX1kkoqL1XK1mpPfks6mhHCKh88DYPyovGUp&#10;qDjQrWUzxfEzxqF1aknTnL/RxlBdlMb9VyDMVCkS44FjimK/60fiO1+fSG9HF15xR/vNmfnkyM+0&#10;G1MAU7CbgkMAvW+J2iLzwvDhEIlE5pYmDLDjYLqprG7cqrQK/+a56+FP2v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XW5UtAAAAAFAQAADwAAAAAAAAABACAAAAAiAAAAZHJzL2Rvd25yZXYueG1s&#10;UEsBAhQAFAAAAAgAh07iQK6WTkLHAQAAkQMAAA4AAAAAAAAAAQAgAAAAHwEAAGRycy9lMm9Eb2Mu&#10;eG1sUEsFBgAAAAAGAAYAWQEAAFgFAAAAAA==&#10;">
              <v:fill on="f" focussize="0,0"/>
              <v:stroke on="f"/>
              <v:imagedata o:title=""/>
              <o:lock v:ext="edit" aspectratio="f"/>
              <v:textbox inset="0mm,0mm,0mm,0mm" style="mso-fit-shape-to-text:t;">
                <w:txbxContent>
                  <w:p w14:paraId="76F5468A">
                    <w:pPr>
                      <w:pStyle w:val="15"/>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p>
                </w:txbxContent>
              </v:textbox>
            </v:rect>
          </w:pict>
        </mc:Fallback>
      </mc:AlternateContent>
    </w:r>
    <w:r>
      <w:rPr>
        <w:rFonts w:hint="eastAsia" w:ascii="Times New Roman" w:hAnsi="Times New Roman" w:cs="Times New Roman"/>
        <w:sz w:val="20"/>
        <w:lang w:eastAsia="zh-CN"/>
      </w:rPr>
      <w:tab/>
    </w:r>
    <w:r>
      <w:rPr>
        <w:rFonts w:hint="eastAsia" w:ascii="Times New Roman" w:hAnsi="Times New Roman" w:cs="Times New Roman"/>
        <w:sz w:val="20"/>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71348A">
    <w:pPr>
      <w:pStyle w:val="10"/>
      <w:spacing w:line="14" w:lineRule="auto"/>
      <w:rPr>
        <w:sz w:val="20"/>
      </w:rPr>
    </w:pPr>
    <w:r>
      <w:rPr>
        <w:rFonts w:ascii="黑体" w:hAnsi="黑体" w:eastAsia="黑体" w:cs="黑体"/>
        <w:sz w:val="20"/>
        <w:szCs w:val="30"/>
        <w:lang w:val="zh-CN" w:eastAsia="zh-CN" w:bidi="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1"/>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5A59C051">
                          <w:pPr>
                            <w:pStyle w:val="15"/>
                            <w:jc w:val="cente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p>
                      </w:txbxContent>
                    </wps:txbx>
                    <wps:bodyPr wrap="none" lIns="0" tIns="0" rIns="0" bIns="0" upright="1">
                      <a:spAutoFit/>
                    </wps:bodyPr>
                  </wps:wsp>
                </a:graphicData>
              </a:graphic>
            </wp:anchor>
          </w:drawing>
        </mc:Choice>
        <mc:Fallback>
          <w:pict>
            <v:rect id="文本框 51" o:spid="_x0000_s1026" o:spt="1"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EzvgOjGAQAAkQMAAA4AAABkcnMvZTJvRG9jLnhtbK1TzY7TMBC+I/EO&#10;lu80TaVdVVHTFVK1CAnBSgsP4DpOY8l/mnGb9AXgDThx4c5z9TkYO0kXlsseuCQz48k33/d5srkb&#10;rGEnBai9q3m5WHKmnPSNdoeaf/l8/2bNGUbhGmG8UzU/K+R329evNn2o1Mp33jQKGIE4rPpQ8y7G&#10;UBUFyk5ZgQsflKPD1oMVkVI4FA2IntCtKVbL5W3Re2gCeKkQqbobD/mECC8B9G2rpdp5ebTKxREV&#10;lBGRJGGnA/JtZtu2SsZPbYsqMlNzUhrzk4ZQvE/PYrsR1QFE6LScKIiXUHimyQrtaOgVaieiYEfQ&#10;/0BZLcGjb+NCeluMQrIjpKJcPvPmsRNBZS1kNYar6fj/YOXH0wMw3dT85pYzJyzd+OX7t8uPX5ef&#10;X9lNmQzqA1bU9xgeYMqQwqR2aMGmN+lgQzb1fDVVDZFJKpbr1Xq9JL8lnc0J4RRPnwfA+E55y1JQ&#10;c6Bby2aK0weMY+vckqY5f6+NobqojPurQJipUiTGI8cUxWE/TMT3vjmT3p4uvOaO9psz896Rn2k3&#10;5gDmYD8HxwD60BG1MvPC8PYYiUTmliaMsNNguqmsbtqqtAp/5rnr6U/a/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5dblS0AAAAAUBAAAPAAAAAAAAAAEAIAAAACIAAABkcnMvZG93bnJldi54bWxQ&#10;SwECFAAUAAAACACHTuJATO+A6MYBAACRAwAADgAAAAAAAAABACAAAAAfAQAAZHJzL2Uyb0RvYy54&#10;bWxQSwUGAAAAAAYABgBZAQAAVwUAAAAA&#10;">
              <v:fill on="f" focussize="0,0"/>
              <v:stroke on="f"/>
              <v:imagedata o:title=""/>
              <o:lock v:ext="edit" aspectratio="f"/>
              <v:textbox inset="0mm,0mm,0mm,0mm" style="mso-fit-shape-to-text:t;">
                <w:txbxContent>
                  <w:p w14:paraId="5A59C051">
                    <w:pPr>
                      <w:pStyle w:val="15"/>
                      <w:jc w:val="cente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p>
                </w:txbxContent>
              </v:textbox>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34704F">
    <w:pPr>
      <w:pStyle w:val="10"/>
      <w:spacing w:line="14" w:lineRule="auto"/>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0F994">
    <w:pPr>
      <w:pStyle w:val="10"/>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30C756">
    <w:pPr>
      <w:pStyle w:val="10"/>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234405"/>
    <w:multiLevelType w:val="singleLevel"/>
    <w:tmpl w:val="81234405"/>
    <w:lvl w:ilvl="0" w:tentative="0">
      <w:start w:val="1"/>
      <w:numFmt w:val="decimal"/>
      <w:suff w:val="nothing"/>
      <w:lvlText w:val="%1、"/>
      <w:lvlJc w:val="left"/>
    </w:lvl>
  </w:abstractNum>
  <w:abstractNum w:abstractNumId="1">
    <w:nsid w:val="8DFC3CF9"/>
    <w:multiLevelType w:val="singleLevel"/>
    <w:tmpl w:val="8DFC3CF9"/>
    <w:lvl w:ilvl="0" w:tentative="0">
      <w:start w:val="1"/>
      <w:numFmt w:val="decimal"/>
      <w:suff w:val="nothing"/>
      <w:lvlText w:val="%1、"/>
      <w:lvlJc w:val="left"/>
    </w:lvl>
  </w:abstractNum>
  <w:abstractNum w:abstractNumId="2">
    <w:nsid w:val="8E5A3F96"/>
    <w:multiLevelType w:val="singleLevel"/>
    <w:tmpl w:val="8E5A3F96"/>
    <w:lvl w:ilvl="0" w:tentative="0">
      <w:start w:val="1"/>
      <w:numFmt w:val="decimal"/>
      <w:suff w:val="nothing"/>
      <w:lvlText w:val="%1、"/>
      <w:lvlJc w:val="left"/>
    </w:lvl>
  </w:abstractNum>
  <w:abstractNum w:abstractNumId="3">
    <w:nsid w:val="94D26142"/>
    <w:multiLevelType w:val="singleLevel"/>
    <w:tmpl w:val="94D26142"/>
    <w:lvl w:ilvl="0" w:tentative="0">
      <w:start w:val="1"/>
      <w:numFmt w:val="decimal"/>
      <w:suff w:val="nothing"/>
      <w:lvlText w:val="%1、"/>
      <w:lvlJc w:val="left"/>
    </w:lvl>
  </w:abstractNum>
  <w:abstractNum w:abstractNumId="4">
    <w:nsid w:val="A5EA64F1"/>
    <w:multiLevelType w:val="singleLevel"/>
    <w:tmpl w:val="A5EA64F1"/>
    <w:lvl w:ilvl="0" w:tentative="0">
      <w:start w:val="1"/>
      <w:numFmt w:val="decimal"/>
      <w:suff w:val="nothing"/>
      <w:lvlText w:val="%1、"/>
      <w:lvlJc w:val="left"/>
    </w:lvl>
  </w:abstractNum>
  <w:abstractNum w:abstractNumId="5">
    <w:nsid w:val="A60EF2B0"/>
    <w:multiLevelType w:val="singleLevel"/>
    <w:tmpl w:val="A60EF2B0"/>
    <w:lvl w:ilvl="0" w:tentative="0">
      <w:start w:val="1"/>
      <w:numFmt w:val="decimal"/>
      <w:suff w:val="nothing"/>
      <w:lvlText w:val="%1、"/>
      <w:lvlJc w:val="left"/>
    </w:lvl>
  </w:abstractNum>
  <w:abstractNum w:abstractNumId="6">
    <w:nsid w:val="A956A6A3"/>
    <w:multiLevelType w:val="singleLevel"/>
    <w:tmpl w:val="A956A6A3"/>
    <w:lvl w:ilvl="0" w:tentative="0">
      <w:start w:val="1"/>
      <w:numFmt w:val="decimal"/>
      <w:suff w:val="nothing"/>
      <w:lvlText w:val="%1、"/>
      <w:lvlJc w:val="left"/>
    </w:lvl>
  </w:abstractNum>
  <w:abstractNum w:abstractNumId="7">
    <w:nsid w:val="B0C7FF71"/>
    <w:multiLevelType w:val="singleLevel"/>
    <w:tmpl w:val="B0C7FF71"/>
    <w:lvl w:ilvl="0" w:tentative="0">
      <w:start w:val="1"/>
      <w:numFmt w:val="decimal"/>
      <w:suff w:val="nothing"/>
      <w:lvlText w:val="%1、"/>
      <w:lvlJc w:val="left"/>
    </w:lvl>
  </w:abstractNum>
  <w:abstractNum w:abstractNumId="8">
    <w:nsid w:val="B9C18A4B"/>
    <w:multiLevelType w:val="singleLevel"/>
    <w:tmpl w:val="B9C18A4B"/>
    <w:lvl w:ilvl="0" w:tentative="0">
      <w:start w:val="1"/>
      <w:numFmt w:val="decimal"/>
      <w:suff w:val="nothing"/>
      <w:lvlText w:val="%1、"/>
      <w:lvlJc w:val="left"/>
    </w:lvl>
  </w:abstractNum>
  <w:abstractNum w:abstractNumId="9">
    <w:nsid w:val="CB26B542"/>
    <w:multiLevelType w:val="singleLevel"/>
    <w:tmpl w:val="CB26B542"/>
    <w:lvl w:ilvl="0" w:tentative="0">
      <w:start w:val="1"/>
      <w:numFmt w:val="decimal"/>
      <w:suff w:val="nothing"/>
      <w:lvlText w:val="（%1）"/>
      <w:lvlJc w:val="left"/>
    </w:lvl>
  </w:abstractNum>
  <w:abstractNum w:abstractNumId="10">
    <w:nsid w:val="CD6F2A65"/>
    <w:multiLevelType w:val="singleLevel"/>
    <w:tmpl w:val="CD6F2A65"/>
    <w:lvl w:ilvl="0" w:tentative="0">
      <w:start w:val="8"/>
      <w:numFmt w:val="chineseCounting"/>
      <w:suff w:val="nothing"/>
      <w:lvlText w:val="%1、"/>
      <w:lvlJc w:val="left"/>
      <w:rPr>
        <w:rFonts w:hint="eastAsia"/>
      </w:rPr>
    </w:lvl>
  </w:abstractNum>
  <w:abstractNum w:abstractNumId="11">
    <w:nsid w:val="D3A0B1AB"/>
    <w:multiLevelType w:val="singleLevel"/>
    <w:tmpl w:val="D3A0B1AB"/>
    <w:lvl w:ilvl="0" w:tentative="0">
      <w:start w:val="1"/>
      <w:numFmt w:val="decimal"/>
      <w:suff w:val="nothing"/>
      <w:lvlText w:val="%1、"/>
      <w:lvlJc w:val="left"/>
    </w:lvl>
  </w:abstractNum>
  <w:abstractNum w:abstractNumId="12">
    <w:nsid w:val="D423BA73"/>
    <w:multiLevelType w:val="singleLevel"/>
    <w:tmpl w:val="D423BA73"/>
    <w:lvl w:ilvl="0" w:tentative="0">
      <w:start w:val="2"/>
      <w:numFmt w:val="decimal"/>
      <w:suff w:val="nothing"/>
      <w:lvlText w:val="%1、"/>
      <w:lvlJc w:val="left"/>
    </w:lvl>
  </w:abstractNum>
  <w:abstractNum w:abstractNumId="13">
    <w:nsid w:val="DAFB6525"/>
    <w:multiLevelType w:val="singleLevel"/>
    <w:tmpl w:val="DAFB6525"/>
    <w:lvl w:ilvl="0" w:tentative="0">
      <w:start w:val="1"/>
      <w:numFmt w:val="decimal"/>
      <w:pStyle w:val="69"/>
      <w:lvlText w:val="表%1 "/>
      <w:lvlJc w:val="center"/>
      <w:pPr>
        <w:tabs>
          <w:tab w:val="left" w:pos="0"/>
        </w:tabs>
        <w:ind w:left="420" w:hanging="420"/>
      </w:pPr>
      <w:rPr>
        <w:rFonts w:hint="default" w:ascii="Times New Roman" w:hAnsi="Times New Roman" w:eastAsia="宋体" w:cs="Times New Roman"/>
        <w:b/>
        <w:bCs/>
        <w:sz w:val="21"/>
        <w:szCs w:val="21"/>
      </w:rPr>
    </w:lvl>
  </w:abstractNum>
  <w:abstractNum w:abstractNumId="14">
    <w:nsid w:val="E20F6A2D"/>
    <w:multiLevelType w:val="singleLevel"/>
    <w:tmpl w:val="E20F6A2D"/>
    <w:lvl w:ilvl="0" w:tentative="0">
      <w:start w:val="1"/>
      <w:numFmt w:val="decimal"/>
      <w:suff w:val="nothing"/>
      <w:lvlText w:val="%1、"/>
      <w:lvlJc w:val="left"/>
    </w:lvl>
  </w:abstractNum>
  <w:abstractNum w:abstractNumId="15">
    <w:nsid w:val="EDA61B6B"/>
    <w:multiLevelType w:val="singleLevel"/>
    <w:tmpl w:val="EDA61B6B"/>
    <w:lvl w:ilvl="0" w:tentative="0">
      <w:start w:val="1"/>
      <w:numFmt w:val="decimal"/>
      <w:suff w:val="nothing"/>
      <w:lvlText w:val="%1、"/>
      <w:lvlJc w:val="left"/>
    </w:lvl>
  </w:abstractNum>
  <w:abstractNum w:abstractNumId="16">
    <w:nsid w:val="F1658E9F"/>
    <w:multiLevelType w:val="singleLevel"/>
    <w:tmpl w:val="F1658E9F"/>
    <w:lvl w:ilvl="0" w:tentative="0">
      <w:start w:val="1"/>
      <w:numFmt w:val="decimal"/>
      <w:suff w:val="nothing"/>
      <w:lvlText w:val="%1、"/>
      <w:lvlJc w:val="left"/>
    </w:lvl>
  </w:abstractNum>
  <w:abstractNum w:abstractNumId="17">
    <w:nsid w:val="099074C1"/>
    <w:multiLevelType w:val="singleLevel"/>
    <w:tmpl w:val="099074C1"/>
    <w:lvl w:ilvl="0" w:tentative="0">
      <w:start w:val="1"/>
      <w:numFmt w:val="decimal"/>
      <w:suff w:val="nothing"/>
      <w:lvlText w:val="%1、"/>
      <w:lvlJc w:val="left"/>
    </w:lvl>
  </w:abstractNum>
  <w:abstractNum w:abstractNumId="18">
    <w:nsid w:val="0BBB2199"/>
    <w:multiLevelType w:val="singleLevel"/>
    <w:tmpl w:val="0BBB2199"/>
    <w:lvl w:ilvl="0" w:tentative="0">
      <w:start w:val="1"/>
      <w:numFmt w:val="decimal"/>
      <w:suff w:val="nothing"/>
      <w:lvlText w:val="%1、"/>
      <w:lvlJc w:val="left"/>
    </w:lvl>
  </w:abstractNum>
  <w:abstractNum w:abstractNumId="19">
    <w:nsid w:val="12BE53D7"/>
    <w:multiLevelType w:val="singleLevel"/>
    <w:tmpl w:val="12BE53D7"/>
    <w:lvl w:ilvl="0" w:tentative="0">
      <w:start w:val="1"/>
      <w:numFmt w:val="decimal"/>
      <w:suff w:val="nothing"/>
      <w:lvlText w:val="%1、"/>
      <w:lvlJc w:val="left"/>
    </w:lvl>
  </w:abstractNum>
  <w:abstractNum w:abstractNumId="20">
    <w:nsid w:val="22F7F625"/>
    <w:multiLevelType w:val="singleLevel"/>
    <w:tmpl w:val="22F7F625"/>
    <w:lvl w:ilvl="0" w:tentative="0">
      <w:start w:val="1"/>
      <w:numFmt w:val="decimal"/>
      <w:suff w:val="nothing"/>
      <w:lvlText w:val="%1、"/>
      <w:lvlJc w:val="left"/>
    </w:lvl>
  </w:abstractNum>
  <w:abstractNum w:abstractNumId="21">
    <w:nsid w:val="279A4C7D"/>
    <w:multiLevelType w:val="singleLevel"/>
    <w:tmpl w:val="279A4C7D"/>
    <w:lvl w:ilvl="0" w:tentative="0">
      <w:start w:val="1"/>
      <w:numFmt w:val="decimal"/>
      <w:suff w:val="nothing"/>
      <w:lvlText w:val="%1、"/>
      <w:lvlJc w:val="left"/>
    </w:lvl>
  </w:abstractNum>
  <w:abstractNum w:abstractNumId="22">
    <w:nsid w:val="3A4FF624"/>
    <w:multiLevelType w:val="singleLevel"/>
    <w:tmpl w:val="3A4FF624"/>
    <w:lvl w:ilvl="0" w:tentative="0">
      <w:start w:val="1"/>
      <w:numFmt w:val="decimal"/>
      <w:suff w:val="nothing"/>
      <w:lvlText w:val="%1、"/>
      <w:lvlJc w:val="left"/>
    </w:lvl>
  </w:abstractNum>
  <w:abstractNum w:abstractNumId="23">
    <w:nsid w:val="3BA9D14E"/>
    <w:multiLevelType w:val="singleLevel"/>
    <w:tmpl w:val="3BA9D14E"/>
    <w:lvl w:ilvl="0" w:tentative="0">
      <w:start w:val="1"/>
      <w:numFmt w:val="decimal"/>
      <w:suff w:val="nothing"/>
      <w:lvlText w:val="（%1）"/>
      <w:lvlJc w:val="left"/>
    </w:lvl>
  </w:abstractNum>
  <w:abstractNum w:abstractNumId="24">
    <w:nsid w:val="48571752"/>
    <w:multiLevelType w:val="singleLevel"/>
    <w:tmpl w:val="48571752"/>
    <w:lvl w:ilvl="0" w:tentative="0">
      <w:start w:val="1"/>
      <w:numFmt w:val="decimal"/>
      <w:suff w:val="nothing"/>
      <w:lvlText w:val="%1、"/>
      <w:lvlJc w:val="left"/>
    </w:lvl>
  </w:abstractNum>
  <w:abstractNum w:abstractNumId="25">
    <w:nsid w:val="49CD2618"/>
    <w:multiLevelType w:val="singleLevel"/>
    <w:tmpl w:val="49CD2618"/>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26">
    <w:nsid w:val="4C0E3317"/>
    <w:multiLevelType w:val="singleLevel"/>
    <w:tmpl w:val="4C0E3317"/>
    <w:lvl w:ilvl="0" w:tentative="0">
      <w:start w:val="1"/>
      <w:numFmt w:val="decimal"/>
      <w:suff w:val="nothing"/>
      <w:lvlText w:val="%1、"/>
      <w:lvlJc w:val="left"/>
    </w:lvl>
  </w:abstractNum>
  <w:abstractNum w:abstractNumId="27">
    <w:nsid w:val="4F0E0E93"/>
    <w:multiLevelType w:val="singleLevel"/>
    <w:tmpl w:val="4F0E0E93"/>
    <w:lvl w:ilvl="0" w:tentative="0">
      <w:start w:val="1"/>
      <w:numFmt w:val="decimal"/>
      <w:suff w:val="nothing"/>
      <w:lvlText w:val="%1、"/>
      <w:lvlJc w:val="left"/>
    </w:lvl>
  </w:abstractNum>
  <w:abstractNum w:abstractNumId="28">
    <w:nsid w:val="5341BC30"/>
    <w:multiLevelType w:val="singleLevel"/>
    <w:tmpl w:val="5341BC30"/>
    <w:lvl w:ilvl="0" w:tentative="0">
      <w:start w:val="1"/>
      <w:numFmt w:val="decimal"/>
      <w:suff w:val="nothing"/>
      <w:lvlText w:val="%1、"/>
      <w:lvlJc w:val="left"/>
    </w:lvl>
  </w:abstractNum>
  <w:abstractNum w:abstractNumId="29">
    <w:nsid w:val="5C0FDAA7"/>
    <w:multiLevelType w:val="singleLevel"/>
    <w:tmpl w:val="5C0FDAA7"/>
    <w:lvl w:ilvl="0" w:tentative="0">
      <w:start w:val="1"/>
      <w:numFmt w:val="decimal"/>
      <w:suff w:val="nothing"/>
      <w:lvlText w:val="%1、"/>
      <w:lvlJc w:val="left"/>
    </w:lvl>
  </w:abstractNum>
  <w:abstractNum w:abstractNumId="30">
    <w:nsid w:val="5CD8BCD5"/>
    <w:multiLevelType w:val="singleLevel"/>
    <w:tmpl w:val="5CD8BCD5"/>
    <w:lvl w:ilvl="0" w:tentative="0">
      <w:start w:val="1"/>
      <w:numFmt w:val="decimal"/>
      <w:suff w:val="nothing"/>
      <w:lvlText w:val="%1、"/>
      <w:lvlJc w:val="left"/>
    </w:lvl>
  </w:abstractNum>
  <w:abstractNum w:abstractNumId="31">
    <w:nsid w:val="616D5D51"/>
    <w:multiLevelType w:val="singleLevel"/>
    <w:tmpl w:val="616D5D51"/>
    <w:lvl w:ilvl="0" w:tentative="0">
      <w:start w:val="1"/>
      <w:numFmt w:val="decimal"/>
      <w:suff w:val="nothing"/>
      <w:lvlText w:val="（%1）"/>
      <w:lvlJc w:val="left"/>
    </w:lvl>
  </w:abstractNum>
  <w:abstractNum w:abstractNumId="32">
    <w:nsid w:val="65DAC978"/>
    <w:multiLevelType w:val="singleLevel"/>
    <w:tmpl w:val="65DAC978"/>
    <w:lvl w:ilvl="0" w:tentative="0">
      <w:start w:val="1"/>
      <w:numFmt w:val="decimal"/>
      <w:suff w:val="nothing"/>
      <w:lvlText w:val="%1、"/>
      <w:lvlJc w:val="left"/>
    </w:lvl>
  </w:abstractNum>
  <w:abstractNum w:abstractNumId="33">
    <w:nsid w:val="7AE2AF3D"/>
    <w:multiLevelType w:val="singleLevel"/>
    <w:tmpl w:val="7AE2AF3D"/>
    <w:lvl w:ilvl="0" w:tentative="0">
      <w:start w:val="1"/>
      <w:numFmt w:val="decimal"/>
      <w:suff w:val="nothing"/>
      <w:lvlText w:val="%1、"/>
      <w:lvlJc w:val="left"/>
    </w:lvl>
  </w:abstractNum>
  <w:abstractNum w:abstractNumId="34">
    <w:nsid w:val="7EDE7809"/>
    <w:multiLevelType w:val="singleLevel"/>
    <w:tmpl w:val="7EDE7809"/>
    <w:lvl w:ilvl="0" w:tentative="0">
      <w:start w:val="1"/>
      <w:numFmt w:val="decimal"/>
      <w:suff w:val="nothing"/>
      <w:lvlText w:val="%1、"/>
      <w:lvlJc w:val="left"/>
    </w:lvl>
  </w:abstractNum>
  <w:num w:numId="1">
    <w:abstractNumId w:val="25"/>
  </w:num>
  <w:num w:numId="2">
    <w:abstractNumId w:val="13"/>
  </w:num>
  <w:num w:numId="3">
    <w:abstractNumId w:val="8"/>
  </w:num>
  <w:num w:numId="4">
    <w:abstractNumId w:val="33"/>
  </w:num>
  <w:num w:numId="5">
    <w:abstractNumId w:val="30"/>
  </w:num>
  <w:num w:numId="6">
    <w:abstractNumId w:val="2"/>
  </w:num>
  <w:num w:numId="7">
    <w:abstractNumId w:val="7"/>
  </w:num>
  <w:num w:numId="8">
    <w:abstractNumId w:val="3"/>
  </w:num>
  <w:num w:numId="9">
    <w:abstractNumId w:val="5"/>
  </w:num>
  <w:num w:numId="10">
    <w:abstractNumId w:val="34"/>
  </w:num>
  <w:num w:numId="11">
    <w:abstractNumId w:val="15"/>
  </w:num>
  <w:num w:numId="12">
    <w:abstractNumId w:val="21"/>
  </w:num>
  <w:num w:numId="13">
    <w:abstractNumId w:val="32"/>
  </w:num>
  <w:num w:numId="14">
    <w:abstractNumId w:val="11"/>
  </w:num>
  <w:num w:numId="15">
    <w:abstractNumId w:val="1"/>
  </w:num>
  <w:num w:numId="16">
    <w:abstractNumId w:val="16"/>
  </w:num>
  <w:num w:numId="17">
    <w:abstractNumId w:val="17"/>
  </w:num>
  <w:num w:numId="18">
    <w:abstractNumId w:val="24"/>
  </w:num>
  <w:num w:numId="19">
    <w:abstractNumId w:val="28"/>
  </w:num>
  <w:num w:numId="20">
    <w:abstractNumId w:val="6"/>
  </w:num>
  <w:num w:numId="21">
    <w:abstractNumId w:val="19"/>
  </w:num>
  <w:num w:numId="22">
    <w:abstractNumId w:val="4"/>
  </w:num>
  <w:num w:numId="23">
    <w:abstractNumId w:val="22"/>
  </w:num>
  <w:num w:numId="24">
    <w:abstractNumId w:val="29"/>
  </w:num>
  <w:num w:numId="25">
    <w:abstractNumId w:val="0"/>
  </w:num>
  <w:num w:numId="26">
    <w:abstractNumId w:val="14"/>
  </w:num>
  <w:num w:numId="27">
    <w:abstractNumId w:val="18"/>
  </w:num>
  <w:num w:numId="28">
    <w:abstractNumId w:val="20"/>
  </w:num>
  <w:num w:numId="29">
    <w:abstractNumId w:val="27"/>
  </w:num>
  <w:num w:numId="30">
    <w:abstractNumId w:val="26"/>
  </w:num>
  <w:num w:numId="31">
    <w:abstractNumId w:val="23"/>
  </w:num>
  <w:num w:numId="32">
    <w:abstractNumId w:val="10"/>
  </w:num>
  <w:num w:numId="33">
    <w:abstractNumId w:val="9"/>
  </w:num>
  <w:num w:numId="34">
    <w:abstractNumId w:val="31"/>
  </w:num>
  <w:num w:numId="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ZmMDUyN2UwMjNhMjEzNTcwZDk4MDAxNjhiOWY1N2EifQ=="/>
  </w:docVars>
  <w:rsids>
    <w:rsidRoot w:val="00172A27"/>
    <w:rsid w:val="00043144"/>
    <w:rsid w:val="001475BF"/>
    <w:rsid w:val="003774D4"/>
    <w:rsid w:val="004A7D37"/>
    <w:rsid w:val="00526A43"/>
    <w:rsid w:val="00527F43"/>
    <w:rsid w:val="00632B1F"/>
    <w:rsid w:val="007756C4"/>
    <w:rsid w:val="007D1F5A"/>
    <w:rsid w:val="007E6BD5"/>
    <w:rsid w:val="007F0A1D"/>
    <w:rsid w:val="008245AD"/>
    <w:rsid w:val="008820FB"/>
    <w:rsid w:val="008D5693"/>
    <w:rsid w:val="009F2F6B"/>
    <w:rsid w:val="00B53F65"/>
    <w:rsid w:val="00BD54B9"/>
    <w:rsid w:val="00C06330"/>
    <w:rsid w:val="00C16081"/>
    <w:rsid w:val="00CA5F18"/>
    <w:rsid w:val="00CE4CF0"/>
    <w:rsid w:val="00DB7520"/>
    <w:rsid w:val="01023FE1"/>
    <w:rsid w:val="01050F22"/>
    <w:rsid w:val="012D1C07"/>
    <w:rsid w:val="01360341"/>
    <w:rsid w:val="013F2733"/>
    <w:rsid w:val="015254F9"/>
    <w:rsid w:val="01726964"/>
    <w:rsid w:val="01803A21"/>
    <w:rsid w:val="01941890"/>
    <w:rsid w:val="01947AD9"/>
    <w:rsid w:val="01A74C2C"/>
    <w:rsid w:val="01D0020C"/>
    <w:rsid w:val="01D91B4C"/>
    <w:rsid w:val="01E80353"/>
    <w:rsid w:val="01EB3710"/>
    <w:rsid w:val="01F15246"/>
    <w:rsid w:val="01F3014A"/>
    <w:rsid w:val="01F50609"/>
    <w:rsid w:val="01F76791"/>
    <w:rsid w:val="01FB0782"/>
    <w:rsid w:val="02073968"/>
    <w:rsid w:val="02213FE3"/>
    <w:rsid w:val="023B0DB8"/>
    <w:rsid w:val="023D2BC1"/>
    <w:rsid w:val="0244487A"/>
    <w:rsid w:val="02445961"/>
    <w:rsid w:val="024F5E9B"/>
    <w:rsid w:val="02545E62"/>
    <w:rsid w:val="02547464"/>
    <w:rsid w:val="027139E7"/>
    <w:rsid w:val="02820350"/>
    <w:rsid w:val="02826C8D"/>
    <w:rsid w:val="028F5019"/>
    <w:rsid w:val="02AC2BF3"/>
    <w:rsid w:val="02C20653"/>
    <w:rsid w:val="02C92423"/>
    <w:rsid w:val="02D10937"/>
    <w:rsid w:val="02DB25A8"/>
    <w:rsid w:val="02E4100B"/>
    <w:rsid w:val="02E62FD5"/>
    <w:rsid w:val="02E8028F"/>
    <w:rsid w:val="02E855CA"/>
    <w:rsid w:val="02E91A54"/>
    <w:rsid w:val="02EC5941"/>
    <w:rsid w:val="02FD79A5"/>
    <w:rsid w:val="02FE7911"/>
    <w:rsid w:val="030274D7"/>
    <w:rsid w:val="030601EA"/>
    <w:rsid w:val="03166332"/>
    <w:rsid w:val="0317183E"/>
    <w:rsid w:val="032633D2"/>
    <w:rsid w:val="03287A78"/>
    <w:rsid w:val="032E01B1"/>
    <w:rsid w:val="032E6625"/>
    <w:rsid w:val="03323453"/>
    <w:rsid w:val="034B578D"/>
    <w:rsid w:val="034F5CEC"/>
    <w:rsid w:val="03633D85"/>
    <w:rsid w:val="036522D2"/>
    <w:rsid w:val="03697BFD"/>
    <w:rsid w:val="036B5D1D"/>
    <w:rsid w:val="03717090"/>
    <w:rsid w:val="037D62A8"/>
    <w:rsid w:val="03844968"/>
    <w:rsid w:val="03896EB3"/>
    <w:rsid w:val="038C4970"/>
    <w:rsid w:val="03957182"/>
    <w:rsid w:val="03971B7F"/>
    <w:rsid w:val="0397607D"/>
    <w:rsid w:val="03BB0B99"/>
    <w:rsid w:val="03D02840"/>
    <w:rsid w:val="03DA329E"/>
    <w:rsid w:val="03E06642"/>
    <w:rsid w:val="03E97CE4"/>
    <w:rsid w:val="03EE224F"/>
    <w:rsid w:val="040B06E2"/>
    <w:rsid w:val="04211386"/>
    <w:rsid w:val="043B3F9B"/>
    <w:rsid w:val="043D54AA"/>
    <w:rsid w:val="044A2DAD"/>
    <w:rsid w:val="04547754"/>
    <w:rsid w:val="045C3976"/>
    <w:rsid w:val="046105BC"/>
    <w:rsid w:val="046533BC"/>
    <w:rsid w:val="049934A3"/>
    <w:rsid w:val="049C4D0E"/>
    <w:rsid w:val="04A4408A"/>
    <w:rsid w:val="04A50991"/>
    <w:rsid w:val="04CA3B75"/>
    <w:rsid w:val="04D807C7"/>
    <w:rsid w:val="04DD6B7A"/>
    <w:rsid w:val="04F30680"/>
    <w:rsid w:val="04F40E02"/>
    <w:rsid w:val="04FC7394"/>
    <w:rsid w:val="04FF2A32"/>
    <w:rsid w:val="05013674"/>
    <w:rsid w:val="050A56C1"/>
    <w:rsid w:val="050D64D6"/>
    <w:rsid w:val="050E236F"/>
    <w:rsid w:val="051E3000"/>
    <w:rsid w:val="052421EF"/>
    <w:rsid w:val="052B3A8A"/>
    <w:rsid w:val="053242B0"/>
    <w:rsid w:val="05330891"/>
    <w:rsid w:val="05365E9C"/>
    <w:rsid w:val="0539151E"/>
    <w:rsid w:val="053E0EA6"/>
    <w:rsid w:val="054D0A82"/>
    <w:rsid w:val="05540F0C"/>
    <w:rsid w:val="05553F64"/>
    <w:rsid w:val="0559135E"/>
    <w:rsid w:val="055C4300"/>
    <w:rsid w:val="05646F03"/>
    <w:rsid w:val="05783A73"/>
    <w:rsid w:val="057C6EA5"/>
    <w:rsid w:val="058E4A93"/>
    <w:rsid w:val="059362C4"/>
    <w:rsid w:val="05A7130C"/>
    <w:rsid w:val="05B2170C"/>
    <w:rsid w:val="05BA28F0"/>
    <w:rsid w:val="05BD4A40"/>
    <w:rsid w:val="05C13966"/>
    <w:rsid w:val="05C74656"/>
    <w:rsid w:val="05CC6389"/>
    <w:rsid w:val="05CD4EEB"/>
    <w:rsid w:val="05D25B48"/>
    <w:rsid w:val="05F1098C"/>
    <w:rsid w:val="05F34777"/>
    <w:rsid w:val="060137B4"/>
    <w:rsid w:val="06143F69"/>
    <w:rsid w:val="06152A01"/>
    <w:rsid w:val="061557BC"/>
    <w:rsid w:val="061E29A4"/>
    <w:rsid w:val="061E2DDC"/>
    <w:rsid w:val="063255DF"/>
    <w:rsid w:val="06357F93"/>
    <w:rsid w:val="064A2056"/>
    <w:rsid w:val="064F0DC6"/>
    <w:rsid w:val="06571C6C"/>
    <w:rsid w:val="06604CA3"/>
    <w:rsid w:val="069E344E"/>
    <w:rsid w:val="06A74829"/>
    <w:rsid w:val="06AA1A32"/>
    <w:rsid w:val="06B9739A"/>
    <w:rsid w:val="06C959BC"/>
    <w:rsid w:val="06E40CD4"/>
    <w:rsid w:val="06EA60A3"/>
    <w:rsid w:val="06FF4967"/>
    <w:rsid w:val="071C754C"/>
    <w:rsid w:val="071D6604"/>
    <w:rsid w:val="07201D04"/>
    <w:rsid w:val="072036C1"/>
    <w:rsid w:val="072269EA"/>
    <w:rsid w:val="07226B8C"/>
    <w:rsid w:val="07411714"/>
    <w:rsid w:val="075B002A"/>
    <w:rsid w:val="07660C34"/>
    <w:rsid w:val="076C6B15"/>
    <w:rsid w:val="076E137C"/>
    <w:rsid w:val="077056A1"/>
    <w:rsid w:val="07753BD7"/>
    <w:rsid w:val="078742D2"/>
    <w:rsid w:val="07993F03"/>
    <w:rsid w:val="079B1A00"/>
    <w:rsid w:val="079D1D70"/>
    <w:rsid w:val="07A31495"/>
    <w:rsid w:val="07AD5646"/>
    <w:rsid w:val="07B53E97"/>
    <w:rsid w:val="07B6292D"/>
    <w:rsid w:val="07BF65A4"/>
    <w:rsid w:val="07D1131A"/>
    <w:rsid w:val="07D300DC"/>
    <w:rsid w:val="07D721EC"/>
    <w:rsid w:val="07E33815"/>
    <w:rsid w:val="07ED0962"/>
    <w:rsid w:val="07ED439D"/>
    <w:rsid w:val="08032D2C"/>
    <w:rsid w:val="08040A3E"/>
    <w:rsid w:val="08043A87"/>
    <w:rsid w:val="083A4F69"/>
    <w:rsid w:val="083B044E"/>
    <w:rsid w:val="083C0E75"/>
    <w:rsid w:val="08411A52"/>
    <w:rsid w:val="08452D46"/>
    <w:rsid w:val="084864C1"/>
    <w:rsid w:val="084D30A8"/>
    <w:rsid w:val="084F1BA9"/>
    <w:rsid w:val="086A28D8"/>
    <w:rsid w:val="086E6767"/>
    <w:rsid w:val="08897431"/>
    <w:rsid w:val="088C771F"/>
    <w:rsid w:val="089661E3"/>
    <w:rsid w:val="089B415B"/>
    <w:rsid w:val="08B96672"/>
    <w:rsid w:val="08D062B5"/>
    <w:rsid w:val="08D81E72"/>
    <w:rsid w:val="08DC5A88"/>
    <w:rsid w:val="08DF5C62"/>
    <w:rsid w:val="08E66875"/>
    <w:rsid w:val="08FA4498"/>
    <w:rsid w:val="08FF1600"/>
    <w:rsid w:val="09002C0C"/>
    <w:rsid w:val="09060528"/>
    <w:rsid w:val="090C3111"/>
    <w:rsid w:val="090C7CA4"/>
    <w:rsid w:val="09297778"/>
    <w:rsid w:val="092C4CD8"/>
    <w:rsid w:val="09401532"/>
    <w:rsid w:val="095A3AF1"/>
    <w:rsid w:val="09645F80"/>
    <w:rsid w:val="096D0819"/>
    <w:rsid w:val="097924AD"/>
    <w:rsid w:val="09913B2E"/>
    <w:rsid w:val="09915625"/>
    <w:rsid w:val="09A137B2"/>
    <w:rsid w:val="09A3078F"/>
    <w:rsid w:val="09A45589"/>
    <w:rsid w:val="09A94BE8"/>
    <w:rsid w:val="09B5522C"/>
    <w:rsid w:val="09B71227"/>
    <w:rsid w:val="09BF399D"/>
    <w:rsid w:val="09D516AE"/>
    <w:rsid w:val="09E417AD"/>
    <w:rsid w:val="0A0B3519"/>
    <w:rsid w:val="0A0C5CA6"/>
    <w:rsid w:val="0A13560D"/>
    <w:rsid w:val="0A1F35DA"/>
    <w:rsid w:val="0A2C5FC0"/>
    <w:rsid w:val="0A321A9A"/>
    <w:rsid w:val="0A322AC1"/>
    <w:rsid w:val="0A3506D1"/>
    <w:rsid w:val="0A433D3E"/>
    <w:rsid w:val="0A49662C"/>
    <w:rsid w:val="0A4C120D"/>
    <w:rsid w:val="0A6107F8"/>
    <w:rsid w:val="0A686D4C"/>
    <w:rsid w:val="0A7F24DD"/>
    <w:rsid w:val="0AA10833"/>
    <w:rsid w:val="0AA84AD7"/>
    <w:rsid w:val="0AA9139D"/>
    <w:rsid w:val="0AAE5D6B"/>
    <w:rsid w:val="0AAE7587"/>
    <w:rsid w:val="0AB63223"/>
    <w:rsid w:val="0ABB2E97"/>
    <w:rsid w:val="0AC2199B"/>
    <w:rsid w:val="0AC21B98"/>
    <w:rsid w:val="0AC273BE"/>
    <w:rsid w:val="0AC41E4E"/>
    <w:rsid w:val="0AC71B0C"/>
    <w:rsid w:val="0AD46DF0"/>
    <w:rsid w:val="0ADB5E4F"/>
    <w:rsid w:val="0ADC6B86"/>
    <w:rsid w:val="0AE11AA6"/>
    <w:rsid w:val="0AEB7442"/>
    <w:rsid w:val="0AEE19E6"/>
    <w:rsid w:val="0B07038D"/>
    <w:rsid w:val="0B0E131B"/>
    <w:rsid w:val="0B0F42D3"/>
    <w:rsid w:val="0B204590"/>
    <w:rsid w:val="0B2B2074"/>
    <w:rsid w:val="0B320583"/>
    <w:rsid w:val="0B3B543D"/>
    <w:rsid w:val="0B401C3A"/>
    <w:rsid w:val="0B44530B"/>
    <w:rsid w:val="0B550EA2"/>
    <w:rsid w:val="0B574043"/>
    <w:rsid w:val="0B5B7563"/>
    <w:rsid w:val="0B5E2A33"/>
    <w:rsid w:val="0B687217"/>
    <w:rsid w:val="0B705678"/>
    <w:rsid w:val="0B713EAA"/>
    <w:rsid w:val="0B8406F4"/>
    <w:rsid w:val="0B8B368D"/>
    <w:rsid w:val="0B8F6A6E"/>
    <w:rsid w:val="0B901D30"/>
    <w:rsid w:val="0B902D69"/>
    <w:rsid w:val="0B911826"/>
    <w:rsid w:val="0B9B68FA"/>
    <w:rsid w:val="0B9B7575"/>
    <w:rsid w:val="0BA20E65"/>
    <w:rsid w:val="0BAB245F"/>
    <w:rsid w:val="0BAB4DBC"/>
    <w:rsid w:val="0BE2243C"/>
    <w:rsid w:val="0BF4406D"/>
    <w:rsid w:val="0BF7192C"/>
    <w:rsid w:val="0C015973"/>
    <w:rsid w:val="0C074F7F"/>
    <w:rsid w:val="0C1B2B65"/>
    <w:rsid w:val="0C2506CA"/>
    <w:rsid w:val="0C28043A"/>
    <w:rsid w:val="0C320FCD"/>
    <w:rsid w:val="0C372D53"/>
    <w:rsid w:val="0C3E1C03"/>
    <w:rsid w:val="0C474059"/>
    <w:rsid w:val="0C49264E"/>
    <w:rsid w:val="0C4D5E29"/>
    <w:rsid w:val="0C574AC0"/>
    <w:rsid w:val="0C6426DF"/>
    <w:rsid w:val="0C6A0779"/>
    <w:rsid w:val="0C750587"/>
    <w:rsid w:val="0C797480"/>
    <w:rsid w:val="0C7D0351"/>
    <w:rsid w:val="0C7D72A5"/>
    <w:rsid w:val="0C8260AE"/>
    <w:rsid w:val="0C854361"/>
    <w:rsid w:val="0C8C0C46"/>
    <w:rsid w:val="0C907DC5"/>
    <w:rsid w:val="0C9522DF"/>
    <w:rsid w:val="0C9A13AC"/>
    <w:rsid w:val="0C9A19A3"/>
    <w:rsid w:val="0CAA3CCD"/>
    <w:rsid w:val="0CAD2A4E"/>
    <w:rsid w:val="0CB0171B"/>
    <w:rsid w:val="0CBE4A0B"/>
    <w:rsid w:val="0CC341DC"/>
    <w:rsid w:val="0CC612F4"/>
    <w:rsid w:val="0CC615D3"/>
    <w:rsid w:val="0CD13922"/>
    <w:rsid w:val="0CD26857"/>
    <w:rsid w:val="0CD74CD9"/>
    <w:rsid w:val="0CD83521"/>
    <w:rsid w:val="0CD90EE9"/>
    <w:rsid w:val="0CED4A68"/>
    <w:rsid w:val="0CF746C0"/>
    <w:rsid w:val="0D09230E"/>
    <w:rsid w:val="0D0B1254"/>
    <w:rsid w:val="0D1C73D0"/>
    <w:rsid w:val="0D226E9B"/>
    <w:rsid w:val="0D2D08C6"/>
    <w:rsid w:val="0D350DE1"/>
    <w:rsid w:val="0D431241"/>
    <w:rsid w:val="0D4F79DA"/>
    <w:rsid w:val="0D525B15"/>
    <w:rsid w:val="0D55239B"/>
    <w:rsid w:val="0D632677"/>
    <w:rsid w:val="0D667DA4"/>
    <w:rsid w:val="0D6E2107"/>
    <w:rsid w:val="0D710CC3"/>
    <w:rsid w:val="0D802AE3"/>
    <w:rsid w:val="0D8074AB"/>
    <w:rsid w:val="0D8A60D7"/>
    <w:rsid w:val="0D9A4F5E"/>
    <w:rsid w:val="0D9F56FB"/>
    <w:rsid w:val="0DC63626"/>
    <w:rsid w:val="0DC64126"/>
    <w:rsid w:val="0DCE3488"/>
    <w:rsid w:val="0DD84736"/>
    <w:rsid w:val="0DE20E1B"/>
    <w:rsid w:val="0DE31C36"/>
    <w:rsid w:val="0DEF7033"/>
    <w:rsid w:val="0E0713B3"/>
    <w:rsid w:val="0E146848"/>
    <w:rsid w:val="0E152902"/>
    <w:rsid w:val="0E183A0A"/>
    <w:rsid w:val="0E221C3F"/>
    <w:rsid w:val="0E2B5C71"/>
    <w:rsid w:val="0E2D3866"/>
    <w:rsid w:val="0E3171C6"/>
    <w:rsid w:val="0E324694"/>
    <w:rsid w:val="0E387EC6"/>
    <w:rsid w:val="0E3F0DAA"/>
    <w:rsid w:val="0E46674C"/>
    <w:rsid w:val="0E4950B8"/>
    <w:rsid w:val="0E4B7427"/>
    <w:rsid w:val="0E4D368D"/>
    <w:rsid w:val="0E725FCB"/>
    <w:rsid w:val="0E766E94"/>
    <w:rsid w:val="0E812687"/>
    <w:rsid w:val="0E892711"/>
    <w:rsid w:val="0E8D2557"/>
    <w:rsid w:val="0E8F302E"/>
    <w:rsid w:val="0E940B3A"/>
    <w:rsid w:val="0E970926"/>
    <w:rsid w:val="0EA44D26"/>
    <w:rsid w:val="0EA566AE"/>
    <w:rsid w:val="0EA85E66"/>
    <w:rsid w:val="0EB90C4C"/>
    <w:rsid w:val="0EBD6D77"/>
    <w:rsid w:val="0EC03E91"/>
    <w:rsid w:val="0ECF2293"/>
    <w:rsid w:val="0EEF1C78"/>
    <w:rsid w:val="0EF96B72"/>
    <w:rsid w:val="0F102AC1"/>
    <w:rsid w:val="0F12065F"/>
    <w:rsid w:val="0F12721D"/>
    <w:rsid w:val="0F1A334E"/>
    <w:rsid w:val="0F220014"/>
    <w:rsid w:val="0F2E6AE0"/>
    <w:rsid w:val="0F427619"/>
    <w:rsid w:val="0F4D3AE3"/>
    <w:rsid w:val="0F546849"/>
    <w:rsid w:val="0F6945C0"/>
    <w:rsid w:val="0F6E5986"/>
    <w:rsid w:val="0F73441B"/>
    <w:rsid w:val="0F743751"/>
    <w:rsid w:val="0F7913A4"/>
    <w:rsid w:val="0F7F680A"/>
    <w:rsid w:val="0F81512A"/>
    <w:rsid w:val="0F9D3669"/>
    <w:rsid w:val="0FA2315B"/>
    <w:rsid w:val="0FAE4E7B"/>
    <w:rsid w:val="0FB92D90"/>
    <w:rsid w:val="0FC709BB"/>
    <w:rsid w:val="0FC9138D"/>
    <w:rsid w:val="0FCB6EBE"/>
    <w:rsid w:val="0FD30F4B"/>
    <w:rsid w:val="0FD85A5D"/>
    <w:rsid w:val="0FE07F38"/>
    <w:rsid w:val="0FF60316"/>
    <w:rsid w:val="10022AD1"/>
    <w:rsid w:val="10060813"/>
    <w:rsid w:val="100F0015"/>
    <w:rsid w:val="10163401"/>
    <w:rsid w:val="10347DA4"/>
    <w:rsid w:val="10371669"/>
    <w:rsid w:val="103F533B"/>
    <w:rsid w:val="10415A3B"/>
    <w:rsid w:val="10470CD8"/>
    <w:rsid w:val="105E58C9"/>
    <w:rsid w:val="10743FE1"/>
    <w:rsid w:val="10822D43"/>
    <w:rsid w:val="108567F8"/>
    <w:rsid w:val="109B71AD"/>
    <w:rsid w:val="109F6306"/>
    <w:rsid w:val="10AF4A06"/>
    <w:rsid w:val="10BF7B7D"/>
    <w:rsid w:val="10C032E4"/>
    <w:rsid w:val="10C33032"/>
    <w:rsid w:val="10C540A8"/>
    <w:rsid w:val="10C85681"/>
    <w:rsid w:val="10D214A7"/>
    <w:rsid w:val="10D5674C"/>
    <w:rsid w:val="10E16558"/>
    <w:rsid w:val="10E7459A"/>
    <w:rsid w:val="10E973FF"/>
    <w:rsid w:val="10EB1CAF"/>
    <w:rsid w:val="10EC7CF9"/>
    <w:rsid w:val="10EE0335"/>
    <w:rsid w:val="10F14435"/>
    <w:rsid w:val="10FA08FA"/>
    <w:rsid w:val="10FD4823"/>
    <w:rsid w:val="110738E9"/>
    <w:rsid w:val="110F3A14"/>
    <w:rsid w:val="1124748C"/>
    <w:rsid w:val="112876A7"/>
    <w:rsid w:val="113626D0"/>
    <w:rsid w:val="113E3FDC"/>
    <w:rsid w:val="115A0CFE"/>
    <w:rsid w:val="11681225"/>
    <w:rsid w:val="1168226F"/>
    <w:rsid w:val="116D0D95"/>
    <w:rsid w:val="118F64AC"/>
    <w:rsid w:val="119B5E76"/>
    <w:rsid w:val="11A36E78"/>
    <w:rsid w:val="11A46A84"/>
    <w:rsid w:val="11A964CA"/>
    <w:rsid w:val="11B4501F"/>
    <w:rsid w:val="11B81EE8"/>
    <w:rsid w:val="11BD66AA"/>
    <w:rsid w:val="11C908BB"/>
    <w:rsid w:val="11FA25A4"/>
    <w:rsid w:val="12051FDB"/>
    <w:rsid w:val="1216055B"/>
    <w:rsid w:val="1241138E"/>
    <w:rsid w:val="12422EB8"/>
    <w:rsid w:val="12484404"/>
    <w:rsid w:val="12493617"/>
    <w:rsid w:val="12516A7F"/>
    <w:rsid w:val="12544DF7"/>
    <w:rsid w:val="125C722A"/>
    <w:rsid w:val="125D3284"/>
    <w:rsid w:val="126329AF"/>
    <w:rsid w:val="126F72CD"/>
    <w:rsid w:val="12776995"/>
    <w:rsid w:val="127B1281"/>
    <w:rsid w:val="129D5963"/>
    <w:rsid w:val="129E4BC1"/>
    <w:rsid w:val="12AD532B"/>
    <w:rsid w:val="12AE054D"/>
    <w:rsid w:val="12B45C33"/>
    <w:rsid w:val="12B55D27"/>
    <w:rsid w:val="12BB751C"/>
    <w:rsid w:val="12C738DF"/>
    <w:rsid w:val="12D733D3"/>
    <w:rsid w:val="12DB6072"/>
    <w:rsid w:val="12EA4FF0"/>
    <w:rsid w:val="12F06D4C"/>
    <w:rsid w:val="13085B4B"/>
    <w:rsid w:val="13096D79"/>
    <w:rsid w:val="131457A6"/>
    <w:rsid w:val="13286CF2"/>
    <w:rsid w:val="132A0098"/>
    <w:rsid w:val="13346B0E"/>
    <w:rsid w:val="1362609D"/>
    <w:rsid w:val="13657993"/>
    <w:rsid w:val="1368421F"/>
    <w:rsid w:val="13716A09"/>
    <w:rsid w:val="13877EBC"/>
    <w:rsid w:val="138E2DA8"/>
    <w:rsid w:val="13910110"/>
    <w:rsid w:val="13A52D40"/>
    <w:rsid w:val="13A95686"/>
    <w:rsid w:val="13B924F4"/>
    <w:rsid w:val="13BE6F05"/>
    <w:rsid w:val="13D03C02"/>
    <w:rsid w:val="13DA1F43"/>
    <w:rsid w:val="13F56E49"/>
    <w:rsid w:val="14011A00"/>
    <w:rsid w:val="140432BB"/>
    <w:rsid w:val="14074A2A"/>
    <w:rsid w:val="14103E86"/>
    <w:rsid w:val="14144AF4"/>
    <w:rsid w:val="141F0FB8"/>
    <w:rsid w:val="142C45C0"/>
    <w:rsid w:val="142D26E1"/>
    <w:rsid w:val="143013B2"/>
    <w:rsid w:val="144235C0"/>
    <w:rsid w:val="14441809"/>
    <w:rsid w:val="144E1799"/>
    <w:rsid w:val="145854BE"/>
    <w:rsid w:val="145C49D4"/>
    <w:rsid w:val="14604367"/>
    <w:rsid w:val="14684754"/>
    <w:rsid w:val="146A54EE"/>
    <w:rsid w:val="1476230D"/>
    <w:rsid w:val="14852D0F"/>
    <w:rsid w:val="14861F22"/>
    <w:rsid w:val="148B6982"/>
    <w:rsid w:val="14A624F0"/>
    <w:rsid w:val="14A76672"/>
    <w:rsid w:val="14A77A59"/>
    <w:rsid w:val="14AC0C62"/>
    <w:rsid w:val="14B320B2"/>
    <w:rsid w:val="14B45FB6"/>
    <w:rsid w:val="14B66E59"/>
    <w:rsid w:val="14C04299"/>
    <w:rsid w:val="14D878E4"/>
    <w:rsid w:val="14D9207B"/>
    <w:rsid w:val="14DB04C0"/>
    <w:rsid w:val="14E31B3F"/>
    <w:rsid w:val="14E5526D"/>
    <w:rsid w:val="14F31F7B"/>
    <w:rsid w:val="15044A88"/>
    <w:rsid w:val="1511658D"/>
    <w:rsid w:val="15172840"/>
    <w:rsid w:val="152A4628"/>
    <w:rsid w:val="152B4756"/>
    <w:rsid w:val="153656F6"/>
    <w:rsid w:val="153E4174"/>
    <w:rsid w:val="15510D84"/>
    <w:rsid w:val="15557C19"/>
    <w:rsid w:val="15672EA0"/>
    <w:rsid w:val="156A2118"/>
    <w:rsid w:val="159B42F2"/>
    <w:rsid w:val="15A90C91"/>
    <w:rsid w:val="15B33CE7"/>
    <w:rsid w:val="15CA3EFC"/>
    <w:rsid w:val="15D32C9D"/>
    <w:rsid w:val="15D64DE0"/>
    <w:rsid w:val="15DB4D59"/>
    <w:rsid w:val="15F03A8F"/>
    <w:rsid w:val="15F36738"/>
    <w:rsid w:val="16047F13"/>
    <w:rsid w:val="16053D9D"/>
    <w:rsid w:val="160C66E2"/>
    <w:rsid w:val="16157676"/>
    <w:rsid w:val="161629F5"/>
    <w:rsid w:val="16175528"/>
    <w:rsid w:val="161C4210"/>
    <w:rsid w:val="162B0FD3"/>
    <w:rsid w:val="16316337"/>
    <w:rsid w:val="163F3FCC"/>
    <w:rsid w:val="16442095"/>
    <w:rsid w:val="16531E9A"/>
    <w:rsid w:val="165C7A79"/>
    <w:rsid w:val="16615306"/>
    <w:rsid w:val="166232DE"/>
    <w:rsid w:val="1665769A"/>
    <w:rsid w:val="166F30F1"/>
    <w:rsid w:val="16924682"/>
    <w:rsid w:val="169920AF"/>
    <w:rsid w:val="16BB183B"/>
    <w:rsid w:val="16CB00C0"/>
    <w:rsid w:val="16CB66F0"/>
    <w:rsid w:val="16D61FC6"/>
    <w:rsid w:val="16EB754E"/>
    <w:rsid w:val="16FF10B9"/>
    <w:rsid w:val="170245B4"/>
    <w:rsid w:val="17084259"/>
    <w:rsid w:val="17123F41"/>
    <w:rsid w:val="171C7676"/>
    <w:rsid w:val="17221311"/>
    <w:rsid w:val="1722738C"/>
    <w:rsid w:val="172906F4"/>
    <w:rsid w:val="174329DC"/>
    <w:rsid w:val="174538B1"/>
    <w:rsid w:val="17544936"/>
    <w:rsid w:val="1759184E"/>
    <w:rsid w:val="175A73ED"/>
    <w:rsid w:val="175B1C6B"/>
    <w:rsid w:val="17621122"/>
    <w:rsid w:val="176D6CDF"/>
    <w:rsid w:val="17794CA3"/>
    <w:rsid w:val="17902EB6"/>
    <w:rsid w:val="179257AD"/>
    <w:rsid w:val="17973B70"/>
    <w:rsid w:val="17991B8E"/>
    <w:rsid w:val="17A3674F"/>
    <w:rsid w:val="17A73088"/>
    <w:rsid w:val="17B92F36"/>
    <w:rsid w:val="17B97896"/>
    <w:rsid w:val="17CA481C"/>
    <w:rsid w:val="17CC07F7"/>
    <w:rsid w:val="17DB44BA"/>
    <w:rsid w:val="17ED13E7"/>
    <w:rsid w:val="17FE0021"/>
    <w:rsid w:val="18020066"/>
    <w:rsid w:val="18025D64"/>
    <w:rsid w:val="18110A06"/>
    <w:rsid w:val="18121138"/>
    <w:rsid w:val="181475A5"/>
    <w:rsid w:val="1824045D"/>
    <w:rsid w:val="182D548F"/>
    <w:rsid w:val="182E0907"/>
    <w:rsid w:val="183179C2"/>
    <w:rsid w:val="1834767B"/>
    <w:rsid w:val="183C01C9"/>
    <w:rsid w:val="18450897"/>
    <w:rsid w:val="18477AEC"/>
    <w:rsid w:val="184F0BB3"/>
    <w:rsid w:val="18584928"/>
    <w:rsid w:val="185C26D6"/>
    <w:rsid w:val="185C342F"/>
    <w:rsid w:val="185C5E6B"/>
    <w:rsid w:val="185E6C24"/>
    <w:rsid w:val="18707E03"/>
    <w:rsid w:val="187C615D"/>
    <w:rsid w:val="188065E5"/>
    <w:rsid w:val="189270E7"/>
    <w:rsid w:val="189D3061"/>
    <w:rsid w:val="18B321EA"/>
    <w:rsid w:val="18B80562"/>
    <w:rsid w:val="18C075C2"/>
    <w:rsid w:val="18CD1428"/>
    <w:rsid w:val="18E354F4"/>
    <w:rsid w:val="18F2621B"/>
    <w:rsid w:val="18F51424"/>
    <w:rsid w:val="19175A4E"/>
    <w:rsid w:val="19176B3F"/>
    <w:rsid w:val="191B63D4"/>
    <w:rsid w:val="19265A82"/>
    <w:rsid w:val="19307018"/>
    <w:rsid w:val="19367E6E"/>
    <w:rsid w:val="195957D7"/>
    <w:rsid w:val="19621807"/>
    <w:rsid w:val="1983176B"/>
    <w:rsid w:val="198621C0"/>
    <w:rsid w:val="19943BEF"/>
    <w:rsid w:val="19990AD8"/>
    <w:rsid w:val="199D1C93"/>
    <w:rsid w:val="19C54262"/>
    <w:rsid w:val="19D47250"/>
    <w:rsid w:val="19D843F3"/>
    <w:rsid w:val="19E0204A"/>
    <w:rsid w:val="19E23BEE"/>
    <w:rsid w:val="19E42EDC"/>
    <w:rsid w:val="19F15C4D"/>
    <w:rsid w:val="19F716F5"/>
    <w:rsid w:val="19FA27BF"/>
    <w:rsid w:val="1A0001C5"/>
    <w:rsid w:val="1A0F57C1"/>
    <w:rsid w:val="1A1102DF"/>
    <w:rsid w:val="1A1268B8"/>
    <w:rsid w:val="1A142B14"/>
    <w:rsid w:val="1A1A699C"/>
    <w:rsid w:val="1A1D21EF"/>
    <w:rsid w:val="1A1E1844"/>
    <w:rsid w:val="1A2E5EFD"/>
    <w:rsid w:val="1A334DCF"/>
    <w:rsid w:val="1A336F89"/>
    <w:rsid w:val="1A363BA8"/>
    <w:rsid w:val="1A3A3586"/>
    <w:rsid w:val="1A4167CF"/>
    <w:rsid w:val="1A443CDB"/>
    <w:rsid w:val="1A457830"/>
    <w:rsid w:val="1A480362"/>
    <w:rsid w:val="1A5A1C69"/>
    <w:rsid w:val="1A5D647A"/>
    <w:rsid w:val="1A6C5716"/>
    <w:rsid w:val="1A750365"/>
    <w:rsid w:val="1A7A2CA4"/>
    <w:rsid w:val="1A7F2936"/>
    <w:rsid w:val="1A852B88"/>
    <w:rsid w:val="1A8A77C2"/>
    <w:rsid w:val="1A942928"/>
    <w:rsid w:val="1A957491"/>
    <w:rsid w:val="1A9B3992"/>
    <w:rsid w:val="1A9C2CCF"/>
    <w:rsid w:val="1AB57CBE"/>
    <w:rsid w:val="1ABB53FF"/>
    <w:rsid w:val="1AC05666"/>
    <w:rsid w:val="1AC21287"/>
    <w:rsid w:val="1AC436FE"/>
    <w:rsid w:val="1AC64767"/>
    <w:rsid w:val="1ACB723A"/>
    <w:rsid w:val="1AD4015B"/>
    <w:rsid w:val="1ADA3080"/>
    <w:rsid w:val="1ADD06D4"/>
    <w:rsid w:val="1ADD0E95"/>
    <w:rsid w:val="1AE24620"/>
    <w:rsid w:val="1AEB6F4A"/>
    <w:rsid w:val="1B19408A"/>
    <w:rsid w:val="1B1C3AAC"/>
    <w:rsid w:val="1B22500D"/>
    <w:rsid w:val="1B2A010C"/>
    <w:rsid w:val="1B2C0F9D"/>
    <w:rsid w:val="1B3C0D26"/>
    <w:rsid w:val="1B431107"/>
    <w:rsid w:val="1B4B5C47"/>
    <w:rsid w:val="1B516FBC"/>
    <w:rsid w:val="1B5E1503"/>
    <w:rsid w:val="1B5E76F6"/>
    <w:rsid w:val="1B627EC2"/>
    <w:rsid w:val="1B81528C"/>
    <w:rsid w:val="1B894D9C"/>
    <w:rsid w:val="1B97502C"/>
    <w:rsid w:val="1B9E3D36"/>
    <w:rsid w:val="1BAD684F"/>
    <w:rsid w:val="1BAE43EE"/>
    <w:rsid w:val="1BAF0A08"/>
    <w:rsid w:val="1BDF1A51"/>
    <w:rsid w:val="1BE16CF1"/>
    <w:rsid w:val="1BF37573"/>
    <w:rsid w:val="1BF671A8"/>
    <w:rsid w:val="1BFA25AD"/>
    <w:rsid w:val="1C16265F"/>
    <w:rsid w:val="1C395ACC"/>
    <w:rsid w:val="1C407D9D"/>
    <w:rsid w:val="1C481872"/>
    <w:rsid w:val="1C6F345F"/>
    <w:rsid w:val="1C746116"/>
    <w:rsid w:val="1C8513AC"/>
    <w:rsid w:val="1C944EFA"/>
    <w:rsid w:val="1CA13D9D"/>
    <w:rsid w:val="1CA17E61"/>
    <w:rsid w:val="1CBB61D5"/>
    <w:rsid w:val="1CC12E8F"/>
    <w:rsid w:val="1CD232E8"/>
    <w:rsid w:val="1CD64330"/>
    <w:rsid w:val="1CD66B58"/>
    <w:rsid w:val="1D022645"/>
    <w:rsid w:val="1D0D1895"/>
    <w:rsid w:val="1D0E621C"/>
    <w:rsid w:val="1D102CD1"/>
    <w:rsid w:val="1D1B00E0"/>
    <w:rsid w:val="1D27207B"/>
    <w:rsid w:val="1D280342"/>
    <w:rsid w:val="1D2B5F09"/>
    <w:rsid w:val="1D2C7E2A"/>
    <w:rsid w:val="1D4F555A"/>
    <w:rsid w:val="1D660602"/>
    <w:rsid w:val="1D674D6C"/>
    <w:rsid w:val="1D6E23AC"/>
    <w:rsid w:val="1D8F418E"/>
    <w:rsid w:val="1D91190D"/>
    <w:rsid w:val="1D9D7FF8"/>
    <w:rsid w:val="1D9E7B88"/>
    <w:rsid w:val="1DA101E4"/>
    <w:rsid w:val="1DA4489F"/>
    <w:rsid w:val="1DA66EB2"/>
    <w:rsid w:val="1DAE335B"/>
    <w:rsid w:val="1DB74F07"/>
    <w:rsid w:val="1DC61416"/>
    <w:rsid w:val="1DC94CFF"/>
    <w:rsid w:val="1DD32084"/>
    <w:rsid w:val="1DDC1E2E"/>
    <w:rsid w:val="1DDE4CE3"/>
    <w:rsid w:val="1DE33882"/>
    <w:rsid w:val="1DE67B5E"/>
    <w:rsid w:val="1DE7203E"/>
    <w:rsid w:val="1DED64A2"/>
    <w:rsid w:val="1DF25FA4"/>
    <w:rsid w:val="1DFF4752"/>
    <w:rsid w:val="1E005594"/>
    <w:rsid w:val="1E105C3C"/>
    <w:rsid w:val="1E140D10"/>
    <w:rsid w:val="1E274C89"/>
    <w:rsid w:val="1E2D49B5"/>
    <w:rsid w:val="1E336D74"/>
    <w:rsid w:val="1E372C55"/>
    <w:rsid w:val="1E413AA8"/>
    <w:rsid w:val="1E43254F"/>
    <w:rsid w:val="1E4363C8"/>
    <w:rsid w:val="1E441CA6"/>
    <w:rsid w:val="1E4946EC"/>
    <w:rsid w:val="1E4D35E8"/>
    <w:rsid w:val="1E633BCC"/>
    <w:rsid w:val="1E6423DD"/>
    <w:rsid w:val="1E65490E"/>
    <w:rsid w:val="1E6E0D76"/>
    <w:rsid w:val="1E6E58F9"/>
    <w:rsid w:val="1E8268F6"/>
    <w:rsid w:val="1E926EAE"/>
    <w:rsid w:val="1E9C5D17"/>
    <w:rsid w:val="1EA14275"/>
    <w:rsid w:val="1EA164E2"/>
    <w:rsid w:val="1EC237EE"/>
    <w:rsid w:val="1EC24301"/>
    <w:rsid w:val="1EC31EE7"/>
    <w:rsid w:val="1ECB3486"/>
    <w:rsid w:val="1ECF47A7"/>
    <w:rsid w:val="1EF124EF"/>
    <w:rsid w:val="1F01013F"/>
    <w:rsid w:val="1F027F73"/>
    <w:rsid w:val="1F096237"/>
    <w:rsid w:val="1F134CFA"/>
    <w:rsid w:val="1F137E64"/>
    <w:rsid w:val="1F193F42"/>
    <w:rsid w:val="1F1E086A"/>
    <w:rsid w:val="1F23203F"/>
    <w:rsid w:val="1F337374"/>
    <w:rsid w:val="1F382DAA"/>
    <w:rsid w:val="1F3D62D2"/>
    <w:rsid w:val="1F412CA1"/>
    <w:rsid w:val="1F530BA3"/>
    <w:rsid w:val="1F7C71ED"/>
    <w:rsid w:val="1F856B77"/>
    <w:rsid w:val="1F87026C"/>
    <w:rsid w:val="1F8C6F96"/>
    <w:rsid w:val="1FB16A7A"/>
    <w:rsid w:val="1FB37A64"/>
    <w:rsid w:val="1FB56EDF"/>
    <w:rsid w:val="1FCF72A7"/>
    <w:rsid w:val="1FD33F87"/>
    <w:rsid w:val="1FD45EF3"/>
    <w:rsid w:val="1FDC3296"/>
    <w:rsid w:val="1FDD79D6"/>
    <w:rsid w:val="1FE76A09"/>
    <w:rsid w:val="1FF81D0F"/>
    <w:rsid w:val="20056D5F"/>
    <w:rsid w:val="20174376"/>
    <w:rsid w:val="20265502"/>
    <w:rsid w:val="202957D3"/>
    <w:rsid w:val="20315A5B"/>
    <w:rsid w:val="20473618"/>
    <w:rsid w:val="204B4197"/>
    <w:rsid w:val="20682956"/>
    <w:rsid w:val="207A70D9"/>
    <w:rsid w:val="208708ED"/>
    <w:rsid w:val="208D0F50"/>
    <w:rsid w:val="209B5B55"/>
    <w:rsid w:val="20AA578E"/>
    <w:rsid w:val="20B962F5"/>
    <w:rsid w:val="20B971DB"/>
    <w:rsid w:val="20BA2295"/>
    <w:rsid w:val="20CA738D"/>
    <w:rsid w:val="20E91D02"/>
    <w:rsid w:val="20F021EA"/>
    <w:rsid w:val="20F649C3"/>
    <w:rsid w:val="21086E58"/>
    <w:rsid w:val="210E15FB"/>
    <w:rsid w:val="212445CA"/>
    <w:rsid w:val="21245116"/>
    <w:rsid w:val="212B4C63"/>
    <w:rsid w:val="21450638"/>
    <w:rsid w:val="2149055F"/>
    <w:rsid w:val="215E06DC"/>
    <w:rsid w:val="216A74A3"/>
    <w:rsid w:val="216D1B65"/>
    <w:rsid w:val="217B3117"/>
    <w:rsid w:val="2184004E"/>
    <w:rsid w:val="218D786D"/>
    <w:rsid w:val="21A61A9E"/>
    <w:rsid w:val="21AA665F"/>
    <w:rsid w:val="21C42C8D"/>
    <w:rsid w:val="21CB0B85"/>
    <w:rsid w:val="21D50426"/>
    <w:rsid w:val="21E05121"/>
    <w:rsid w:val="21E1496E"/>
    <w:rsid w:val="21E23CDF"/>
    <w:rsid w:val="21E45F5D"/>
    <w:rsid w:val="21EC0662"/>
    <w:rsid w:val="22043D68"/>
    <w:rsid w:val="220B2240"/>
    <w:rsid w:val="220B7F0B"/>
    <w:rsid w:val="22182B31"/>
    <w:rsid w:val="222E4E4D"/>
    <w:rsid w:val="22302A54"/>
    <w:rsid w:val="22337784"/>
    <w:rsid w:val="223D7FDB"/>
    <w:rsid w:val="223E4633"/>
    <w:rsid w:val="22481FD8"/>
    <w:rsid w:val="22536014"/>
    <w:rsid w:val="225576AD"/>
    <w:rsid w:val="225829CB"/>
    <w:rsid w:val="225936CC"/>
    <w:rsid w:val="225E1982"/>
    <w:rsid w:val="226B0696"/>
    <w:rsid w:val="22801151"/>
    <w:rsid w:val="229677D4"/>
    <w:rsid w:val="22AE4A3F"/>
    <w:rsid w:val="22AF43D7"/>
    <w:rsid w:val="22B234B0"/>
    <w:rsid w:val="22B84495"/>
    <w:rsid w:val="22BC09B6"/>
    <w:rsid w:val="22BD0984"/>
    <w:rsid w:val="22C83ABF"/>
    <w:rsid w:val="22CB683B"/>
    <w:rsid w:val="22E96BB9"/>
    <w:rsid w:val="22FD43E4"/>
    <w:rsid w:val="22FE685D"/>
    <w:rsid w:val="23024E6A"/>
    <w:rsid w:val="230E380E"/>
    <w:rsid w:val="23140A5E"/>
    <w:rsid w:val="231948C3"/>
    <w:rsid w:val="231F5A1C"/>
    <w:rsid w:val="23306088"/>
    <w:rsid w:val="23395BB7"/>
    <w:rsid w:val="233F1C1A"/>
    <w:rsid w:val="235722D3"/>
    <w:rsid w:val="23586841"/>
    <w:rsid w:val="236B4056"/>
    <w:rsid w:val="23726D37"/>
    <w:rsid w:val="237A63C1"/>
    <w:rsid w:val="238D6824"/>
    <w:rsid w:val="238F30D8"/>
    <w:rsid w:val="239244B2"/>
    <w:rsid w:val="239B2019"/>
    <w:rsid w:val="23BD771E"/>
    <w:rsid w:val="23C615C0"/>
    <w:rsid w:val="23DC076F"/>
    <w:rsid w:val="23E007B8"/>
    <w:rsid w:val="23E32337"/>
    <w:rsid w:val="23E817DE"/>
    <w:rsid w:val="23F37CB1"/>
    <w:rsid w:val="23F4120A"/>
    <w:rsid w:val="240D44EE"/>
    <w:rsid w:val="240D4567"/>
    <w:rsid w:val="240E42D3"/>
    <w:rsid w:val="24110095"/>
    <w:rsid w:val="241552D3"/>
    <w:rsid w:val="24190627"/>
    <w:rsid w:val="2419214F"/>
    <w:rsid w:val="24221166"/>
    <w:rsid w:val="242343C0"/>
    <w:rsid w:val="24264B88"/>
    <w:rsid w:val="24324D43"/>
    <w:rsid w:val="24344923"/>
    <w:rsid w:val="243C738F"/>
    <w:rsid w:val="244D13C4"/>
    <w:rsid w:val="245D3C9C"/>
    <w:rsid w:val="2463309D"/>
    <w:rsid w:val="246B2A07"/>
    <w:rsid w:val="248609B9"/>
    <w:rsid w:val="24873BE9"/>
    <w:rsid w:val="248D283F"/>
    <w:rsid w:val="249B67C2"/>
    <w:rsid w:val="24A60D3C"/>
    <w:rsid w:val="24A718AB"/>
    <w:rsid w:val="24C25B20"/>
    <w:rsid w:val="24C95393"/>
    <w:rsid w:val="24D35939"/>
    <w:rsid w:val="24DC7CCF"/>
    <w:rsid w:val="24E22A16"/>
    <w:rsid w:val="24E44142"/>
    <w:rsid w:val="24E63CEF"/>
    <w:rsid w:val="24E7234B"/>
    <w:rsid w:val="24EB30F4"/>
    <w:rsid w:val="24ED416E"/>
    <w:rsid w:val="24EE36F5"/>
    <w:rsid w:val="24FE4A0F"/>
    <w:rsid w:val="24FF4D8A"/>
    <w:rsid w:val="25090624"/>
    <w:rsid w:val="250E7F2D"/>
    <w:rsid w:val="251446AD"/>
    <w:rsid w:val="25170115"/>
    <w:rsid w:val="2517079D"/>
    <w:rsid w:val="251F4E42"/>
    <w:rsid w:val="2524089C"/>
    <w:rsid w:val="25276C8D"/>
    <w:rsid w:val="253E0F42"/>
    <w:rsid w:val="254002AB"/>
    <w:rsid w:val="254C1907"/>
    <w:rsid w:val="254E43DE"/>
    <w:rsid w:val="25590EA1"/>
    <w:rsid w:val="25597909"/>
    <w:rsid w:val="25680912"/>
    <w:rsid w:val="25722CB4"/>
    <w:rsid w:val="25AB1C13"/>
    <w:rsid w:val="25B71060"/>
    <w:rsid w:val="25C970BA"/>
    <w:rsid w:val="25DB502E"/>
    <w:rsid w:val="25F2684D"/>
    <w:rsid w:val="25F7571C"/>
    <w:rsid w:val="25FA4815"/>
    <w:rsid w:val="26013AFE"/>
    <w:rsid w:val="26017E0F"/>
    <w:rsid w:val="26092B9B"/>
    <w:rsid w:val="260C2ECE"/>
    <w:rsid w:val="260C64FE"/>
    <w:rsid w:val="261024A2"/>
    <w:rsid w:val="261C5BFA"/>
    <w:rsid w:val="26200183"/>
    <w:rsid w:val="262867CA"/>
    <w:rsid w:val="262C67E4"/>
    <w:rsid w:val="262E73C2"/>
    <w:rsid w:val="264B2A31"/>
    <w:rsid w:val="265733DF"/>
    <w:rsid w:val="2660202B"/>
    <w:rsid w:val="266D2F42"/>
    <w:rsid w:val="266D7385"/>
    <w:rsid w:val="26AD67AF"/>
    <w:rsid w:val="26C97F3E"/>
    <w:rsid w:val="26DE694B"/>
    <w:rsid w:val="26E2748C"/>
    <w:rsid w:val="26E53A9D"/>
    <w:rsid w:val="26F07977"/>
    <w:rsid w:val="26F26D64"/>
    <w:rsid w:val="270A0791"/>
    <w:rsid w:val="27174AD1"/>
    <w:rsid w:val="273760C4"/>
    <w:rsid w:val="27402855"/>
    <w:rsid w:val="275D4CA2"/>
    <w:rsid w:val="27613721"/>
    <w:rsid w:val="277325DD"/>
    <w:rsid w:val="277C6183"/>
    <w:rsid w:val="27875446"/>
    <w:rsid w:val="27883A7D"/>
    <w:rsid w:val="278B5FFB"/>
    <w:rsid w:val="278C7146"/>
    <w:rsid w:val="278E2A94"/>
    <w:rsid w:val="2795571B"/>
    <w:rsid w:val="2796545C"/>
    <w:rsid w:val="27A10A63"/>
    <w:rsid w:val="27CA2B44"/>
    <w:rsid w:val="27CA3DFA"/>
    <w:rsid w:val="27DA5147"/>
    <w:rsid w:val="27EC6992"/>
    <w:rsid w:val="27ED501A"/>
    <w:rsid w:val="27ED79B3"/>
    <w:rsid w:val="27EE3D4B"/>
    <w:rsid w:val="27EF0F6C"/>
    <w:rsid w:val="280E7913"/>
    <w:rsid w:val="281D1FD8"/>
    <w:rsid w:val="2827226D"/>
    <w:rsid w:val="283A3D81"/>
    <w:rsid w:val="28421699"/>
    <w:rsid w:val="284D5365"/>
    <w:rsid w:val="28581A0A"/>
    <w:rsid w:val="285E2000"/>
    <w:rsid w:val="287A36F4"/>
    <w:rsid w:val="287F0D0A"/>
    <w:rsid w:val="288B4CCD"/>
    <w:rsid w:val="28933F80"/>
    <w:rsid w:val="28943ADF"/>
    <w:rsid w:val="289E389D"/>
    <w:rsid w:val="28A54C15"/>
    <w:rsid w:val="28B05758"/>
    <w:rsid w:val="28B22D0C"/>
    <w:rsid w:val="28BD1124"/>
    <w:rsid w:val="28E74B76"/>
    <w:rsid w:val="28E86C68"/>
    <w:rsid w:val="29033C7D"/>
    <w:rsid w:val="290624CB"/>
    <w:rsid w:val="294D4863"/>
    <w:rsid w:val="294F692F"/>
    <w:rsid w:val="295C0019"/>
    <w:rsid w:val="296E1077"/>
    <w:rsid w:val="297A0EB5"/>
    <w:rsid w:val="297D2B95"/>
    <w:rsid w:val="298F09D8"/>
    <w:rsid w:val="299943BA"/>
    <w:rsid w:val="29AE46F2"/>
    <w:rsid w:val="29AF2270"/>
    <w:rsid w:val="29AF3F5E"/>
    <w:rsid w:val="29B25ABD"/>
    <w:rsid w:val="29BF18AE"/>
    <w:rsid w:val="29C06DD0"/>
    <w:rsid w:val="29CC1639"/>
    <w:rsid w:val="29CD67F9"/>
    <w:rsid w:val="29D04097"/>
    <w:rsid w:val="29DD35B1"/>
    <w:rsid w:val="29E543D9"/>
    <w:rsid w:val="29F9386E"/>
    <w:rsid w:val="29FA048C"/>
    <w:rsid w:val="29FE49B3"/>
    <w:rsid w:val="2A0E6FB8"/>
    <w:rsid w:val="2A14589B"/>
    <w:rsid w:val="2A193D21"/>
    <w:rsid w:val="2A1D5922"/>
    <w:rsid w:val="2A287FDA"/>
    <w:rsid w:val="2A2D713F"/>
    <w:rsid w:val="2A3B77E5"/>
    <w:rsid w:val="2A425B9D"/>
    <w:rsid w:val="2A4850FA"/>
    <w:rsid w:val="2A584460"/>
    <w:rsid w:val="2A866D71"/>
    <w:rsid w:val="2AAA2EF1"/>
    <w:rsid w:val="2AAA720B"/>
    <w:rsid w:val="2ABD2D01"/>
    <w:rsid w:val="2AC3091F"/>
    <w:rsid w:val="2ACC4438"/>
    <w:rsid w:val="2ADC43FA"/>
    <w:rsid w:val="2AE44D46"/>
    <w:rsid w:val="2AF827D8"/>
    <w:rsid w:val="2AF91157"/>
    <w:rsid w:val="2AFA4179"/>
    <w:rsid w:val="2B154E75"/>
    <w:rsid w:val="2B1B1CA8"/>
    <w:rsid w:val="2B242C90"/>
    <w:rsid w:val="2B2929BE"/>
    <w:rsid w:val="2B347517"/>
    <w:rsid w:val="2B3542C9"/>
    <w:rsid w:val="2B3764EA"/>
    <w:rsid w:val="2B403791"/>
    <w:rsid w:val="2B4A32E1"/>
    <w:rsid w:val="2B5701F1"/>
    <w:rsid w:val="2B58643E"/>
    <w:rsid w:val="2B6B2E28"/>
    <w:rsid w:val="2B7F6702"/>
    <w:rsid w:val="2B903F5B"/>
    <w:rsid w:val="2B914A4A"/>
    <w:rsid w:val="2B9B63F4"/>
    <w:rsid w:val="2BAC10E0"/>
    <w:rsid w:val="2BAC62BA"/>
    <w:rsid w:val="2BB50B28"/>
    <w:rsid w:val="2BD000C1"/>
    <w:rsid w:val="2BE45A54"/>
    <w:rsid w:val="2BEA7D37"/>
    <w:rsid w:val="2BF437BD"/>
    <w:rsid w:val="2BF71031"/>
    <w:rsid w:val="2BF908A6"/>
    <w:rsid w:val="2C0242C5"/>
    <w:rsid w:val="2C0F5857"/>
    <w:rsid w:val="2C166FBD"/>
    <w:rsid w:val="2C1C1B28"/>
    <w:rsid w:val="2C205854"/>
    <w:rsid w:val="2C2424C6"/>
    <w:rsid w:val="2C275941"/>
    <w:rsid w:val="2C277582"/>
    <w:rsid w:val="2C3238F0"/>
    <w:rsid w:val="2C342C51"/>
    <w:rsid w:val="2C3D5164"/>
    <w:rsid w:val="2C3E3B9B"/>
    <w:rsid w:val="2C4C2E64"/>
    <w:rsid w:val="2C4E12CC"/>
    <w:rsid w:val="2C60057D"/>
    <w:rsid w:val="2C684DFA"/>
    <w:rsid w:val="2C700C92"/>
    <w:rsid w:val="2C795151"/>
    <w:rsid w:val="2C7963E8"/>
    <w:rsid w:val="2C7E358D"/>
    <w:rsid w:val="2C7E7C57"/>
    <w:rsid w:val="2C887AE0"/>
    <w:rsid w:val="2C8D7BF5"/>
    <w:rsid w:val="2C91317D"/>
    <w:rsid w:val="2C936788"/>
    <w:rsid w:val="2C992645"/>
    <w:rsid w:val="2C9C15FF"/>
    <w:rsid w:val="2CA14645"/>
    <w:rsid w:val="2CA518C4"/>
    <w:rsid w:val="2CA72E17"/>
    <w:rsid w:val="2CB23E56"/>
    <w:rsid w:val="2CC73C12"/>
    <w:rsid w:val="2CDE0D5A"/>
    <w:rsid w:val="2CF47F19"/>
    <w:rsid w:val="2D084EF0"/>
    <w:rsid w:val="2D0D1240"/>
    <w:rsid w:val="2D175218"/>
    <w:rsid w:val="2D1850AE"/>
    <w:rsid w:val="2D2207B9"/>
    <w:rsid w:val="2D2710B4"/>
    <w:rsid w:val="2D2C391D"/>
    <w:rsid w:val="2D307E13"/>
    <w:rsid w:val="2D3F28A5"/>
    <w:rsid w:val="2D533357"/>
    <w:rsid w:val="2D540E52"/>
    <w:rsid w:val="2D594220"/>
    <w:rsid w:val="2D69467E"/>
    <w:rsid w:val="2D771DE7"/>
    <w:rsid w:val="2D793AF5"/>
    <w:rsid w:val="2D831F18"/>
    <w:rsid w:val="2DA0501B"/>
    <w:rsid w:val="2DA271EE"/>
    <w:rsid w:val="2DA53B47"/>
    <w:rsid w:val="2DAE779E"/>
    <w:rsid w:val="2DBB4593"/>
    <w:rsid w:val="2DE234C7"/>
    <w:rsid w:val="2DEE6AAB"/>
    <w:rsid w:val="2DF979FF"/>
    <w:rsid w:val="2E0B0913"/>
    <w:rsid w:val="2E0B5DB8"/>
    <w:rsid w:val="2E1D2F54"/>
    <w:rsid w:val="2E257F02"/>
    <w:rsid w:val="2E3903BB"/>
    <w:rsid w:val="2E555E95"/>
    <w:rsid w:val="2E6433AC"/>
    <w:rsid w:val="2E725759"/>
    <w:rsid w:val="2E7D5CEC"/>
    <w:rsid w:val="2E7E4AC2"/>
    <w:rsid w:val="2E8157DC"/>
    <w:rsid w:val="2E853F04"/>
    <w:rsid w:val="2E855ADF"/>
    <w:rsid w:val="2EA75CC0"/>
    <w:rsid w:val="2EA87707"/>
    <w:rsid w:val="2EB06683"/>
    <w:rsid w:val="2ECC7028"/>
    <w:rsid w:val="2ED533F1"/>
    <w:rsid w:val="2ED90451"/>
    <w:rsid w:val="2EDE05E6"/>
    <w:rsid w:val="2EE226EC"/>
    <w:rsid w:val="2EE368EF"/>
    <w:rsid w:val="2EEA1636"/>
    <w:rsid w:val="2EF7074C"/>
    <w:rsid w:val="2F0C70A4"/>
    <w:rsid w:val="2F0E0B5C"/>
    <w:rsid w:val="2F1A31B5"/>
    <w:rsid w:val="2F1D2750"/>
    <w:rsid w:val="2F47201D"/>
    <w:rsid w:val="2F49601E"/>
    <w:rsid w:val="2F580043"/>
    <w:rsid w:val="2F586F16"/>
    <w:rsid w:val="2F5A7128"/>
    <w:rsid w:val="2F69253C"/>
    <w:rsid w:val="2F694B65"/>
    <w:rsid w:val="2F6A11BE"/>
    <w:rsid w:val="2F6E6748"/>
    <w:rsid w:val="2F6F5B11"/>
    <w:rsid w:val="2F917CA1"/>
    <w:rsid w:val="2F9219E7"/>
    <w:rsid w:val="2FA15A0A"/>
    <w:rsid w:val="2FAC4461"/>
    <w:rsid w:val="2FB849D6"/>
    <w:rsid w:val="2FB87EA3"/>
    <w:rsid w:val="2FBB6D69"/>
    <w:rsid w:val="2FBD601D"/>
    <w:rsid w:val="2FC13BEB"/>
    <w:rsid w:val="2FC8079C"/>
    <w:rsid w:val="2FC8723C"/>
    <w:rsid w:val="2FE12C6D"/>
    <w:rsid w:val="2FE22EBF"/>
    <w:rsid w:val="2FEA6FAF"/>
    <w:rsid w:val="301548AA"/>
    <w:rsid w:val="30253367"/>
    <w:rsid w:val="30257DEF"/>
    <w:rsid w:val="302840AA"/>
    <w:rsid w:val="30371149"/>
    <w:rsid w:val="30420F9B"/>
    <w:rsid w:val="30436D3A"/>
    <w:rsid w:val="30467586"/>
    <w:rsid w:val="305A6B10"/>
    <w:rsid w:val="306B6744"/>
    <w:rsid w:val="307017A9"/>
    <w:rsid w:val="30706524"/>
    <w:rsid w:val="30780656"/>
    <w:rsid w:val="3083028D"/>
    <w:rsid w:val="30834FFC"/>
    <w:rsid w:val="308650B9"/>
    <w:rsid w:val="30A861F8"/>
    <w:rsid w:val="30AB3435"/>
    <w:rsid w:val="30C974DE"/>
    <w:rsid w:val="30DC319E"/>
    <w:rsid w:val="30DD7C5A"/>
    <w:rsid w:val="30E001D8"/>
    <w:rsid w:val="30E812F4"/>
    <w:rsid w:val="30EC655F"/>
    <w:rsid w:val="30ED74AB"/>
    <w:rsid w:val="30F304E8"/>
    <w:rsid w:val="30FB179F"/>
    <w:rsid w:val="30FF1592"/>
    <w:rsid w:val="310343BE"/>
    <w:rsid w:val="310C4A51"/>
    <w:rsid w:val="311B0380"/>
    <w:rsid w:val="31272F07"/>
    <w:rsid w:val="312B6C4A"/>
    <w:rsid w:val="313553C8"/>
    <w:rsid w:val="31431020"/>
    <w:rsid w:val="314A4172"/>
    <w:rsid w:val="315047E2"/>
    <w:rsid w:val="317309CA"/>
    <w:rsid w:val="3180127F"/>
    <w:rsid w:val="3184466E"/>
    <w:rsid w:val="319B5F95"/>
    <w:rsid w:val="319C697D"/>
    <w:rsid w:val="319F4CA2"/>
    <w:rsid w:val="31A141EE"/>
    <w:rsid w:val="31A20128"/>
    <w:rsid w:val="31A81CBA"/>
    <w:rsid w:val="31AC5273"/>
    <w:rsid w:val="31AF2660"/>
    <w:rsid w:val="31B4400C"/>
    <w:rsid w:val="31B86FF4"/>
    <w:rsid w:val="31D7708A"/>
    <w:rsid w:val="31E93B71"/>
    <w:rsid w:val="31F2254D"/>
    <w:rsid w:val="31F541A5"/>
    <w:rsid w:val="32016BA9"/>
    <w:rsid w:val="32086A25"/>
    <w:rsid w:val="32154F49"/>
    <w:rsid w:val="322265B1"/>
    <w:rsid w:val="32351C5C"/>
    <w:rsid w:val="323E09D5"/>
    <w:rsid w:val="323E75B3"/>
    <w:rsid w:val="3240479F"/>
    <w:rsid w:val="32480723"/>
    <w:rsid w:val="324872D7"/>
    <w:rsid w:val="324A0559"/>
    <w:rsid w:val="324A27B2"/>
    <w:rsid w:val="324D6490"/>
    <w:rsid w:val="32525F6C"/>
    <w:rsid w:val="32554C86"/>
    <w:rsid w:val="3256759C"/>
    <w:rsid w:val="32596019"/>
    <w:rsid w:val="327A2F2F"/>
    <w:rsid w:val="32813017"/>
    <w:rsid w:val="32814F70"/>
    <w:rsid w:val="328C5FB4"/>
    <w:rsid w:val="3292283C"/>
    <w:rsid w:val="32AF693E"/>
    <w:rsid w:val="32B13E01"/>
    <w:rsid w:val="32BA7736"/>
    <w:rsid w:val="32DD735B"/>
    <w:rsid w:val="32DE1CDE"/>
    <w:rsid w:val="32EE5A7B"/>
    <w:rsid w:val="3304765B"/>
    <w:rsid w:val="33115C8F"/>
    <w:rsid w:val="33141D04"/>
    <w:rsid w:val="331A236A"/>
    <w:rsid w:val="331D4CF7"/>
    <w:rsid w:val="331E60BC"/>
    <w:rsid w:val="332B2CC2"/>
    <w:rsid w:val="33301B34"/>
    <w:rsid w:val="33366EFF"/>
    <w:rsid w:val="333A6C25"/>
    <w:rsid w:val="333F17C2"/>
    <w:rsid w:val="33420C2D"/>
    <w:rsid w:val="335072D3"/>
    <w:rsid w:val="33523257"/>
    <w:rsid w:val="33614AF1"/>
    <w:rsid w:val="336A35B8"/>
    <w:rsid w:val="33736D22"/>
    <w:rsid w:val="33765C13"/>
    <w:rsid w:val="337F4E39"/>
    <w:rsid w:val="33887817"/>
    <w:rsid w:val="338B4A07"/>
    <w:rsid w:val="338D07C4"/>
    <w:rsid w:val="33A85E38"/>
    <w:rsid w:val="33AB482E"/>
    <w:rsid w:val="33AD11D2"/>
    <w:rsid w:val="33AD2985"/>
    <w:rsid w:val="33AD634D"/>
    <w:rsid w:val="33C30645"/>
    <w:rsid w:val="33F408C4"/>
    <w:rsid w:val="340303F7"/>
    <w:rsid w:val="340A756F"/>
    <w:rsid w:val="340A7CF4"/>
    <w:rsid w:val="3417273F"/>
    <w:rsid w:val="34443520"/>
    <w:rsid w:val="34482813"/>
    <w:rsid w:val="345168C0"/>
    <w:rsid w:val="34612C3B"/>
    <w:rsid w:val="347136C5"/>
    <w:rsid w:val="3472478F"/>
    <w:rsid w:val="34777DA9"/>
    <w:rsid w:val="34781AD1"/>
    <w:rsid w:val="347D4B96"/>
    <w:rsid w:val="347F60F0"/>
    <w:rsid w:val="348812DD"/>
    <w:rsid w:val="349609FC"/>
    <w:rsid w:val="349A75F8"/>
    <w:rsid w:val="34A56577"/>
    <w:rsid w:val="34A85613"/>
    <w:rsid w:val="34BA61CB"/>
    <w:rsid w:val="34C30204"/>
    <w:rsid w:val="34C92C3F"/>
    <w:rsid w:val="34DF2BA3"/>
    <w:rsid w:val="34F148A8"/>
    <w:rsid w:val="34F95395"/>
    <w:rsid w:val="34FE6BEB"/>
    <w:rsid w:val="351654D5"/>
    <w:rsid w:val="35287563"/>
    <w:rsid w:val="352D0ADB"/>
    <w:rsid w:val="3531715A"/>
    <w:rsid w:val="35362292"/>
    <w:rsid w:val="353741CE"/>
    <w:rsid w:val="354979D1"/>
    <w:rsid w:val="354B3236"/>
    <w:rsid w:val="354D0AA5"/>
    <w:rsid w:val="35530295"/>
    <w:rsid w:val="35665400"/>
    <w:rsid w:val="35683964"/>
    <w:rsid w:val="35944ED4"/>
    <w:rsid w:val="359C4F33"/>
    <w:rsid w:val="359E6696"/>
    <w:rsid w:val="35AF582B"/>
    <w:rsid w:val="35BC5872"/>
    <w:rsid w:val="35C80195"/>
    <w:rsid w:val="35C943DD"/>
    <w:rsid w:val="35CB5AD6"/>
    <w:rsid w:val="35D40256"/>
    <w:rsid w:val="35D847B3"/>
    <w:rsid w:val="35E42D9E"/>
    <w:rsid w:val="35F50EF9"/>
    <w:rsid w:val="35FF470E"/>
    <w:rsid w:val="36041DA3"/>
    <w:rsid w:val="36116258"/>
    <w:rsid w:val="36252CB6"/>
    <w:rsid w:val="36312C9A"/>
    <w:rsid w:val="36362114"/>
    <w:rsid w:val="363906D5"/>
    <w:rsid w:val="36460E83"/>
    <w:rsid w:val="364648D8"/>
    <w:rsid w:val="36543804"/>
    <w:rsid w:val="365F1412"/>
    <w:rsid w:val="365F74DC"/>
    <w:rsid w:val="36706DD9"/>
    <w:rsid w:val="36744562"/>
    <w:rsid w:val="36774B1E"/>
    <w:rsid w:val="3689720F"/>
    <w:rsid w:val="368A243A"/>
    <w:rsid w:val="36A37C4D"/>
    <w:rsid w:val="36CB5A02"/>
    <w:rsid w:val="36CF1354"/>
    <w:rsid w:val="36D3576B"/>
    <w:rsid w:val="36D854E7"/>
    <w:rsid w:val="36DC25DE"/>
    <w:rsid w:val="36DF7544"/>
    <w:rsid w:val="36E25286"/>
    <w:rsid w:val="36F10070"/>
    <w:rsid w:val="36F95DA9"/>
    <w:rsid w:val="36FF1434"/>
    <w:rsid w:val="370407A0"/>
    <w:rsid w:val="371E3BCB"/>
    <w:rsid w:val="372D4898"/>
    <w:rsid w:val="37321DCA"/>
    <w:rsid w:val="37367428"/>
    <w:rsid w:val="373B04F2"/>
    <w:rsid w:val="373F3F18"/>
    <w:rsid w:val="374653E2"/>
    <w:rsid w:val="37474731"/>
    <w:rsid w:val="37487812"/>
    <w:rsid w:val="375F1854"/>
    <w:rsid w:val="376633F8"/>
    <w:rsid w:val="376B5DF2"/>
    <w:rsid w:val="3771227F"/>
    <w:rsid w:val="37733CDB"/>
    <w:rsid w:val="377716B0"/>
    <w:rsid w:val="377F2AD5"/>
    <w:rsid w:val="37802DC5"/>
    <w:rsid w:val="37A261BF"/>
    <w:rsid w:val="37B3164A"/>
    <w:rsid w:val="37B372E5"/>
    <w:rsid w:val="37C80E48"/>
    <w:rsid w:val="37D84772"/>
    <w:rsid w:val="37E11545"/>
    <w:rsid w:val="37E27BCB"/>
    <w:rsid w:val="3809514D"/>
    <w:rsid w:val="382C6E10"/>
    <w:rsid w:val="382E40C8"/>
    <w:rsid w:val="38320560"/>
    <w:rsid w:val="3834062E"/>
    <w:rsid w:val="38492EBC"/>
    <w:rsid w:val="384A1B14"/>
    <w:rsid w:val="38503FEF"/>
    <w:rsid w:val="385C2B57"/>
    <w:rsid w:val="386345E1"/>
    <w:rsid w:val="38646555"/>
    <w:rsid w:val="386C1FBD"/>
    <w:rsid w:val="387469D8"/>
    <w:rsid w:val="387C24E9"/>
    <w:rsid w:val="38855921"/>
    <w:rsid w:val="38986974"/>
    <w:rsid w:val="38A26A7B"/>
    <w:rsid w:val="38BB4E92"/>
    <w:rsid w:val="38C56BC1"/>
    <w:rsid w:val="38DA6CA2"/>
    <w:rsid w:val="38DB3AAD"/>
    <w:rsid w:val="38E22B1D"/>
    <w:rsid w:val="38E2580A"/>
    <w:rsid w:val="38EB0EC4"/>
    <w:rsid w:val="38EB1009"/>
    <w:rsid w:val="38F41A46"/>
    <w:rsid w:val="390B7296"/>
    <w:rsid w:val="39180AEB"/>
    <w:rsid w:val="39255C45"/>
    <w:rsid w:val="392F4087"/>
    <w:rsid w:val="394C0019"/>
    <w:rsid w:val="3956089B"/>
    <w:rsid w:val="39563283"/>
    <w:rsid w:val="396712AF"/>
    <w:rsid w:val="398A46EF"/>
    <w:rsid w:val="398E51EC"/>
    <w:rsid w:val="39922724"/>
    <w:rsid w:val="399276E7"/>
    <w:rsid w:val="39956615"/>
    <w:rsid w:val="399860D0"/>
    <w:rsid w:val="399B166E"/>
    <w:rsid w:val="399D7106"/>
    <w:rsid w:val="39A4411F"/>
    <w:rsid w:val="39A45B37"/>
    <w:rsid w:val="39A77450"/>
    <w:rsid w:val="39BA0A66"/>
    <w:rsid w:val="39BB6623"/>
    <w:rsid w:val="39C56CDB"/>
    <w:rsid w:val="39CC6865"/>
    <w:rsid w:val="39D46A57"/>
    <w:rsid w:val="39D81611"/>
    <w:rsid w:val="39ED28E1"/>
    <w:rsid w:val="39F06C9A"/>
    <w:rsid w:val="39F3741F"/>
    <w:rsid w:val="39FB2523"/>
    <w:rsid w:val="3A052793"/>
    <w:rsid w:val="3A063F42"/>
    <w:rsid w:val="3A1257B5"/>
    <w:rsid w:val="3A290A4E"/>
    <w:rsid w:val="3A3A2CE3"/>
    <w:rsid w:val="3A3E60F8"/>
    <w:rsid w:val="3A414A01"/>
    <w:rsid w:val="3A416567"/>
    <w:rsid w:val="3A553CC7"/>
    <w:rsid w:val="3A553F3C"/>
    <w:rsid w:val="3A5E430A"/>
    <w:rsid w:val="3A603117"/>
    <w:rsid w:val="3A632594"/>
    <w:rsid w:val="3A687850"/>
    <w:rsid w:val="3A805F85"/>
    <w:rsid w:val="3A8842F0"/>
    <w:rsid w:val="3AA24EF0"/>
    <w:rsid w:val="3AA765CB"/>
    <w:rsid w:val="3AB1270A"/>
    <w:rsid w:val="3ABE439D"/>
    <w:rsid w:val="3AC45DB9"/>
    <w:rsid w:val="3AC85E0B"/>
    <w:rsid w:val="3ACB1702"/>
    <w:rsid w:val="3ACC60F5"/>
    <w:rsid w:val="3AD32023"/>
    <w:rsid w:val="3ADB6274"/>
    <w:rsid w:val="3ADC4B07"/>
    <w:rsid w:val="3AF34736"/>
    <w:rsid w:val="3B0521F8"/>
    <w:rsid w:val="3B1121F3"/>
    <w:rsid w:val="3B17688F"/>
    <w:rsid w:val="3B1E4397"/>
    <w:rsid w:val="3B1E59F3"/>
    <w:rsid w:val="3B290943"/>
    <w:rsid w:val="3B343EEB"/>
    <w:rsid w:val="3B393BE0"/>
    <w:rsid w:val="3B3957AE"/>
    <w:rsid w:val="3B430894"/>
    <w:rsid w:val="3B49143D"/>
    <w:rsid w:val="3B4958D4"/>
    <w:rsid w:val="3B5C4F9F"/>
    <w:rsid w:val="3B5F0836"/>
    <w:rsid w:val="3B617E9B"/>
    <w:rsid w:val="3B652926"/>
    <w:rsid w:val="3B713E55"/>
    <w:rsid w:val="3B8521C1"/>
    <w:rsid w:val="3B9174AA"/>
    <w:rsid w:val="3B9C0761"/>
    <w:rsid w:val="3BA369FA"/>
    <w:rsid w:val="3BB859C9"/>
    <w:rsid w:val="3BBB796A"/>
    <w:rsid w:val="3BD75BE2"/>
    <w:rsid w:val="3BE95A62"/>
    <w:rsid w:val="3BFE35CF"/>
    <w:rsid w:val="3C007EBF"/>
    <w:rsid w:val="3C0B5AAE"/>
    <w:rsid w:val="3C0C652F"/>
    <w:rsid w:val="3C1020AE"/>
    <w:rsid w:val="3C2D0D52"/>
    <w:rsid w:val="3C324E8F"/>
    <w:rsid w:val="3C355A49"/>
    <w:rsid w:val="3C367A80"/>
    <w:rsid w:val="3C3F3EC3"/>
    <w:rsid w:val="3C4D4F50"/>
    <w:rsid w:val="3C51503A"/>
    <w:rsid w:val="3C5B366D"/>
    <w:rsid w:val="3C60131B"/>
    <w:rsid w:val="3C795882"/>
    <w:rsid w:val="3C7E62BC"/>
    <w:rsid w:val="3C820FD3"/>
    <w:rsid w:val="3C852478"/>
    <w:rsid w:val="3CCB6B50"/>
    <w:rsid w:val="3CD27E0E"/>
    <w:rsid w:val="3CDC3B57"/>
    <w:rsid w:val="3CE5162C"/>
    <w:rsid w:val="3D005C1C"/>
    <w:rsid w:val="3D0801FD"/>
    <w:rsid w:val="3D1207AB"/>
    <w:rsid w:val="3D226A35"/>
    <w:rsid w:val="3D2775B1"/>
    <w:rsid w:val="3D2972A3"/>
    <w:rsid w:val="3D2E6FD9"/>
    <w:rsid w:val="3D312048"/>
    <w:rsid w:val="3D320FF5"/>
    <w:rsid w:val="3D3A284C"/>
    <w:rsid w:val="3D3F06D9"/>
    <w:rsid w:val="3D406E8A"/>
    <w:rsid w:val="3D4F28A9"/>
    <w:rsid w:val="3D716A8B"/>
    <w:rsid w:val="3D7B2349"/>
    <w:rsid w:val="3D7C7A09"/>
    <w:rsid w:val="3D8E7173"/>
    <w:rsid w:val="3D95188A"/>
    <w:rsid w:val="3D9B17FE"/>
    <w:rsid w:val="3DAE273F"/>
    <w:rsid w:val="3DB00FB7"/>
    <w:rsid w:val="3DB243B7"/>
    <w:rsid w:val="3DD64F29"/>
    <w:rsid w:val="3DE061CF"/>
    <w:rsid w:val="3E041C6E"/>
    <w:rsid w:val="3E050E0E"/>
    <w:rsid w:val="3E083824"/>
    <w:rsid w:val="3E10748D"/>
    <w:rsid w:val="3E2F7447"/>
    <w:rsid w:val="3E4332F7"/>
    <w:rsid w:val="3E43485C"/>
    <w:rsid w:val="3E444130"/>
    <w:rsid w:val="3E456A65"/>
    <w:rsid w:val="3E4F6AEB"/>
    <w:rsid w:val="3E554590"/>
    <w:rsid w:val="3E5854E6"/>
    <w:rsid w:val="3E5968D0"/>
    <w:rsid w:val="3E5C15BC"/>
    <w:rsid w:val="3E6178B7"/>
    <w:rsid w:val="3E69691D"/>
    <w:rsid w:val="3E730D7F"/>
    <w:rsid w:val="3E79027E"/>
    <w:rsid w:val="3E7A7160"/>
    <w:rsid w:val="3E834C59"/>
    <w:rsid w:val="3E84149D"/>
    <w:rsid w:val="3E8C424A"/>
    <w:rsid w:val="3E8F701A"/>
    <w:rsid w:val="3E900B3C"/>
    <w:rsid w:val="3EB23790"/>
    <w:rsid w:val="3EBC5543"/>
    <w:rsid w:val="3ECB6544"/>
    <w:rsid w:val="3ED50144"/>
    <w:rsid w:val="3ED928DF"/>
    <w:rsid w:val="3EDB73BC"/>
    <w:rsid w:val="3EEA155D"/>
    <w:rsid w:val="3EF07B5F"/>
    <w:rsid w:val="3EFA5F0F"/>
    <w:rsid w:val="3EFD20DE"/>
    <w:rsid w:val="3F132021"/>
    <w:rsid w:val="3F136207"/>
    <w:rsid w:val="3F1C75DA"/>
    <w:rsid w:val="3F1C7E06"/>
    <w:rsid w:val="3F274456"/>
    <w:rsid w:val="3F2B183B"/>
    <w:rsid w:val="3F3009E8"/>
    <w:rsid w:val="3F3F399C"/>
    <w:rsid w:val="3F402745"/>
    <w:rsid w:val="3F4335B3"/>
    <w:rsid w:val="3F643FFA"/>
    <w:rsid w:val="3F6E18E0"/>
    <w:rsid w:val="3F7451E8"/>
    <w:rsid w:val="3F7825F7"/>
    <w:rsid w:val="3F7C4554"/>
    <w:rsid w:val="3F7E2521"/>
    <w:rsid w:val="3F7E71F0"/>
    <w:rsid w:val="3F8073EA"/>
    <w:rsid w:val="3F836EDA"/>
    <w:rsid w:val="3F8F163C"/>
    <w:rsid w:val="3FC47F23"/>
    <w:rsid w:val="3FDA3F7E"/>
    <w:rsid w:val="3FDA6663"/>
    <w:rsid w:val="3FDF2363"/>
    <w:rsid w:val="3FE1000B"/>
    <w:rsid w:val="3FE1257F"/>
    <w:rsid w:val="3FE5610C"/>
    <w:rsid w:val="3FE756BB"/>
    <w:rsid w:val="3FE844B6"/>
    <w:rsid w:val="3FF92907"/>
    <w:rsid w:val="400F1228"/>
    <w:rsid w:val="40100147"/>
    <w:rsid w:val="40114F10"/>
    <w:rsid w:val="4014414F"/>
    <w:rsid w:val="40193A4E"/>
    <w:rsid w:val="401D162D"/>
    <w:rsid w:val="40214FEB"/>
    <w:rsid w:val="40460794"/>
    <w:rsid w:val="40522420"/>
    <w:rsid w:val="4056151F"/>
    <w:rsid w:val="405F16F6"/>
    <w:rsid w:val="40633772"/>
    <w:rsid w:val="40642E48"/>
    <w:rsid w:val="407B6933"/>
    <w:rsid w:val="40821E2F"/>
    <w:rsid w:val="408D1166"/>
    <w:rsid w:val="40B978AA"/>
    <w:rsid w:val="40D36032"/>
    <w:rsid w:val="40DD5738"/>
    <w:rsid w:val="40E677FD"/>
    <w:rsid w:val="40E852C7"/>
    <w:rsid w:val="40ED6D01"/>
    <w:rsid w:val="40F1197A"/>
    <w:rsid w:val="40F339C3"/>
    <w:rsid w:val="40F51503"/>
    <w:rsid w:val="4105311C"/>
    <w:rsid w:val="41097938"/>
    <w:rsid w:val="410B6479"/>
    <w:rsid w:val="41101F1B"/>
    <w:rsid w:val="41282DBA"/>
    <w:rsid w:val="412F202A"/>
    <w:rsid w:val="41313092"/>
    <w:rsid w:val="41365A3B"/>
    <w:rsid w:val="415832C3"/>
    <w:rsid w:val="415D3E87"/>
    <w:rsid w:val="416308EC"/>
    <w:rsid w:val="41642052"/>
    <w:rsid w:val="416F7C3F"/>
    <w:rsid w:val="41711F53"/>
    <w:rsid w:val="417735D1"/>
    <w:rsid w:val="41823F86"/>
    <w:rsid w:val="41A62544"/>
    <w:rsid w:val="41B15F81"/>
    <w:rsid w:val="41B4781F"/>
    <w:rsid w:val="41CA6AF5"/>
    <w:rsid w:val="41D75FFC"/>
    <w:rsid w:val="41E75D78"/>
    <w:rsid w:val="41EA5AAC"/>
    <w:rsid w:val="41EF2117"/>
    <w:rsid w:val="41F80103"/>
    <w:rsid w:val="421A75A8"/>
    <w:rsid w:val="421D61D2"/>
    <w:rsid w:val="42223339"/>
    <w:rsid w:val="422747A9"/>
    <w:rsid w:val="422F3E3F"/>
    <w:rsid w:val="423522EA"/>
    <w:rsid w:val="423E0C3D"/>
    <w:rsid w:val="42497705"/>
    <w:rsid w:val="427032D8"/>
    <w:rsid w:val="42744B28"/>
    <w:rsid w:val="427E6513"/>
    <w:rsid w:val="427F1BDB"/>
    <w:rsid w:val="42816047"/>
    <w:rsid w:val="428169B3"/>
    <w:rsid w:val="42942369"/>
    <w:rsid w:val="429B364F"/>
    <w:rsid w:val="42A22A63"/>
    <w:rsid w:val="42B00B4E"/>
    <w:rsid w:val="42B25728"/>
    <w:rsid w:val="42B555FD"/>
    <w:rsid w:val="42BF32B0"/>
    <w:rsid w:val="42E303BC"/>
    <w:rsid w:val="42F31752"/>
    <w:rsid w:val="42F4521F"/>
    <w:rsid w:val="430A1D0C"/>
    <w:rsid w:val="430B5864"/>
    <w:rsid w:val="432946E3"/>
    <w:rsid w:val="432D3C9C"/>
    <w:rsid w:val="43335AAA"/>
    <w:rsid w:val="433D628D"/>
    <w:rsid w:val="4341206F"/>
    <w:rsid w:val="4357342C"/>
    <w:rsid w:val="435F0B25"/>
    <w:rsid w:val="436604B7"/>
    <w:rsid w:val="43696D50"/>
    <w:rsid w:val="436A51DA"/>
    <w:rsid w:val="4372414C"/>
    <w:rsid w:val="43744064"/>
    <w:rsid w:val="437C18C0"/>
    <w:rsid w:val="438A637F"/>
    <w:rsid w:val="439334D1"/>
    <w:rsid w:val="43934633"/>
    <w:rsid w:val="439F3417"/>
    <w:rsid w:val="43AD2A06"/>
    <w:rsid w:val="43BC2EB1"/>
    <w:rsid w:val="43BC63D5"/>
    <w:rsid w:val="43C76F72"/>
    <w:rsid w:val="43CD71DC"/>
    <w:rsid w:val="43D44047"/>
    <w:rsid w:val="43D50ABA"/>
    <w:rsid w:val="43DE4B20"/>
    <w:rsid w:val="43E73A30"/>
    <w:rsid w:val="43EA3A40"/>
    <w:rsid w:val="43F26008"/>
    <w:rsid w:val="44092350"/>
    <w:rsid w:val="440C2DF4"/>
    <w:rsid w:val="441A4618"/>
    <w:rsid w:val="442B47A4"/>
    <w:rsid w:val="4430280A"/>
    <w:rsid w:val="443D61CD"/>
    <w:rsid w:val="44435D24"/>
    <w:rsid w:val="445262CB"/>
    <w:rsid w:val="44533504"/>
    <w:rsid w:val="446467E7"/>
    <w:rsid w:val="44652E17"/>
    <w:rsid w:val="44690678"/>
    <w:rsid w:val="446C0C74"/>
    <w:rsid w:val="447702B1"/>
    <w:rsid w:val="44802AE2"/>
    <w:rsid w:val="44840383"/>
    <w:rsid w:val="44867E13"/>
    <w:rsid w:val="448714B6"/>
    <w:rsid w:val="448A3054"/>
    <w:rsid w:val="44A64567"/>
    <w:rsid w:val="44C547B7"/>
    <w:rsid w:val="44DB15C0"/>
    <w:rsid w:val="44EB6815"/>
    <w:rsid w:val="450C7583"/>
    <w:rsid w:val="451024FC"/>
    <w:rsid w:val="45107462"/>
    <w:rsid w:val="45234BA8"/>
    <w:rsid w:val="45295774"/>
    <w:rsid w:val="452D173E"/>
    <w:rsid w:val="45317806"/>
    <w:rsid w:val="45340C3F"/>
    <w:rsid w:val="453749EF"/>
    <w:rsid w:val="453A3F7E"/>
    <w:rsid w:val="453C61CC"/>
    <w:rsid w:val="454711D7"/>
    <w:rsid w:val="455B5A97"/>
    <w:rsid w:val="456021DC"/>
    <w:rsid w:val="456068A8"/>
    <w:rsid w:val="45785884"/>
    <w:rsid w:val="457E57B7"/>
    <w:rsid w:val="458D2C39"/>
    <w:rsid w:val="45A06730"/>
    <w:rsid w:val="45A232CD"/>
    <w:rsid w:val="45AC6899"/>
    <w:rsid w:val="45B43DE3"/>
    <w:rsid w:val="45BD7EF6"/>
    <w:rsid w:val="45BE4016"/>
    <w:rsid w:val="45D5584B"/>
    <w:rsid w:val="45DB33F9"/>
    <w:rsid w:val="45E026AE"/>
    <w:rsid w:val="45E070FA"/>
    <w:rsid w:val="45E8055B"/>
    <w:rsid w:val="45F75222"/>
    <w:rsid w:val="45FF27AB"/>
    <w:rsid w:val="4608652E"/>
    <w:rsid w:val="46087FC1"/>
    <w:rsid w:val="460F7A0F"/>
    <w:rsid w:val="461D6E5A"/>
    <w:rsid w:val="462359B4"/>
    <w:rsid w:val="462C0DB0"/>
    <w:rsid w:val="462D14C4"/>
    <w:rsid w:val="462F500A"/>
    <w:rsid w:val="46365735"/>
    <w:rsid w:val="463F6F04"/>
    <w:rsid w:val="464B69A4"/>
    <w:rsid w:val="464C4817"/>
    <w:rsid w:val="4666032C"/>
    <w:rsid w:val="46666F86"/>
    <w:rsid w:val="4670640B"/>
    <w:rsid w:val="46753959"/>
    <w:rsid w:val="46805F22"/>
    <w:rsid w:val="46833DCA"/>
    <w:rsid w:val="46A14816"/>
    <w:rsid w:val="46AD77E2"/>
    <w:rsid w:val="46B21B64"/>
    <w:rsid w:val="46CD06DB"/>
    <w:rsid w:val="46D21866"/>
    <w:rsid w:val="46E75FA1"/>
    <w:rsid w:val="46EA51C7"/>
    <w:rsid w:val="46F07407"/>
    <w:rsid w:val="46F10D88"/>
    <w:rsid w:val="46F841CC"/>
    <w:rsid w:val="46FB750F"/>
    <w:rsid w:val="46FD0A59"/>
    <w:rsid w:val="46FE6D86"/>
    <w:rsid w:val="470F1667"/>
    <w:rsid w:val="471E28FD"/>
    <w:rsid w:val="472B3570"/>
    <w:rsid w:val="47320140"/>
    <w:rsid w:val="473371B1"/>
    <w:rsid w:val="47350F3E"/>
    <w:rsid w:val="47386C8C"/>
    <w:rsid w:val="4741367D"/>
    <w:rsid w:val="475551F9"/>
    <w:rsid w:val="4755585F"/>
    <w:rsid w:val="475A527D"/>
    <w:rsid w:val="475D7EB0"/>
    <w:rsid w:val="476021D1"/>
    <w:rsid w:val="47636BD3"/>
    <w:rsid w:val="476A7BB5"/>
    <w:rsid w:val="47711874"/>
    <w:rsid w:val="47763065"/>
    <w:rsid w:val="478214BD"/>
    <w:rsid w:val="478A62C0"/>
    <w:rsid w:val="47925F0D"/>
    <w:rsid w:val="479618C8"/>
    <w:rsid w:val="47AC3472"/>
    <w:rsid w:val="47C22BCA"/>
    <w:rsid w:val="47DA32E5"/>
    <w:rsid w:val="48033A9A"/>
    <w:rsid w:val="48065D03"/>
    <w:rsid w:val="480A2703"/>
    <w:rsid w:val="480B7D14"/>
    <w:rsid w:val="481D611E"/>
    <w:rsid w:val="48275BCE"/>
    <w:rsid w:val="482A08DD"/>
    <w:rsid w:val="482A5305"/>
    <w:rsid w:val="48335942"/>
    <w:rsid w:val="4857475A"/>
    <w:rsid w:val="48686BA6"/>
    <w:rsid w:val="487A051B"/>
    <w:rsid w:val="487D7CC9"/>
    <w:rsid w:val="487E7792"/>
    <w:rsid w:val="48831CF9"/>
    <w:rsid w:val="488E11DE"/>
    <w:rsid w:val="48954582"/>
    <w:rsid w:val="48AA15DC"/>
    <w:rsid w:val="48B379DB"/>
    <w:rsid w:val="48BF0BAC"/>
    <w:rsid w:val="48C313C6"/>
    <w:rsid w:val="48C44B8C"/>
    <w:rsid w:val="48CC732D"/>
    <w:rsid w:val="48D332A6"/>
    <w:rsid w:val="48DA66E6"/>
    <w:rsid w:val="48DC7852"/>
    <w:rsid w:val="48F331AB"/>
    <w:rsid w:val="48FB5D34"/>
    <w:rsid w:val="490A1F5E"/>
    <w:rsid w:val="490C0A84"/>
    <w:rsid w:val="49125D9A"/>
    <w:rsid w:val="49156DF5"/>
    <w:rsid w:val="49223D96"/>
    <w:rsid w:val="49237848"/>
    <w:rsid w:val="49293F73"/>
    <w:rsid w:val="49302655"/>
    <w:rsid w:val="49503EE9"/>
    <w:rsid w:val="495F30C3"/>
    <w:rsid w:val="497B3F13"/>
    <w:rsid w:val="498A2A3D"/>
    <w:rsid w:val="499018D1"/>
    <w:rsid w:val="49920138"/>
    <w:rsid w:val="49935A39"/>
    <w:rsid w:val="49A44C5C"/>
    <w:rsid w:val="49AF201B"/>
    <w:rsid w:val="49B3181D"/>
    <w:rsid w:val="49C425C9"/>
    <w:rsid w:val="49C967C8"/>
    <w:rsid w:val="49D433E9"/>
    <w:rsid w:val="49D506B3"/>
    <w:rsid w:val="49E334F6"/>
    <w:rsid w:val="49E51AC3"/>
    <w:rsid w:val="4A147A52"/>
    <w:rsid w:val="4A1637D8"/>
    <w:rsid w:val="4A184DCD"/>
    <w:rsid w:val="4A1D6C12"/>
    <w:rsid w:val="4A212DCB"/>
    <w:rsid w:val="4A327B96"/>
    <w:rsid w:val="4A3859E5"/>
    <w:rsid w:val="4A3D2474"/>
    <w:rsid w:val="4A424D15"/>
    <w:rsid w:val="4A496E50"/>
    <w:rsid w:val="4A557A0A"/>
    <w:rsid w:val="4A577C97"/>
    <w:rsid w:val="4A58762B"/>
    <w:rsid w:val="4A5A174B"/>
    <w:rsid w:val="4A7A2213"/>
    <w:rsid w:val="4A86286F"/>
    <w:rsid w:val="4A891968"/>
    <w:rsid w:val="4A9743FB"/>
    <w:rsid w:val="4A9941E8"/>
    <w:rsid w:val="4A9F2FDE"/>
    <w:rsid w:val="4AB30247"/>
    <w:rsid w:val="4AC34F34"/>
    <w:rsid w:val="4ACA7A47"/>
    <w:rsid w:val="4AEC62F5"/>
    <w:rsid w:val="4AF14B9D"/>
    <w:rsid w:val="4AF47F69"/>
    <w:rsid w:val="4AF52241"/>
    <w:rsid w:val="4B007A31"/>
    <w:rsid w:val="4B083C8B"/>
    <w:rsid w:val="4B0D2FDB"/>
    <w:rsid w:val="4B1C72A2"/>
    <w:rsid w:val="4B2C55D8"/>
    <w:rsid w:val="4B2F3CD9"/>
    <w:rsid w:val="4B346231"/>
    <w:rsid w:val="4B4D79F2"/>
    <w:rsid w:val="4B6E4B8A"/>
    <w:rsid w:val="4B775437"/>
    <w:rsid w:val="4B8E4468"/>
    <w:rsid w:val="4B930FC9"/>
    <w:rsid w:val="4B9B3E13"/>
    <w:rsid w:val="4B9C55AC"/>
    <w:rsid w:val="4BB439F7"/>
    <w:rsid w:val="4BBA0FA6"/>
    <w:rsid w:val="4BC52FDB"/>
    <w:rsid w:val="4BCC27FC"/>
    <w:rsid w:val="4BD472FC"/>
    <w:rsid w:val="4BDB43E4"/>
    <w:rsid w:val="4BE10014"/>
    <w:rsid w:val="4BE8590D"/>
    <w:rsid w:val="4BEC61D0"/>
    <w:rsid w:val="4BF076A6"/>
    <w:rsid w:val="4C097F97"/>
    <w:rsid w:val="4C0F20AD"/>
    <w:rsid w:val="4C11429E"/>
    <w:rsid w:val="4C154497"/>
    <w:rsid w:val="4C175287"/>
    <w:rsid w:val="4C180F30"/>
    <w:rsid w:val="4C216DAA"/>
    <w:rsid w:val="4C2966D3"/>
    <w:rsid w:val="4C2F188A"/>
    <w:rsid w:val="4C33769C"/>
    <w:rsid w:val="4C407704"/>
    <w:rsid w:val="4C433D9F"/>
    <w:rsid w:val="4C457151"/>
    <w:rsid w:val="4C5B36BB"/>
    <w:rsid w:val="4C5D1F2A"/>
    <w:rsid w:val="4C5F1AFC"/>
    <w:rsid w:val="4C627E91"/>
    <w:rsid w:val="4C6D1F26"/>
    <w:rsid w:val="4C7315F2"/>
    <w:rsid w:val="4C742085"/>
    <w:rsid w:val="4C7A6760"/>
    <w:rsid w:val="4C7C274A"/>
    <w:rsid w:val="4CA81E55"/>
    <w:rsid w:val="4CB03DE5"/>
    <w:rsid w:val="4CB918AF"/>
    <w:rsid w:val="4CBC4DFA"/>
    <w:rsid w:val="4CCC0875"/>
    <w:rsid w:val="4CCC49A8"/>
    <w:rsid w:val="4CDC4BF1"/>
    <w:rsid w:val="4CE021FB"/>
    <w:rsid w:val="4CE90CC5"/>
    <w:rsid w:val="4CED1784"/>
    <w:rsid w:val="4D094F53"/>
    <w:rsid w:val="4D122E65"/>
    <w:rsid w:val="4D1F1C69"/>
    <w:rsid w:val="4D304270"/>
    <w:rsid w:val="4D316012"/>
    <w:rsid w:val="4D3265B8"/>
    <w:rsid w:val="4D387A9F"/>
    <w:rsid w:val="4D3F5ACF"/>
    <w:rsid w:val="4D435656"/>
    <w:rsid w:val="4D49522A"/>
    <w:rsid w:val="4D5E2AFB"/>
    <w:rsid w:val="4D6B5346"/>
    <w:rsid w:val="4D7B3760"/>
    <w:rsid w:val="4D95314E"/>
    <w:rsid w:val="4D99035A"/>
    <w:rsid w:val="4DA4699A"/>
    <w:rsid w:val="4DA90454"/>
    <w:rsid w:val="4DA92845"/>
    <w:rsid w:val="4DAD7454"/>
    <w:rsid w:val="4DB0169C"/>
    <w:rsid w:val="4DB50BA7"/>
    <w:rsid w:val="4DE44FE8"/>
    <w:rsid w:val="4E013105"/>
    <w:rsid w:val="4E026A1F"/>
    <w:rsid w:val="4E094114"/>
    <w:rsid w:val="4E0C6330"/>
    <w:rsid w:val="4E2A5121"/>
    <w:rsid w:val="4E303E4D"/>
    <w:rsid w:val="4E457DB3"/>
    <w:rsid w:val="4E5B2B67"/>
    <w:rsid w:val="4E5C1DC3"/>
    <w:rsid w:val="4E6045F8"/>
    <w:rsid w:val="4E652EB7"/>
    <w:rsid w:val="4E685227"/>
    <w:rsid w:val="4E6B6D17"/>
    <w:rsid w:val="4E7D386E"/>
    <w:rsid w:val="4E7F7E3F"/>
    <w:rsid w:val="4E826191"/>
    <w:rsid w:val="4E85290F"/>
    <w:rsid w:val="4E89210A"/>
    <w:rsid w:val="4E930C60"/>
    <w:rsid w:val="4E9A7EC1"/>
    <w:rsid w:val="4E9E662E"/>
    <w:rsid w:val="4E9F1D8B"/>
    <w:rsid w:val="4E9F6920"/>
    <w:rsid w:val="4EA77C65"/>
    <w:rsid w:val="4EAF12E0"/>
    <w:rsid w:val="4EB35FBF"/>
    <w:rsid w:val="4ED42D57"/>
    <w:rsid w:val="4EE1022A"/>
    <w:rsid w:val="4EF43F67"/>
    <w:rsid w:val="4EF86636"/>
    <w:rsid w:val="4EFD2805"/>
    <w:rsid w:val="4F005828"/>
    <w:rsid w:val="4F062936"/>
    <w:rsid w:val="4F0C47F7"/>
    <w:rsid w:val="4F193948"/>
    <w:rsid w:val="4F1B18B8"/>
    <w:rsid w:val="4F1E70D2"/>
    <w:rsid w:val="4F276609"/>
    <w:rsid w:val="4F2B0A11"/>
    <w:rsid w:val="4F350230"/>
    <w:rsid w:val="4F483C6B"/>
    <w:rsid w:val="4F491588"/>
    <w:rsid w:val="4F4C5F65"/>
    <w:rsid w:val="4F5235FC"/>
    <w:rsid w:val="4F56204F"/>
    <w:rsid w:val="4F5C72B8"/>
    <w:rsid w:val="4F6518CF"/>
    <w:rsid w:val="4F67530A"/>
    <w:rsid w:val="4F6A43A1"/>
    <w:rsid w:val="4F6B366C"/>
    <w:rsid w:val="4F6D7F7A"/>
    <w:rsid w:val="4F884709"/>
    <w:rsid w:val="4F900DD4"/>
    <w:rsid w:val="4FA0136F"/>
    <w:rsid w:val="4FA435F0"/>
    <w:rsid w:val="4FA577E9"/>
    <w:rsid w:val="4FAC47E1"/>
    <w:rsid w:val="4FAC7800"/>
    <w:rsid w:val="4FB76E58"/>
    <w:rsid w:val="4FBC2DAE"/>
    <w:rsid w:val="4FBC76AA"/>
    <w:rsid w:val="4FCA5097"/>
    <w:rsid w:val="4FD3683D"/>
    <w:rsid w:val="4FD657E9"/>
    <w:rsid w:val="4FD76740"/>
    <w:rsid w:val="4FDC241B"/>
    <w:rsid w:val="4FEE0095"/>
    <w:rsid w:val="4FF21C9B"/>
    <w:rsid w:val="50040941"/>
    <w:rsid w:val="503B2746"/>
    <w:rsid w:val="50717527"/>
    <w:rsid w:val="508A1890"/>
    <w:rsid w:val="50907CA5"/>
    <w:rsid w:val="50924ABD"/>
    <w:rsid w:val="50A62A29"/>
    <w:rsid w:val="50AC3EFE"/>
    <w:rsid w:val="50B3628B"/>
    <w:rsid w:val="50BC5CC9"/>
    <w:rsid w:val="50C057AC"/>
    <w:rsid w:val="50C35EC5"/>
    <w:rsid w:val="50CD4DA0"/>
    <w:rsid w:val="50DA0F41"/>
    <w:rsid w:val="50DA1089"/>
    <w:rsid w:val="51083210"/>
    <w:rsid w:val="510A516A"/>
    <w:rsid w:val="511C247A"/>
    <w:rsid w:val="51295AF1"/>
    <w:rsid w:val="51364080"/>
    <w:rsid w:val="513D3D67"/>
    <w:rsid w:val="514314F7"/>
    <w:rsid w:val="5155452A"/>
    <w:rsid w:val="51722758"/>
    <w:rsid w:val="518025A3"/>
    <w:rsid w:val="518658A7"/>
    <w:rsid w:val="518A3313"/>
    <w:rsid w:val="51AB3D2E"/>
    <w:rsid w:val="51B10FF7"/>
    <w:rsid w:val="51B14487"/>
    <w:rsid w:val="51B17E6B"/>
    <w:rsid w:val="51B5642B"/>
    <w:rsid w:val="51C4760A"/>
    <w:rsid w:val="51CC002B"/>
    <w:rsid w:val="51D03AAE"/>
    <w:rsid w:val="51D5688A"/>
    <w:rsid w:val="51DE33CD"/>
    <w:rsid w:val="51DF731B"/>
    <w:rsid w:val="51E82BBE"/>
    <w:rsid w:val="51EF617D"/>
    <w:rsid w:val="51FB6F30"/>
    <w:rsid w:val="51FD48CA"/>
    <w:rsid w:val="520936AF"/>
    <w:rsid w:val="520B0EBD"/>
    <w:rsid w:val="521C24C4"/>
    <w:rsid w:val="521C2D85"/>
    <w:rsid w:val="522914F3"/>
    <w:rsid w:val="52392C30"/>
    <w:rsid w:val="523D51D2"/>
    <w:rsid w:val="5241356E"/>
    <w:rsid w:val="52417918"/>
    <w:rsid w:val="524231B0"/>
    <w:rsid w:val="52521871"/>
    <w:rsid w:val="52553923"/>
    <w:rsid w:val="525F480E"/>
    <w:rsid w:val="52613AA8"/>
    <w:rsid w:val="526F699D"/>
    <w:rsid w:val="5271546F"/>
    <w:rsid w:val="52834E89"/>
    <w:rsid w:val="52895F3C"/>
    <w:rsid w:val="5293617E"/>
    <w:rsid w:val="529451C4"/>
    <w:rsid w:val="52951FD0"/>
    <w:rsid w:val="52A33423"/>
    <w:rsid w:val="52A43797"/>
    <w:rsid w:val="52A56387"/>
    <w:rsid w:val="52A8335D"/>
    <w:rsid w:val="52B11F1B"/>
    <w:rsid w:val="52B654CF"/>
    <w:rsid w:val="52BB1E9B"/>
    <w:rsid w:val="52C36D8B"/>
    <w:rsid w:val="52C74CDF"/>
    <w:rsid w:val="52CE535A"/>
    <w:rsid w:val="52D17123"/>
    <w:rsid w:val="52D47F19"/>
    <w:rsid w:val="52D77238"/>
    <w:rsid w:val="52E14F4E"/>
    <w:rsid w:val="52EA0BCA"/>
    <w:rsid w:val="53013F11"/>
    <w:rsid w:val="53071B33"/>
    <w:rsid w:val="53115D33"/>
    <w:rsid w:val="53152A84"/>
    <w:rsid w:val="5329608C"/>
    <w:rsid w:val="535959FB"/>
    <w:rsid w:val="535F2D46"/>
    <w:rsid w:val="537249A4"/>
    <w:rsid w:val="537E15E4"/>
    <w:rsid w:val="53830BC5"/>
    <w:rsid w:val="53873B69"/>
    <w:rsid w:val="538A462B"/>
    <w:rsid w:val="539052B7"/>
    <w:rsid w:val="53950854"/>
    <w:rsid w:val="539C3DBD"/>
    <w:rsid w:val="53A12DF9"/>
    <w:rsid w:val="53B421DE"/>
    <w:rsid w:val="53B95A62"/>
    <w:rsid w:val="53C47D62"/>
    <w:rsid w:val="53E61ABA"/>
    <w:rsid w:val="53F3223B"/>
    <w:rsid w:val="53FE5CDE"/>
    <w:rsid w:val="5410190D"/>
    <w:rsid w:val="54135128"/>
    <w:rsid w:val="541505F1"/>
    <w:rsid w:val="54275A1C"/>
    <w:rsid w:val="5428096A"/>
    <w:rsid w:val="542E7049"/>
    <w:rsid w:val="543D1818"/>
    <w:rsid w:val="54414F42"/>
    <w:rsid w:val="54452872"/>
    <w:rsid w:val="54453B49"/>
    <w:rsid w:val="54520EFE"/>
    <w:rsid w:val="545210B6"/>
    <w:rsid w:val="546A1DA3"/>
    <w:rsid w:val="548377E9"/>
    <w:rsid w:val="5484761D"/>
    <w:rsid w:val="5488412C"/>
    <w:rsid w:val="5488614E"/>
    <w:rsid w:val="54894A1A"/>
    <w:rsid w:val="54907C78"/>
    <w:rsid w:val="549F11E9"/>
    <w:rsid w:val="54A06BCC"/>
    <w:rsid w:val="54AD490C"/>
    <w:rsid w:val="54B862F0"/>
    <w:rsid w:val="54BC3105"/>
    <w:rsid w:val="54BD357F"/>
    <w:rsid w:val="54C70821"/>
    <w:rsid w:val="54C87412"/>
    <w:rsid w:val="54CA4491"/>
    <w:rsid w:val="54CE6A47"/>
    <w:rsid w:val="54D75551"/>
    <w:rsid w:val="54DC74AC"/>
    <w:rsid w:val="54EA0DAA"/>
    <w:rsid w:val="54F3078A"/>
    <w:rsid w:val="54F6276B"/>
    <w:rsid w:val="54F96BE1"/>
    <w:rsid w:val="54FD4C36"/>
    <w:rsid w:val="55006BAB"/>
    <w:rsid w:val="55014186"/>
    <w:rsid w:val="55053E35"/>
    <w:rsid w:val="5507618C"/>
    <w:rsid w:val="550F128C"/>
    <w:rsid w:val="55127B99"/>
    <w:rsid w:val="55171430"/>
    <w:rsid w:val="553050D3"/>
    <w:rsid w:val="55311F6D"/>
    <w:rsid w:val="55345089"/>
    <w:rsid w:val="5535329A"/>
    <w:rsid w:val="555503F6"/>
    <w:rsid w:val="55676F59"/>
    <w:rsid w:val="558D4B4C"/>
    <w:rsid w:val="559972D3"/>
    <w:rsid w:val="559B343B"/>
    <w:rsid w:val="55A0213D"/>
    <w:rsid w:val="55B00946"/>
    <w:rsid w:val="55B328BE"/>
    <w:rsid w:val="55C36405"/>
    <w:rsid w:val="55C824E6"/>
    <w:rsid w:val="55D44169"/>
    <w:rsid w:val="55E54443"/>
    <w:rsid w:val="55EB7C82"/>
    <w:rsid w:val="55ED7906"/>
    <w:rsid w:val="55FD53AD"/>
    <w:rsid w:val="56015B8D"/>
    <w:rsid w:val="56024215"/>
    <w:rsid w:val="56051409"/>
    <w:rsid w:val="56083583"/>
    <w:rsid w:val="5613290E"/>
    <w:rsid w:val="561B6B7A"/>
    <w:rsid w:val="56384502"/>
    <w:rsid w:val="56387F21"/>
    <w:rsid w:val="56526E0C"/>
    <w:rsid w:val="566077BE"/>
    <w:rsid w:val="566F0734"/>
    <w:rsid w:val="56757125"/>
    <w:rsid w:val="56785BAF"/>
    <w:rsid w:val="567E13F4"/>
    <w:rsid w:val="568B5C2C"/>
    <w:rsid w:val="56A37844"/>
    <w:rsid w:val="56A931E9"/>
    <w:rsid w:val="56C119CB"/>
    <w:rsid w:val="56C1680E"/>
    <w:rsid w:val="56DD70AF"/>
    <w:rsid w:val="56ED0B64"/>
    <w:rsid w:val="56FE036B"/>
    <w:rsid w:val="570263FA"/>
    <w:rsid w:val="57090374"/>
    <w:rsid w:val="570A380C"/>
    <w:rsid w:val="571072F7"/>
    <w:rsid w:val="571F6BF6"/>
    <w:rsid w:val="57286F4D"/>
    <w:rsid w:val="57387690"/>
    <w:rsid w:val="573F2FBB"/>
    <w:rsid w:val="574C273E"/>
    <w:rsid w:val="57547BD5"/>
    <w:rsid w:val="57566F57"/>
    <w:rsid w:val="57687A4F"/>
    <w:rsid w:val="57723202"/>
    <w:rsid w:val="57782143"/>
    <w:rsid w:val="57825927"/>
    <w:rsid w:val="57903E46"/>
    <w:rsid w:val="57912AE7"/>
    <w:rsid w:val="579C25FB"/>
    <w:rsid w:val="57C10E51"/>
    <w:rsid w:val="57CD738F"/>
    <w:rsid w:val="57CF6F6D"/>
    <w:rsid w:val="57D3645F"/>
    <w:rsid w:val="57E45DA8"/>
    <w:rsid w:val="57F01B04"/>
    <w:rsid w:val="57F66683"/>
    <w:rsid w:val="57FB5ED8"/>
    <w:rsid w:val="581065DF"/>
    <w:rsid w:val="581A3E61"/>
    <w:rsid w:val="581E7EF2"/>
    <w:rsid w:val="582C7D1E"/>
    <w:rsid w:val="58335A76"/>
    <w:rsid w:val="583E22D8"/>
    <w:rsid w:val="5846476C"/>
    <w:rsid w:val="584B6F82"/>
    <w:rsid w:val="58582454"/>
    <w:rsid w:val="586817B6"/>
    <w:rsid w:val="58A62407"/>
    <w:rsid w:val="58A73B10"/>
    <w:rsid w:val="58C6493D"/>
    <w:rsid w:val="58DC1B45"/>
    <w:rsid w:val="58E953D3"/>
    <w:rsid w:val="58EB3D7F"/>
    <w:rsid w:val="58F702C5"/>
    <w:rsid w:val="58FC426D"/>
    <w:rsid w:val="58FD3402"/>
    <w:rsid w:val="592614F2"/>
    <w:rsid w:val="59317A63"/>
    <w:rsid w:val="59522677"/>
    <w:rsid w:val="59560405"/>
    <w:rsid w:val="596D2336"/>
    <w:rsid w:val="59772FB9"/>
    <w:rsid w:val="597B4D1C"/>
    <w:rsid w:val="59835FFD"/>
    <w:rsid w:val="5984397F"/>
    <w:rsid w:val="59971A95"/>
    <w:rsid w:val="5999530A"/>
    <w:rsid w:val="59A27BA8"/>
    <w:rsid w:val="59B04664"/>
    <w:rsid w:val="59BD3C6F"/>
    <w:rsid w:val="59D714C0"/>
    <w:rsid w:val="59DA2457"/>
    <w:rsid w:val="59DA7D34"/>
    <w:rsid w:val="59DB5B48"/>
    <w:rsid w:val="59E24AD2"/>
    <w:rsid w:val="59E25D50"/>
    <w:rsid w:val="59E44094"/>
    <w:rsid w:val="59E53725"/>
    <w:rsid w:val="59ED3E94"/>
    <w:rsid w:val="59F0227B"/>
    <w:rsid w:val="59FE0466"/>
    <w:rsid w:val="5A052B63"/>
    <w:rsid w:val="5A1253AF"/>
    <w:rsid w:val="5A251DA0"/>
    <w:rsid w:val="5A2E4058"/>
    <w:rsid w:val="5A32722C"/>
    <w:rsid w:val="5A5D57C3"/>
    <w:rsid w:val="5A5E7FCB"/>
    <w:rsid w:val="5A5F25C6"/>
    <w:rsid w:val="5A732F5D"/>
    <w:rsid w:val="5A7E421C"/>
    <w:rsid w:val="5A9606E0"/>
    <w:rsid w:val="5A9B739E"/>
    <w:rsid w:val="5AA41EA1"/>
    <w:rsid w:val="5AB06A57"/>
    <w:rsid w:val="5AB07569"/>
    <w:rsid w:val="5AB62029"/>
    <w:rsid w:val="5ABD044F"/>
    <w:rsid w:val="5AC36F4C"/>
    <w:rsid w:val="5AD471A4"/>
    <w:rsid w:val="5AD56E25"/>
    <w:rsid w:val="5ADF69F7"/>
    <w:rsid w:val="5AE07A0A"/>
    <w:rsid w:val="5AE47F9E"/>
    <w:rsid w:val="5AF4204A"/>
    <w:rsid w:val="5B08553A"/>
    <w:rsid w:val="5B1273C0"/>
    <w:rsid w:val="5B1740D8"/>
    <w:rsid w:val="5B17412D"/>
    <w:rsid w:val="5B1F2BB5"/>
    <w:rsid w:val="5B1F30B9"/>
    <w:rsid w:val="5B242EC8"/>
    <w:rsid w:val="5B4724F1"/>
    <w:rsid w:val="5B472FDE"/>
    <w:rsid w:val="5B4F30AC"/>
    <w:rsid w:val="5B514D7F"/>
    <w:rsid w:val="5B5F363F"/>
    <w:rsid w:val="5B6250C6"/>
    <w:rsid w:val="5B6A2736"/>
    <w:rsid w:val="5B8214BB"/>
    <w:rsid w:val="5B827035"/>
    <w:rsid w:val="5B853606"/>
    <w:rsid w:val="5B884011"/>
    <w:rsid w:val="5B921E39"/>
    <w:rsid w:val="5B9A5926"/>
    <w:rsid w:val="5BA266C3"/>
    <w:rsid w:val="5BA67703"/>
    <w:rsid w:val="5BA85E5F"/>
    <w:rsid w:val="5BB72EE6"/>
    <w:rsid w:val="5BBD51A4"/>
    <w:rsid w:val="5BC36B67"/>
    <w:rsid w:val="5BCA0015"/>
    <w:rsid w:val="5BD8467F"/>
    <w:rsid w:val="5BD87CA2"/>
    <w:rsid w:val="5BFD5526"/>
    <w:rsid w:val="5C1A4377"/>
    <w:rsid w:val="5C1B0F0A"/>
    <w:rsid w:val="5C24335A"/>
    <w:rsid w:val="5C25291D"/>
    <w:rsid w:val="5C26499F"/>
    <w:rsid w:val="5C334A70"/>
    <w:rsid w:val="5C3F5263"/>
    <w:rsid w:val="5C5065A3"/>
    <w:rsid w:val="5C5A44A0"/>
    <w:rsid w:val="5C5D0298"/>
    <w:rsid w:val="5C66517B"/>
    <w:rsid w:val="5C813653"/>
    <w:rsid w:val="5C813960"/>
    <w:rsid w:val="5C8C51C9"/>
    <w:rsid w:val="5C8C6D9C"/>
    <w:rsid w:val="5C932A0E"/>
    <w:rsid w:val="5C9D34DC"/>
    <w:rsid w:val="5C9F4023"/>
    <w:rsid w:val="5CA226CB"/>
    <w:rsid w:val="5CA3196F"/>
    <w:rsid w:val="5CA727CE"/>
    <w:rsid w:val="5CA847D4"/>
    <w:rsid w:val="5CAB4116"/>
    <w:rsid w:val="5CAC33CE"/>
    <w:rsid w:val="5CC86EC8"/>
    <w:rsid w:val="5CCB71FA"/>
    <w:rsid w:val="5CD03B83"/>
    <w:rsid w:val="5CD05FC6"/>
    <w:rsid w:val="5CD504FC"/>
    <w:rsid w:val="5CE84C77"/>
    <w:rsid w:val="5CF825D7"/>
    <w:rsid w:val="5D074970"/>
    <w:rsid w:val="5D0B33EC"/>
    <w:rsid w:val="5D0C59CB"/>
    <w:rsid w:val="5D30228F"/>
    <w:rsid w:val="5D3E2967"/>
    <w:rsid w:val="5D445C4B"/>
    <w:rsid w:val="5D46011A"/>
    <w:rsid w:val="5D523A86"/>
    <w:rsid w:val="5D6653C7"/>
    <w:rsid w:val="5D6A07BE"/>
    <w:rsid w:val="5D6A4699"/>
    <w:rsid w:val="5D6B63EC"/>
    <w:rsid w:val="5D7F09EF"/>
    <w:rsid w:val="5D813C93"/>
    <w:rsid w:val="5D815EF1"/>
    <w:rsid w:val="5D845EA0"/>
    <w:rsid w:val="5D884D48"/>
    <w:rsid w:val="5D9430D6"/>
    <w:rsid w:val="5D9B2A1A"/>
    <w:rsid w:val="5D9E0B25"/>
    <w:rsid w:val="5D9F1B38"/>
    <w:rsid w:val="5DA55CF6"/>
    <w:rsid w:val="5DAB2408"/>
    <w:rsid w:val="5DAB2714"/>
    <w:rsid w:val="5DBB11B6"/>
    <w:rsid w:val="5DC03645"/>
    <w:rsid w:val="5DD330F6"/>
    <w:rsid w:val="5DD7748D"/>
    <w:rsid w:val="5DDE6476"/>
    <w:rsid w:val="5DF13B3A"/>
    <w:rsid w:val="5E023FC8"/>
    <w:rsid w:val="5E1D1592"/>
    <w:rsid w:val="5E1E1D2B"/>
    <w:rsid w:val="5E21319E"/>
    <w:rsid w:val="5E2C2DC3"/>
    <w:rsid w:val="5E302EAE"/>
    <w:rsid w:val="5E324032"/>
    <w:rsid w:val="5E363ABA"/>
    <w:rsid w:val="5E423AE8"/>
    <w:rsid w:val="5E4915C3"/>
    <w:rsid w:val="5E4C4C10"/>
    <w:rsid w:val="5E4F1107"/>
    <w:rsid w:val="5E570291"/>
    <w:rsid w:val="5E7C3E94"/>
    <w:rsid w:val="5E7E3078"/>
    <w:rsid w:val="5E837AE6"/>
    <w:rsid w:val="5E842D11"/>
    <w:rsid w:val="5E886BC6"/>
    <w:rsid w:val="5E8C5159"/>
    <w:rsid w:val="5E8E0F5A"/>
    <w:rsid w:val="5E9118DD"/>
    <w:rsid w:val="5EA756EE"/>
    <w:rsid w:val="5EB33644"/>
    <w:rsid w:val="5ED12E74"/>
    <w:rsid w:val="5EDD7C93"/>
    <w:rsid w:val="5EDF72A8"/>
    <w:rsid w:val="5EE41272"/>
    <w:rsid w:val="5EEE00D5"/>
    <w:rsid w:val="5EEF4C73"/>
    <w:rsid w:val="5EF3152F"/>
    <w:rsid w:val="5EF639A0"/>
    <w:rsid w:val="5EFF30C6"/>
    <w:rsid w:val="5F057B3A"/>
    <w:rsid w:val="5F060DF3"/>
    <w:rsid w:val="5F087EB9"/>
    <w:rsid w:val="5F3F10C5"/>
    <w:rsid w:val="5F3F2725"/>
    <w:rsid w:val="5F4B65F7"/>
    <w:rsid w:val="5F5C0E82"/>
    <w:rsid w:val="5F5C5326"/>
    <w:rsid w:val="5F5F68F5"/>
    <w:rsid w:val="5F646AE0"/>
    <w:rsid w:val="5F6B227A"/>
    <w:rsid w:val="5F721FFE"/>
    <w:rsid w:val="5F795F94"/>
    <w:rsid w:val="5F7C28E5"/>
    <w:rsid w:val="5F7E37D9"/>
    <w:rsid w:val="5F8844A2"/>
    <w:rsid w:val="5F88629A"/>
    <w:rsid w:val="5F8F2AE3"/>
    <w:rsid w:val="5F8F71E0"/>
    <w:rsid w:val="5F9A70E8"/>
    <w:rsid w:val="5FAC362F"/>
    <w:rsid w:val="5FBB3897"/>
    <w:rsid w:val="5FC552A8"/>
    <w:rsid w:val="5FCB3564"/>
    <w:rsid w:val="5FEA2CB5"/>
    <w:rsid w:val="5FEA5053"/>
    <w:rsid w:val="5FFA41E4"/>
    <w:rsid w:val="60112488"/>
    <w:rsid w:val="603956C7"/>
    <w:rsid w:val="603C14E4"/>
    <w:rsid w:val="603D5158"/>
    <w:rsid w:val="603F4940"/>
    <w:rsid w:val="604B0756"/>
    <w:rsid w:val="604C38F9"/>
    <w:rsid w:val="604C44C2"/>
    <w:rsid w:val="60594B41"/>
    <w:rsid w:val="605F3233"/>
    <w:rsid w:val="605F7561"/>
    <w:rsid w:val="6062113E"/>
    <w:rsid w:val="60624B6A"/>
    <w:rsid w:val="606A0E5E"/>
    <w:rsid w:val="606E5BCC"/>
    <w:rsid w:val="6074584C"/>
    <w:rsid w:val="607C6057"/>
    <w:rsid w:val="60A9459B"/>
    <w:rsid w:val="60AF5021"/>
    <w:rsid w:val="60C26B98"/>
    <w:rsid w:val="60D34C1F"/>
    <w:rsid w:val="60D35244"/>
    <w:rsid w:val="60EB472C"/>
    <w:rsid w:val="60EE1A1A"/>
    <w:rsid w:val="60F32F57"/>
    <w:rsid w:val="60F94B0A"/>
    <w:rsid w:val="610C1348"/>
    <w:rsid w:val="611059E0"/>
    <w:rsid w:val="61131406"/>
    <w:rsid w:val="61265BEC"/>
    <w:rsid w:val="612B54E0"/>
    <w:rsid w:val="612D0161"/>
    <w:rsid w:val="612E37C6"/>
    <w:rsid w:val="61442BA4"/>
    <w:rsid w:val="61622897"/>
    <w:rsid w:val="6175383F"/>
    <w:rsid w:val="61971C06"/>
    <w:rsid w:val="619B72F7"/>
    <w:rsid w:val="61B9723A"/>
    <w:rsid w:val="61C41F44"/>
    <w:rsid w:val="61C420EE"/>
    <w:rsid w:val="61CB08CC"/>
    <w:rsid w:val="61D65328"/>
    <w:rsid w:val="61D8313B"/>
    <w:rsid w:val="61DA1D92"/>
    <w:rsid w:val="61E255F4"/>
    <w:rsid w:val="61E312EB"/>
    <w:rsid w:val="61EF4230"/>
    <w:rsid w:val="62166EBC"/>
    <w:rsid w:val="622A1CA6"/>
    <w:rsid w:val="62324829"/>
    <w:rsid w:val="62441CE1"/>
    <w:rsid w:val="624A73ED"/>
    <w:rsid w:val="625A45C2"/>
    <w:rsid w:val="62681455"/>
    <w:rsid w:val="626B24B6"/>
    <w:rsid w:val="626C2C5B"/>
    <w:rsid w:val="626D099B"/>
    <w:rsid w:val="62753710"/>
    <w:rsid w:val="628229E6"/>
    <w:rsid w:val="62843401"/>
    <w:rsid w:val="628B63B8"/>
    <w:rsid w:val="62A358BD"/>
    <w:rsid w:val="62AD53F1"/>
    <w:rsid w:val="62AF7E63"/>
    <w:rsid w:val="62B02B16"/>
    <w:rsid w:val="62B1296D"/>
    <w:rsid w:val="62CD4A8E"/>
    <w:rsid w:val="62CE4AB7"/>
    <w:rsid w:val="62D33B51"/>
    <w:rsid w:val="62DA0874"/>
    <w:rsid w:val="62DC0C1B"/>
    <w:rsid w:val="62EF215A"/>
    <w:rsid w:val="62F7376B"/>
    <w:rsid w:val="63000545"/>
    <w:rsid w:val="630D7231"/>
    <w:rsid w:val="631771D3"/>
    <w:rsid w:val="6323785D"/>
    <w:rsid w:val="632E5134"/>
    <w:rsid w:val="63314130"/>
    <w:rsid w:val="63494118"/>
    <w:rsid w:val="635E5EB6"/>
    <w:rsid w:val="63670A31"/>
    <w:rsid w:val="63684382"/>
    <w:rsid w:val="636F7F5F"/>
    <w:rsid w:val="637570C6"/>
    <w:rsid w:val="637A0BCD"/>
    <w:rsid w:val="63805081"/>
    <w:rsid w:val="639D1E70"/>
    <w:rsid w:val="63B162A0"/>
    <w:rsid w:val="63C55C5A"/>
    <w:rsid w:val="63C66118"/>
    <w:rsid w:val="63C90AB0"/>
    <w:rsid w:val="63D2573D"/>
    <w:rsid w:val="63D71F68"/>
    <w:rsid w:val="63DD3C4E"/>
    <w:rsid w:val="63E41818"/>
    <w:rsid w:val="63E46899"/>
    <w:rsid w:val="63E770FB"/>
    <w:rsid w:val="63EB254F"/>
    <w:rsid w:val="63EB719E"/>
    <w:rsid w:val="63F062F0"/>
    <w:rsid w:val="63F568B1"/>
    <w:rsid w:val="640572C5"/>
    <w:rsid w:val="640872BE"/>
    <w:rsid w:val="640C360B"/>
    <w:rsid w:val="64154B77"/>
    <w:rsid w:val="64165E10"/>
    <w:rsid w:val="64170F75"/>
    <w:rsid w:val="641C50CD"/>
    <w:rsid w:val="6427760F"/>
    <w:rsid w:val="642C13BC"/>
    <w:rsid w:val="642D588E"/>
    <w:rsid w:val="643A4547"/>
    <w:rsid w:val="644C70B4"/>
    <w:rsid w:val="645A767B"/>
    <w:rsid w:val="645C748F"/>
    <w:rsid w:val="64654031"/>
    <w:rsid w:val="64737797"/>
    <w:rsid w:val="647C13B2"/>
    <w:rsid w:val="647E0186"/>
    <w:rsid w:val="647E1287"/>
    <w:rsid w:val="648F1CFA"/>
    <w:rsid w:val="64A271B2"/>
    <w:rsid w:val="64AF728A"/>
    <w:rsid w:val="64B10DD1"/>
    <w:rsid w:val="64C64FF0"/>
    <w:rsid w:val="64CF04FE"/>
    <w:rsid w:val="64D13010"/>
    <w:rsid w:val="64D231F4"/>
    <w:rsid w:val="64DF7B80"/>
    <w:rsid w:val="64EC5EE2"/>
    <w:rsid w:val="64EF7851"/>
    <w:rsid w:val="64FB217C"/>
    <w:rsid w:val="64FC5C36"/>
    <w:rsid w:val="650B2141"/>
    <w:rsid w:val="650E0F9B"/>
    <w:rsid w:val="65154BC1"/>
    <w:rsid w:val="6517411C"/>
    <w:rsid w:val="6521168A"/>
    <w:rsid w:val="65222FC4"/>
    <w:rsid w:val="652A6B8C"/>
    <w:rsid w:val="652C114B"/>
    <w:rsid w:val="652E506F"/>
    <w:rsid w:val="65361116"/>
    <w:rsid w:val="65446953"/>
    <w:rsid w:val="6546048A"/>
    <w:rsid w:val="6560345D"/>
    <w:rsid w:val="656F5ECC"/>
    <w:rsid w:val="65756AE0"/>
    <w:rsid w:val="658A2DF1"/>
    <w:rsid w:val="658D5008"/>
    <w:rsid w:val="65A34757"/>
    <w:rsid w:val="65A37087"/>
    <w:rsid w:val="65A450CC"/>
    <w:rsid w:val="65A60143"/>
    <w:rsid w:val="65A721BD"/>
    <w:rsid w:val="65AC4B11"/>
    <w:rsid w:val="65B84FE1"/>
    <w:rsid w:val="65BD335B"/>
    <w:rsid w:val="65C352AA"/>
    <w:rsid w:val="65C43C25"/>
    <w:rsid w:val="65D853F7"/>
    <w:rsid w:val="65DA6490"/>
    <w:rsid w:val="65EF0ADB"/>
    <w:rsid w:val="66012783"/>
    <w:rsid w:val="66036855"/>
    <w:rsid w:val="66052662"/>
    <w:rsid w:val="661A0A16"/>
    <w:rsid w:val="661D3513"/>
    <w:rsid w:val="662E385B"/>
    <w:rsid w:val="66357229"/>
    <w:rsid w:val="66397BA0"/>
    <w:rsid w:val="663C4348"/>
    <w:rsid w:val="66507C5F"/>
    <w:rsid w:val="6655614A"/>
    <w:rsid w:val="666A11D9"/>
    <w:rsid w:val="66720F9F"/>
    <w:rsid w:val="66783FA3"/>
    <w:rsid w:val="667A42E4"/>
    <w:rsid w:val="667C1E2E"/>
    <w:rsid w:val="667C699A"/>
    <w:rsid w:val="66977CF4"/>
    <w:rsid w:val="669D57C0"/>
    <w:rsid w:val="66A77A11"/>
    <w:rsid w:val="66B70AE2"/>
    <w:rsid w:val="66BC72F6"/>
    <w:rsid w:val="66BE6523"/>
    <w:rsid w:val="66CF7F62"/>
    <w:rsid w:val="66D26779"/>
    <w:rsid w:val="66D44998"/>
    <w:rsid w:val="66E300DB"/>
    <w:rsid w:val="66E520A5"/>
    <w:rsid w:val="66EB166F"/>
    <w:rsid w:val="66EF6900"/>
    <w:rsid w:val="66F76556"/>
    <w:rsid w:val="66F85C42"/>
    <w:rsid w:val="670D5DC1"/>
    <w:rsid w:val="6717163C"/>
    <w:rsid w:val="67207F8A"/>
    <w:rsid w:val="67241393"/>
    <w:rsid w:val="673F1320"/>
    <w:rsid w:val="67412203"/>
    <w:rsid w:val="67472B19"/>
    <w:rsid w:val="676D1753"/>
    <w:rsid w:val="676D4152"/>
    <w:rsid w:val="678F42B5"/>
    <w:rsid w:val="6793354D"/>
    <w:rsid w:val="67A621D7"/>
    <w:rsid w:val="67A81366"/>
    <w:rsid w:val="67AD229E"/>
    <w:rsid w:val="67B02C4D"/>
    <w:rsid w:val="67B16889"/>
    <w:rsid w:val="67B5069A"/>
    <w:rsid w:val="67BC1C25"/>
    <w:rsid w:val="67C32ECB"/>
    <w:rsid w:val="67C33D68"/>
    <w:rsid w:val="67C577E1"/>
    <w:rsid w:val="67C61483"/>
    <w:rsid w:val="67E67EC8"/>
    <w:rsid w:val="67E96A5E"/>
    <w:rsid w:val="67EA3883"/>
    <w:rsid w:val="67EE0E11"/>
    <w:rsid w:val="67FF4E73"/>
    <w:rsid w:val="681C7E3C"/>
    <w:rsid w:val="681D5815"/>
    <w:rsid w:val="682C6E97"/>
    <w:rsid w:val="682F21B2"/>
    <w:rsid w:val="683416DE"/>
    <w:rsid w:val="68373711"/>
    <w:rsid w:val="683D2298"/>
    <w:rsid w:val="68452F89"/>
    <w:rsid w:val="684B1849"/>
    <w:rsid w:val="684C1752"/>
    <w:rsid w:val="68532285"/>
    <w:rsid w:val="68535758"/>
    <w:rsid w:val="685748DD"/>
    <w:rsid w:val="685F5B54"/>
    <w:rsid w:val="686F1820"/>
    <w:rsid w:val="6874527D"/>
    <w:rsid w:val="688620AE"/>
    <w:rsid w:val="68880F3A"/>
    <w:rsid w:val="68887CDF"/>
    <w:rsid w:val="688A63C1"/>
    <w:rsid w:val="68935731"/>
    <w:rsid w:val="68A5389A"/>
    <w:rsid w:val="68B429C5"/>
    <w:rsid w:val="68B960C1"/>
    <w:rsid w:val="68CC45EE"/>
    <w:rsid w:val="68CE32B6"/>
    <w:rsid w:val="68FC3376"/>
    <w:rsid w:val="68FC3583"/>
    <w:rsid w:val="691F6702"/>
    <w:rsid w:val="69442FC3"/>
    <w:rsid w:val="694B74AE"/>
    <w:rsid w:val="695A5977"/>
    <w:rsid w:val="695C3D4C"/>
    <w:rsid w:val="695E04B5"/>
    <w:rsid w:val="69676091"/>
    <w:rsid w:val="696F20FA"/>
    <w:rsid w:val="697E571F"/>
    <w:rsid w:val="69837A95"/>
    <w:rsid w:val="69907550"/>
    <w:rsid w:val="699274F5"/>
    <w:rsid w:val="69971724"/>
    <w:rsid w:val="699833FF"/>
    <w:rsid w:val="69992957"/>
    <w:rsid w:val="699A4F0F"/>
    <w:rsid w:val="69B07D33"/>
    <w:rsid w:val="69B13919"/>
    <w:rsid w:val="69B445A2"/>
    <w:rsid w:val="69D407AE"/>
    <w:rsid w:val="69D65CD5"/>
    <w:rsid w:val="69D80C57"/>
    <w:rsid w:val="69EF48BE"/>
    <w:rsid w:val="69F05CE0"/>
    <w:rsid w:val="69FC078A"/>
    <w:rsid w:val="6A066C18"/>
    <w:rsid w:val="6A0A2FC5"/>
    <w:rsid w:val="6A1929F2"/>
    <w:rsid w:val="6A224BA9"/>
    <w:rsid w:val="6A225CE5"/>
    <w:rsid w:val="6A2E4A42"/>
    <w:rsid w:val="6A384D4C"/>
    <w:rsid w:val="6A4A1137"/>
    <w:rsid w:val="6A4B4792"/>
    <w:rsid w:val="6A4D5E5C"/>
    <w:rsid w:val="6A521E48"/>
    <w:rsid w:val="6A673DEF"/>
    <w:rsid w:val="6A724046"/>
    <w:rsid w:val="6A815414"/>
    <w:rsid w:val="6A863F6D"/>
    <w:rsid w:val="6A90057A"/>
    <w:rsid w:val="6A911D64"/>
    <w:rsid w:val="6A95793E"/>
    <w:rsid w:val="6AA0128F"/>
    <w:rsid w:val="6AA359C2"/>
    <w:rsid w:val="6AAD1624"/>
    <w:rsid w:val="6AAF7C75"/>
    <w:rsid w:val="6AB930C7"/>
    <w:rsid w:val="6ABB2AC3"/>
    <w:rsid w:val="6AC862A4"/>
    <w:rsid w:val="6ACB69D9"/>
    <w:rsid w:val="6AD671EB"/>
    <w:rsid w:val="6ADB7156"/>
    <w:rsid w:val="6AE02D1B"/>
    <w:rsid w:val="6AF446D9"/>
    <w:rsid w:val="6AF71EAB"/>
    <w:rsid w:val="6AFC3796"/>
    <w:rsid w:val="6B0841A2"/>
    <w:rsid w:val="6B1A47F0"/>
    <w:rsid w:val="6B1F1E0B"/>
    <w:rsid w:val="6B3233DF"/>
    <w:rsid w:val="6B32773E"/>
    <w:rsid w:val="6B3D2E7E"/>
    <w:rsid w:val="6B3E5D97"/>
    <w:rsid w:val="6B41253F"/>
    <w:rsid w:val="6B480E55"/>
    <w:rsid w:val="6B4C00CC"/>
    <w:rsid w:val="6B523E76"/>
    <w:rsid w:val="6B536809"/>
    <w:rsid w:val="6B716907"/>
    <w:rsid w:val="6B766D87"/>
    <w:rsid w:val="6B797260"/>
    <w:rsid w:val="6B9320D0"/>
    <w:rsid w:val="6B967A7B"/>
    <w:rsid w:val="6BA4063C"/>
    <w:rsid w:val="6BA40910"/>
    <w:rsid w:val="6BA65FA2"/>
    <w:rsid w:val="6BB351E3"/>
    <w:rsid w:val="6BB84B12"/>
    <w:rsid w:val="6BB876E6"/>
    <w:rsid w:val="6BBF2C83"/>
    <w:rsid w:val="6BCC061E"/>
    <w:rsid w:val="6BD00553"/>
    <w:rsid w:val="6BD54B2A"/>
    <w:rsid w:val="6BD62432"/>
    <w:rsid w:val="6BEA36F5"/>
    <w:rsid w:val="6BFE7215"/>
    <w:rsid w:val="6C083D2A"/>
    <w:rsid w:val="6C0C463A"/>
    <w:rsid w:val="6C130BDB"/>
    <w:rsid w:val="6C247DB6"/>
    <w:rsid w:val="6C2D3055"/>
    <w:rsid w:val="6C4868EB"/>
    <w:rsid w:val="6C4E72A6"/>
    <w:rsid w:val="6C634C40"/>
    <w:rsid w:val="6C6E107E"/>
    <w:rsid w:val="6C7256E3"/>
    <w:rsid w:val="6C785AF0"/>
    <w:rsid w:val="6C867710"/>
    <w:rsid w:val="6C8B3691"/>
    <w:rsid w:val="6C930133"/>
    <w:rsid w:val="6C9846B8"/>
    <w:rsid w:val="6C9C6D62"/>
    <w:rsid w:val="6CA45A5A"/>
    <w:rsid w:val="6CA87638"/>
    <w:rsid w:val="6CB53FE8"/>
    <w:rsid w:val="6CB624F5"/>
    <w:rsid w:val="6CB83AF0"/>
    <w:rsid w:val="6CC23963"/>
    <w:rsid w:val="6CC53523"/>
    <w:rsid w:val="6CC56F7E"/>
    <w:rsid w:val="6CCC6E74"/>
    <w:rsid w:val="6CD22C67"/>
    <w:rsid w:val="6CE963C3"/>
    <w:rsid w:val="6CE97869"/>
    <w:rsid w:val="6D0A1128"/>
    <w:rsid w:val="6D0C4644"/>
    <w:rsid w:val="6D272CEE"/>
    <w:rsid w:val="6D371204"/>
    <w:rsid w:val="6D3C6B03"/>
    <w:rsid w:val="6D3D113E"/>
    <w:rsid w:val="6D4274C8"/>
    <w:rsid w:val="6D53287C"/>
    <w:rsid w:val="6D596DE5"/>
    <w:rsid w:val="6D761CA9"/>
    <w:rsid w:val="6D790C06"/>
    <w:rsid w:val="6D83124D"/>
    <w:rsid w:val="6D837514"/>
    <w:rsid w:val="6D8A6AFF"/>
    <w:rsid w:val="6D9E7E79"/>
    <w:rsid w:val="6DA41C65"/>
    <w:rsid w:val="6DA71E62"/>
    <w:rsid w:val="6DA90639"/>
    <w:rsid w:val="6DAB7C92"/>
    <w:rsid w:val="6DB22C06"/>
    <w:rsid w:val="6DBD1ECA"/>
    <w:rsid w:val="6DD1624F"/>
    <w:rsid w:val="6DD93FE6"/>
    <w:rsid w:val="6DDD7632"/>
    <w:rsid w:val="6DF06717"/>
    <w:rsid w:val="6DF7389A"/>
    <w:rsid w:val="6DFA3D29"/>
    <w:rsid w:val="6DFF0A09"/>
    <w:rsid w:val="6E035842"/>
    <w:rsid w:val="6E072901"/>
    <w:rsid w:val="6E227FEA"/>
    <w:rsid w:val="6E3A2CD6"/>
    <w:rsid w:val="6E3D476C"/>
    <w:rsid w:val="6E42601B"/>
    <w:rsid w:val="6E4B63CA"/>
    <w:rsid w:val="6E581CD1"/>
    <w:rsid w:val="6E6905BA"/>
    <w:rsid w:val="6E696B37"/>
    <w:rsid w:val="6E71187E"/>
    <w:rsid w:val="6E7557F0"/>
    <w:rsid w:val="6E7D32FC"/>
    <w:rsid w:val="6E7E5AA7"/>
    <w:rsid w:val="6E7F0C9D"/>
    <w:rsid w:val="6E932DE0"/>
    <w:rsid w:val="6EB64023"/>
    <w:rsid w:val="6EBF0751"/>
    <w:rsid w:val="6EC66A15"/>
    <w:rsid w:val="6ED168D8"/>
    <w:rsid w:val="6ED24CBD"/>
    <w:rsid w:val="6ED66002"/>
    <w:rsid w:val="6ED725F3"/>
    <w:rsid w:val="6EE31FE0"/>
    <w:rsid w:val="6EE345AD"/>
    <w:rsid w:val="6EEE2154"/>
    <w:rsid w:val="6EF14CBD"/>
    <w:rsid w:val="6EF25970"/>
    <w:rsid w:val="6EF70BC7"/>
    <w:rsid w:val="6EFD4572"/>
    <w:rsid w:val="6F046E40"/>
    <w:rsid w:val="6F22364F"/>
    <w:rsid w:val="6F2401BF"/>
    <w:rsid w:val="6F26714C"/>
    <w:rsid w:val="6F2B5E92"/>
    <w:rsid w:val="6F2D4F3E"/>
    <w:rsid w:val="6F2E0356"/>
    <w:rsid w:val="6F3E41C7"/>
    <w:rsid w:val="6F5538D0"/>
    <w:rsid w:val="6F877FC8"/>
    <w:rsid w:val="6F8D6FB0"/>
    <w:rsid w:val="6F937089"/>
    <w:rsid w:val="6FBD10E0"/>
    <w:rsid w:val="6FC14D32"/>
    <w:rsid w:val="6FC47F74"/>
    <w:rsid w:val="6FC53958"/>
    <w:rsid w:val="6FC95729"/>
    <w:rsid w:val="6FD22A36"/>
    <w:rsid w:val="6FE1525B"/>
    <w:rsid w:val="6FEB4F8E"/>
    <w:rsid w:val="6FEF4939"/>
    <w:rsid w:val="6FF871EB"/>
    <w:rsid w:val="6FFA5A9A"/>
    <w:rsid w:val="70020F87"/>
    <w:rsid w:val="700E52E3"/>
    <w:rsid w:val="701D3DBE"/>
    <w:rsid w:val="70236DF2"/>
    <w:rsid w:val="704540B0"/>
    <w:rsid w:val="70473831"/>
    <w:rsid w:val="70481945"/>
    <w:rsid w:val="705324E9"/>
    <w:rsid w:val="705710A7"/>
    <w:rsid w:val="705B7597"/>
    <w:rsid w:val="70645B8F"/>
    <w:rsid w:val="70661CE5"/>
    <w:rsid w:val="70682453"/>
    <w:rsid w:val="706E4EB9"/>
    <w:rsid w:val="70764AAE"/>
    <w:rsid w:val="707778DD"/>
    <w:rsid w:val="707835BC"/>
    <w:rsid w:val="707906C7"/>
    <w:rsid w:val="707A666A"/>
    <w:rsid w:val="707A76E1"/>
    <w:rsid w:val="708753D6"/>
    <w:rsid w:val="708807FD"/>
    <w:rsid w:val="708850D5"/>
    <w:rsid w:val="708E1534"/>
    <w:rsid w:val="70916974"/>
    <w:rsid w:val="70AB3BE8"/>
    <w:rsid w:val="70BE0189"/>
    <w:rsid w:val="70BF3168"/>
    <w:rsid w:val="70C43F9C"/>
    <w:rsid w:val="70EB0A2C"/>
    <w:rsid w:val="70EF18C7"/>
    <w:rsid w:val="70F03B20"/>
    <w:rsid w:val="70F47DCC"/>
    <w:rsid w:val="70FA3487"/>
    <w:rsid w:val="71021388"/>
    <w:rsid w:val="71157917"/>
    <w:rsid w:val="71181FDB"/>
    <w:rsid w:val="71212D63"/>
    <w:rsid w:val="713A3E3C"/>
    <w:rsid w:val="713C7879"/>
    <w:rsid w:val="71445C1A"/>
    <w:rsid w:val="71542301"/>
    <w:rsid w:val="715B4641"/>
    <w:rsid w:val="715F1A22"/>
    <w:rsid w:val="71624096"/>
    <w:rsid w:val="71722E7E"/>
    <w:rsid w:val="71925AE7"/>
    <w:rsid w:val="71AC3EEB"/>
    <w:rsid w:val="71C72AD3"/>
    <w:rsid w:val="71D04158"/>
    <w:rsid w:val="71D821B1"/>
    <w:rsid w:val="71DC6DAE"/>
    <w:rsid w:val="71DF4C9C"/>
    <w:rsid w:val="71E31EB2"/>
    <w:rsid w:val="71F64B04"/>
    <w:rsid w:val="71F85FA7"/>
    <w:rsid w:val="72071ABB"/>
    <w:rsid w:val="720C07AD"/>
    <w:rsid w:val="721640B0"/>
    <w:rsid w:val="721701C9"/>
    <w:rsid w:val="72327B45"/>
    <w:rsid w:val="723366FE"/>
    <w:rsid w:val="723626CA"/>
    <w:rsid w:val="72371B0F"/>
    <w:rsid w:val="723B5E4A"/>
    <w:rsid w:val="725D5395"/>
    <w:rsid w:val="72610D48"/>
    <w:rsid w:val="72653360"/>
    <w:rsid w:val="7267673D"/>
    <w:rsid w:val="72781936"/>
    <w:rsid w:val="727D3B6F"/>
    <w:rsid w:val="72812FAF"/>
    <w:rsid w:val="72886E10"/>
    <w:rsid w:val="72987FCC"/>
    <w:rsid w:val="729C4115"/>
    <w:rsid w:val="72A26AAE"/>
    <w:rsid w:val="72A41D75"/>
    <w:rsid w:val="72A76461"/>
    <w:rsid w:val="72A96B5E"/>
    <w:rsid w:val="72AB35DC"/>
    <w:rsid w:val="72B868C0"/>
    <w:rsid w:val="72D27422"/>
    <w:rsid w:val="72DE2883"/>
    <w:rsid w:val="72E25FE2"/>
    <w:rsid w:val="72E34CDF"/>
    <w:rsid w:val="72E56BD7"/>
    <w:rsid w:val="72E96A79"/>
    <w:rsid w:val="72FE3671"/>
    <w:rsid w:val="72FF01D2"/>
    <w:rsid w:val="730378C3"/>
    <w:rsid w:val="73061D27"/>
    <w:rsid w:val="730B2E93"/>
    <w:rsid w:val="730B7E01"/>
    <w:rsid w:val="732A797E"/>
    <w:rsid w:val="732C4F3C"/>
    <w:rsid w:val="73404A89"/>
    <w:rsid w:val="734D7654"/>
    <w:rsid w:val="735E0D1A"/>
    <w:rsid w:val="736816A2"/>
    <w:rsid w:val="736A7C97"/>
    <w:rsid w:val="7377487C"/>
    <w:rsid w:val="73842532"/>
    <w:rsid w:val="73871AFB"/>
    <w:rsid w:val="73880040"/>
    <w:rsid w:val="73912024"/>
    <w:rsid w:val="739459F8"/>
    <w:rsid w:val="7395273F"/>
    <w:rsid w:val="739636D9"/>
    <w:rsid w:val="73AB5D16"/>
    <w:rsid w:val="73B16F48"/>
    <w:rsid w:val="73C372CA"/>
    <w:rsid w:val="73CC7420"/>
    <w:rsid w:val="73D50271"/>
    <w:rsid w:val="73D96AEE"/>
    <w:rsid w:val="73DB30E0"/>
    <w:rsid w:val="73DC3541"/>
    <w:rsid w:val="73E068E2"/>
    <w:rsid w:val="73E7745D"/>
    <w:rsid w:val="73E92810"/>
    <w:rsid w:val="73FF5A5D"/>
    <w:rsid w:val="740C33C7"/>
    <w:rsid w:val="74107461"/>
    <w:rsid w:val="7415331D"/>
    <w:rsid w:val="741762B7"/>
    <w:rsid w:val="741D504A"/>
    <w:rsid w:val="74206080"/>
    <w:rsid w:val="74207AF1"/>
    <w:rsid w:val="743304B4"/>
    <w:rsid w:val="74391550"/>
    <w:rsid w:val="74420081"/>
    <w:rsid w:val="74497E5B"/>
    <w:rsid w:val="74526FA4"/>
    <w:rsid w:val="74723E77"/>
    <w:rsid w:val="74833DC2"/>
    <w:rsid w:val="74A0214E"/>
    <w:rsid w:val="74A17D1D"/>
    <w:rsid w:val="74A837A2"/>
    <w:rsid w:val="74A96D33"/>
    <w:rsid w:val="74B45CF6"/>
    <w:rsid w:val="74E441AC"/>
    <w:rsid w:val="74E53700"/>
    <w:rsid w:val="74EB2248"/>
    <w:rsid w:val="74EE518B"/>
    <w:rsid w:val="74F647D7"/>
    <w:rsid w:val="74F72AFC"/>
    <w:rsid w:val="74FC1B5B"/>
    <w:rsid w:val="751905A6"/>
    <w:rsid w:val="752F27AB"/>
    <w:rsid w:val="753006CE"/>
    <w:rsid w:val="753A1E41"/>
    <w:rsid w:val="753D7FDE"/>
    <w:rsid w:val="7542216D"/>
    <w:rsid w:val="75422471"/>
    <w:rsid w:val="754F7905"/>
    <w:rsid w:val="75524DAA"/>
    <w:rsid w:val="756629B6"/>
    <w:rsid w:val="757E3943"/>
    <w:rsid w:val="75827C22"/>
    <w:rsid w:val="75892461"/>
    <w:rsid w:val="75981A8A"/>
    <w:rsid w:val="75A4312B"/>
    <w:rsid w:val="75A7245E"/>
    <w:rsid w:val="75A909B5"/>
    <w:rsid w:val="75CF5BFD"/>
    <w:rsid w:val="75D64326"/>
    <w:rsid w:val="75D83E8B"/>
    <w:rsid w:val="75DE03EB"/>
    <w:rsid w:val="75F45E59"/>
    <w:rsid w:val="75FC7BA5"/>
    <w:rsid w:val="760B10B5"/>
    <w:rsid w:val="760B1D0D"/>
    <w:rsid w:val="760C246D"/>
    <w:rsid w:val="760E33C6"/>
    <w:rsid w:val="760E4B36"/>
    <w:rsid w:val="761948B1"/>
    <w:rsid w:val="761B398B"/>
    <w:rsid w:val="76251D56"/>
    <w:rsid w:val="762F6856"/>
    <w:rsid w:val="76342DD4"/>
    <w:rsid w:val="763806E7"/>
    <w:rsid w:val="76384FE7"/>
    <w:rsid w:val="764C7F6B"/>
    <w:rsid w:val="765004CC"/>
    <w:rsid w:val="76651A76"/>
    <w:rsid w:val="766C6155"/>
    <w:rsid w:val="76796A34"/>
    <w:rsid w:val="76826B74"/>
    <w:rsid w:val="76937428"/>
    <w:rsid w:val="769762EA"/>
    <w:rsid w:val="76994262"/>
    <w:rsid w:val="769E1C56"/>
    <w:rsid w:val="76B262C7"/>
    <w:rsid w:val="76B27BB2"/>
    <w:rsid w:val="76B732DA"/>
    <w:rsid w:val="76C01E04"/>
    <w:rsid w:val="76C1185C"/>
    <w:rsid w:val="76E5738C"/>
    <w:rsid w:val="76F75CB5"/>
    <w:rsid w:val="76FE26DC"/>
    <w:rsid w:val="770D0DB1"/>
    <w:rsid w:val="77161DA1"/>
    <w:rsid w:val="771B225C"/>
    <w:rsid w:val="77372C10"/>
    <w:rsid w:val="773B674C"/>
    <w:rsid w:val="774A57BE"/>
    <w:rsid w:val="774B3D0D"/>
    <w:rsid w:val="77513928"/>
    <w:rsid w:val="77581584"/>
    <w:rsid w:val="777C2048"/>
    <w:rsid w:val="7788490C"/>
    <w:rsid w:val="778C46C4"/>
    <w:rsid w:val="779B34FB"/>
    <w:rsid w:val="779E7BBF"/>
    <w:rsid w:val="779F1C79"/>
    <w:rsid w:val="77A075CE"/>
    <w:rsid w:val="77B42397"/>
    <w:rsid w:val="77B52DB7"/>
    <w:rsid w:val="77BD23AC"/>
    <w:rsid w:val="77E72F7B"/>
    <w:rsid w:val="77F0054A"/>
    <w:rsid w:val="78024BCE"/>
    <w:rsid w:val="781D0B52"/>
    <w:rsid w:val="78264B38"/>
    <w:rsid w:val="782C69BC"/>
    <w:rsid w:val="78306041"/>
    <w:rsid w:val="78381AFE"/>
    <w:rsid w:val="783A52F9"/>
    <w:rsid w:val="78442A65"/>
    <w:rsid w:val="78447193"/>
    <w:rsid w:val="78560DFA"/>
    <w:rsid w:val="786A124A"/>
    <w:rsid w:val="786D6DD4"/>
    <w:rsid w:val="78746DE5"/>
    <w:rsid w:val="787B4617"/>
    <w:rsid w:val="787D1FD6"/>
    <w:rsid w:val="78961E79"/>
    <w:rsid w:val="78AF0AD7"/>
    <w:rsid w:val="78B27811"/>
    <w:rsid w:val="78BD0E26"/>
    <w:rsid w:val="78C345E4"/>
    <w:rsid w:val="78C81593"/>
    <w:rsid w:val="78C87C2E"/>
    <w:rsid w:val="78CC5200"/>
    <w:rsid w:val="78D90C24"/>
    <w:rsid w:val="78DB19F9"/>
    <w:rsid w:val="78DD611A"/>
    <w:rsid w:val="78FD2E09"/>
    <w:rsid w:val="78FF6B7A"/>
    <w:rsid w:val="790930F9"/>
    <w:rsid w:val="790F795F"/>
    <w:rsid w:val="79256B64"/>
    <w:rsid w:val="79297A45"/>
    <w:rsid w:val="793B5B55"/>
    <w:rsid w:val="79442F2B"/>
    <w:rsid w:val="79523AA4"/>
    <w:rsid w:val="79673DEF"/>
    <w:rsid w:val="796D1736"/>
    <w:rsid w:val="79885296"/>
    <w:rsid w:val="798B2638"/>
    <w:rsid w:val="79986434"/>
    <w:rsid w:val="79997F95"/>
    <w:rsid w:val="79A31E28"/>
    <w:rsid w:val="79A46327"/>
    <w:rsid w:val="79A62025"/>
    <w:rsid w:val="79B17121"/>
    <w:rsid w:val="79BB602D"/>
    <w:rsid w:val="79CA11DC"/>
    <w:rsid w:val="79CB0B5E"/>
    <w:rsid w:val="79DA5C8B"/>
    <w:rsid w:val="79F75F20"/>
    <w:rsid w:val="79FD044B"/>
    <w:rsid w:val="7A040028"/>
    <w:rsid w:val="7A172F85"/>
    <w:rsid w:val="7A1E2CD8"/>
    <w:rsid w:val="7A233E49"/>
    <w:rsid w:val="7A240D07"/>
    <w:rsid w:val="7A2565F7"/>
    <w:rsid w:val="7A282F2C"/>
    <w:rsid w:val="7A2F54E6"/>
    <w:rsid w:val="7A3072F1"/>
    <w:rsid w:val="7A321EC1"/>
    <w:rsid w:val="7A3224B3"/>
    <w:rsid w:val="7A3A3CF0"/>
    <w:rsid w:val="7A420B6B"/>
    <w:rsid w:val="7A544F47"/>
    <w:rsid w:val="7A5626B1"/>
    <w:rsid w:val="7A56346F"/>
    <w:rsid w:val="7A580962"/>
    <w:rsid w:val="7A5C36AF"/>
    <w:rsid w:val="7A5D20E3"/>
    <w:rsid w:val="7A5F56F4"/>
    <w:rsid w:val="7A607EF5"/>
    <w:rsid w:val="7A61783D"/>
    <w:rsid w:val="7A6921E8"/>
    <w:rsid w:val="7A6C4D30"/>
    <w:rsid w:val="7A6C75B0"/>
    <w:rsid w:val="7A6D7F90"/>
    <w:rsid w:val="7A6F7D39"/>
    <w:rsid w:val="7A7548A5"/>
    <w:rsid w:val="7A8555B4"/>
    <w:rsid w:val="7A934766"/>
    <w:rsid w:val="7A9C462E"/>
    <w:rsid w:val="7AB0783D"/>
    <w:rsid w:val="7AC15C45"/>
    <w:rsid w:val="7AC43C12"/>
    <w:rsid w:val="7ACA6EA8"/>
    <w:rsid w:val="7AD70B6E"/>
    <w:rsid w:val="7ADF17B3"/>
    <w:rsid w:val="7AE510A1"/>
    <w:rsid w:val="7AEE5BE4"/>
    <w:rsid w:val="7B0C2AED"/>
    <w:rsid w:val="7B166064"/>
    <w:rsid w:val="7B1D0AA5"/>
    <w:rsid w:val="7B245064"/>
    <w:rsid w:val="7B343B67"/>
    <w:rsid w:val="7B363860"/>
    <w:rsid w:val="7B382525"/>
    <w:rsid w:val="7B431829"/>
    <w:rsid w:val="7B474BB9"/>
    <w:rsid w:val="7B4D6C47"/>
    <w:rsid w:val="7B4F64E0"/>
    <w:rsid w:val="7B5133D1"/>
    <w:rsid w:val="7B6E5711"/>
    <w:rsid w:val="7B6F06A3"/>
    <w:rsid w:val="7B775D60"/>
    <w:rsid w:val="7B7B66DC"/>
    <w:rsid w:val="7B8D3DD2"/>
    <w:rsid w:val="7B950328"/>
    <w:rsid w:val="7B980681"/>
    <w:rsid w:val="7BA035C0"/>
    <w:rsid w:val="7BA153C9"/>
    <w:rsid w:val="7BA41A47"/>
    <w:rsid w:val="7BAF3CCB"/>
    <w:rsid w:val="7BB62798"/>
    <w:rsid w:val="7BC13C08"/>
    <w:rsid w:val="7BC13CB7"/>
    <w:rsid w:val="7BCC71B2"/>
    <w:rsid w:val="7BCD7E9D"/>
    <w:rsid w:val="7BD52290"/>
    <w:rsid w:val="7BDA5E7B"/>
    <w:rsid w:val="7BEC1860"/>
    <w:rsid w:val="7BF465B3"/>
    <w:rsid w:val="7C022AFE"/>
    <w:rsid w:val="7C087088"/>
    <w:rsid w:val="7C2752F7"/>
    <w:rsid w:val="7C2E2504"/>
    <w:rsid w:val="7C5A723E"/>
    <w:rsid w:val="7C5C6240"/>
    <w:rsid w:val="7C6E0D3E"/>
    <w:rsid w:val="7C7B7CB6"/>
    <w:rsid w:val="7C8C3EC3"/>
    <w:rsid w:val="7C9838F9"/>
    <w:rsid w:val="7C9D46F4"/>
    <w:rsid w:val="7CAC4A83"/>
    <w:rsid w:val="7CAD5823"/>
    <w:rsid w:val="7CB54C0F"/>
    <w:rsid w:val="7CC678C0"/>
    <w:rsid w:val="7CD136D3"/>
    <w:rsid w:val="7CD94362"/>
    <w:rsid w:val="7CFC0C75"/>
    <w:rsid w:val="7D0D4939"/>
    <w:rsid w:val="7D11094F"/>
    <w:rsid w:val="7D154B68"/>
    <w:rsid w:val="7D1E3F91"/>
    <w:rsid w:val="7D2443FA"/>
    <w:rsid w:val="7D2836E5"/>
    <w:rsid w:val="7D3038A0"/>
    <w:rsid w:val="7D342FE7"/>
    <w:rsid w:val="7D3B4E55"/>
    <w:rsid w:val="7D4274B2"/>
    <w:rsid w:val="7D4B7A8A"/>
    <w:rsid w:val="7D66577B"/>
    <w:rsid w:val="7D691962"/>
    <w:rsid w:val="7D6A4DA6"/>
    <w:rsid w:val="7D7B19A9"/>
    <w:rsid w:val="7D7B4E24"/>
    <w:rsid w:val="7D974537"/>
    <w:rsid w:val="7D9C384C"/>
    <w:rsid w:val="7DA07C88"/>
    <w:rsid w:val="7DAE6982"/>
    <w:rsid w:val="7DB145DF"/>
    <w:rsid w:val="7DB86F9B"/>
    <w:rsid w:val="7DBC1FD3"/>
    <w:rsid w:val="7DC66F7A"/>
    <w:rsid w:val="7DDF4A81"/>
    <w:rsid w:val="7DF33E7D"/>
    <w:rsid w:val="7E0272C8"/>
    <w:rsid w:val="7E0403FC"/>
    <w:rsid w:val="7E137773"/>
    <w:rsid w:val="7E1C7704"/>
    <w:rsid w:val="7E275E16"/>
    <w:rsid w:val="7E3200C4"/>
    <w:rsid w:val="7E384AAD"/>
    <w:rsid w:val="7E4D0089"/>
    <w:rsid w:val="7E5B0F8A"/>
    <w:rsid w:val="7E85777E"/>
    <w:rsid w:val="7E9201FF"/>
    <w:rsid w:val="7E9755DB"/>
    <w:rsid w:val="7E9C42D9"/>
    <w:rsid w:val="7EA00937"/>
    <w:rsid w:val="7EB35679"/>
    <w:rsid w:val="7EB3724C"/>
    <w:rsid w:val="7EB533BE"/>
    <w:rsid w:val="7EB72C4F"/>
    <w:rsid w:val="7EBE061A"/>
    <w:rsid w:val="7EC11875"/>
    <w:rsid w:val="7EC6208A"/>
    <w:rsid w:val="7ECA4A65"/>
    <w:rsid w:val="7ECD7C0E"/>
    <w:rsid w:val="7EDB4E32"/>
    <w:rsid w:val="7EE03426"/>
    <w:rsid w:val="7EE70202"/>
    <w:rsid w:val="7EF22DF9"/>
    <w:rsid w:val="7EF377C6"/>
    <w:rsid w:val="7EF76E4E"/>
    <w:rsid w:val="7F0875F8"/>
    <w:rsid w:val="7F221118"/>
    <w:rsid w:val="7F283B91"/>
    <w:rsid w:val="7F3F1A1B"/>
    <w:rsid w:val="7F5043B0"/>
    <w:rsid w:val="7F5D3BA5"/>
    <w:rsid w:val="7F607E34"/>
    <w:rsid w:val="7F673901"/>
    <w:rsid w:val="7F686789"/>
    <w:rsid w:val="7F6D410D"/>
    <w:rsid w:val="7F737DF6"/>
    <w:rsid w:val="7F7F1B10"/>
    <w:rsid w:val="7F8166DE"/>
    <w:rsid w:val="7F827010"/>
    <w:rsid w:val="7F885842"/>
    <w:rsid w:val="7F8C79D0"/>
    <w:rsid w:val="7F967F89"/>
    <w:rsid w:val="7FA024E8"/>
    <w:rsid w:val="7FA42D36"/>
    <w:rsid w:val="7FA6040E"/>
    <w:rsid w:val="7FAC50B6"/>
    <w:rsid w:val="7FBD17DE"/>
    <w:rsid w:val="7FC32536"/>
    <w:rsid w:val="7FCE71AC"/>
    <w:rsid w:val="7FD22291"/>
    <w:rsid w:val="7FDC375B"/>
    <w:rsid w:val="7FF349B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left="2353" w:right="2356"/>
      <w:jc w:val="center"/>
      <w:outlineLvl w:val="1"/>
    </w:pPr>
    <w:rPr>
      <w:rFonts w:ascii="微软雅黑" w:hAnsi="微软雅黑" w:eastAsia="微软雅黑" w:cs="微软雅黑"/>
      <w:sz w:val="38"/>
      <w:szCs w:val="38"/>
      <w:lang w:val="zh-CN" w:eastAsia="zh-CN" w:bidi="zh-CN"/>
    </w:rPr>
  </w:style>
  <w:style w:type="paragraph" w:styleId="3">
    <w:name w:val="heading 2"/>
    <w:basedOn w:val="1"/>
    <w:next w:val="1"/>
    <w:qFormat/>
    <w:uiPriority w:val="1"/>
    <w:pPr>
      <w:ind w:left="635" w:right="654"/>
      <w:jc w:val="center"/>
      <w:outlineLvl w:val="2"/>
    </w:pPr>
    <w:rPr>
      <w:rFonts w:ascii="微软雅黑" w:hAnsi="微软雅黑" w:eastAsia="微软雅黑" w:cs="微软雅黑"/>
      <w:sz w:val="36"/>
      <w:szCs w:val="36"/>
      <w:lang w:val="zh-CN" w:eastAsia="zh-CN" w:bidi="zh-CN"/>
    </w:rPr>
  </w:style>
  <w:style w:type="paragraph" w:styleId="4">
    <w:name w:val="heading 3"/>
    <w:basedOn w:val="1"/>
    <w:next w:val="1"/>
    <w:qFormat/>
    <w:uiPriority w:val="0"/>
    <w:pPr>
      <w:keepNext/>
      <w:keepLines/>
      <w:spacing w:before="60" w:line="360" w:lineRule="auto"/>
      <w:outlineLvl w:val="2"/>
    </w:pPr>
    <w:rPr>
      <w:rFonts w:ascii="仿宋_GB2312" w:hAnsi="Arial Black" w:eastAsia="仿宋_GB2312"/>
      <w:b/>
      <w:sz w:val="28"/>
      <w:szCs w:val="28"/>
    </w:rPr>
  </w:style>
  <w:style w:type="paragraph" w:styleId="5">
    <w:name w:val="heading 4"/>
    <w:basedOn w:val="1"/>
    <w:next w:val="1"/>
    <w:qFormat/>
    <w:uiPriority w:val="0"/>
    <w:pPr>
      <w:keepNext/>
      <w:keepLines/>
      <w:spacing w:before="280" w:after="290" w:line="374" w:lineRule="auto"/>
      <w:outlineLvl w:val="3"/>
    </w:pPr>
    <w:rPr>
      <w:rFonts w:ascii="Cambria" w:hAnsi="Cambria"/>
      <w:b/>
      <w:bCs/>
      <w:sz w:val="28"/>
      <w:szCs w:val="28"/>
    </w:rPr>
  </w:style>
  <w:style w:type="character" w:default="1" w:styleId="25">
    <w:name w:val="Default Paragraph Font"/>
    <w:unhideWhenUsed/>
    <w:qFormat/>
    <w:uiPriority w:val="1"/>
  </w:style>
  <w:style w:type="table" w:default="1" w:styleId="23">
    <w:name w:val="Normal Table"/>
    <w:semiHidden/>
    <w:qFormat/>
    <w:uiPriority w:val="0"/>
    <w:pPr>
      <w:widowControl/>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7"/>
    <w:qFormat/>
    <w:uiPriority w:val="0"/>
    <w:pPr>
      <w:spacing w:line="520" w:lineRule="exact"/>
      <w:ind w:firstLine="200" w:firstLineChars="200"/>
    </w:pPr>
    <w:rPr>
      <w:sz w:val="24"/>
      <w:szCs w:val="20"/>
    </w:rPr>
  </w:style>
  <w:style w:type="paragraph" w:customStyle="1" w:styleId="7">
    <w:name w:val="正文首行缩进2个字 Char"/>
    <w:basedOn w:val="1"/>
    <w:qFormat/>
    <w:uiPriority w:val="0"/>
    <w:pPr>
      <w:ind w:firstLine="480" w:firstLineChars="200"/>
    </w:pPr>
    <w:rPr>
      <w:rFonts w:eastAsia="楷体"/>
      <w:sz w:val="24"/>
      <w:szCs w:val="24"/>
    </w:rPr>
  </w:style>
  <w:style w:type="paragraph" w:styleId="8">
    <w:name w:val="annotation text"/>
    <w:basedOn w:val="1"/>
    <w:semiHidden/>
    <w:qFormat/>
    <w:uiPriority w:val="0"/>
    <w:pPr>
      <w:jc w:val="left"/>
    </w:pPr>
    <w:rPr>
      <w:kern w:val="0"/>
      <w:sz w:val="24"/>
      <w:szCs w:val="20"/>
    </w:rPr>
  </w:style>
  <w:style w:type="paragraph" w:styleId="9">
    <w:name w:val="Salutation"/>
    <w:basedOn w:val="1"/>
    <w:next w:val="1"/>
    <w:unhideWhenUsed/>
    <w:qFormat/>
    <w:uiPriority w:val="99"/>
  </w:style>
  <w:style w:type="paragraph" w:styleId="10">
    <w:name w:val="Body Text"/>
    <w:basedOn w:val="1"/>
    <w:next w:val="1"/>
    <w:qFormat/>
    <w:uiPriority w:val="1"/>
    <w:rPr>
      <w:rFonts w:ascii="黑体" w:hAnsi="黑体" w:eastAsia="黑体" w:cs="黑体"/>
      <w:sz w:val="30"/>
      <w:szCs w:val="30"/>
      <w:lang w:val="zh-CN" w:eastAsia="zh-CN" w:bidi="zh-CN"/>
    </w:rPr>
  </w:style>
  <w:style w:type="paragraph" w:styleId="11">
    <w:name w:val="Body Text Indent"/>
    <w:basedOn w:val="1"/>
    <w:next w:val="10"/>
    <w:qFormat/>
    <w:uiPriority w:val="0"/>
    <w:pPr>
      <w:spacing w:after="120"/>
      <w:ind w:left="420" w:leftChars="200"/>
    </w:pPr>
    <w:rPr>
      <w:sz w:val="24"/>
      <w:szCs w:val="20"/>
    </w:rPr>
  </w:style>
  <w:style w:type="paragraph" w:styleId="12">
    <w:name w:val="Block Text"/>
    <w:basedOn w:val="1"/>
    <w:next w:val="1"/>
    <w:unhideWhenUsed/>
    <w:qFormat/>
    <w:uiPriority w:val="0"/>
    <w:pPr>
      <w:spacing w:after="120"/>
      <w:ind w:left="1440" w:leftChars="700" w:right="1440" w:rightChars="700"/>
    </w:pPr>
  </w:style>
  <w:style w:type="paragraph" w:styleId="13">
    <w:name w:val="Plain Text"/>
    <w:basedOn w:val="1"/>
    <w:qFormat/>
    <w:uiPriority w:val="0"/>
    <w:pPr>
      <w:autoSpaceDE w:val="0"/>
      <w:autoSpaceDN w:val="0"/>
      <w:adjustRightInd w:val="0"/>
      <w:jc w:val="left"/>
    </w:pPr>
    <w:rPr>
      <w:rFonts w:cs="宋体"/>
      <w:sz w:val="16"/>
      <w:szCs w:val="16"/>
    </w:rPr>
  </w:style>
  <w:style w:type="paragraph" w:styleId="14">
    <w:name w:val="List Bullet 5"/>
    <w:basedOn w:val="1"/>
    <w:qFormat/>
    <w:uiPriority w:val="0"/>
    <w:pPr>
      <w:numPr>
        <w:ilvl w:val="0"/>
        <w:numId w:val="1"/>
      </w:numPr>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List"/>
    <w:basedOn w:val="1"/>
    <w:qFormat/>
    <w:uiPriority w:val="0"/>
    <w:pPr>
      <w:ind w:left="200" w:hanging="200" w:hangingChars="200"/>
      <w:contextualSpacing/>
    </w:pPr>
  </w:style>
  <w:style w:type="paragraph" w:styleId="19">
    <w:name w:val="Body Text Indent 3"/>
    <w:basedOn w:val="1"/>
    <w:qFormat/>
    <w:uiPriority w:val="0"/>
    <w:pPr>
      <w:spacing w:after="120"/>
      <w:ind w:left="420" w:leftChars="200"/>
    </w:pPr>
    <w:rPr>
      <w:sz w:val="16"/>
      <w:szCs w:val="16"/>
    </w:rPr>
  </w:style>
  <w:style w:type="paragraph" w:styleId="20">
    <w:name w:val="Normal (Web)"/>
    <w:basedOn w:val="1"/>
    <w:qFormat/>
    <w:uiPriority w:val="0"/>
    <w:pPr>
      <w:widowControl/>
      <w:spacing w:before="100" w:beforeAutospacing="1" w:after="100" w:afterAutospacing="1"/>
      <w:jc w:val="left"/>
    </w:pPr>
    <w:rPr>
      <w:rFonts w:ascii="宋体" w:hAnsi="宋体" w:cs="宋体"/>
      <w:color w:val="000000"/>
      <w:kern w:val="0"/>
      <w:sz w:val="24"/>
    </w:rPr>
  </w:style>
  <w:style w:type="paragraph" w:styleId="21">
    <w:name w:val="Body Text First Indent"/>
    <w:basedOn w:val="10"/>
    <w:qFormat/>
    <w:uiPriority w:val="0"/>
    <w:pPr>
      <w:ind w:firstLine="420" w:firstLineChars="100"/>
    </w:pPr>
  </w:style>
  <w:style w:type="paragraph" w:styleId="22">
    <w:name w:val="Body Text First Indent 2"/>
    <w:basedOn w:val="1"/>
    <w:next w:val="1"/>
    <w:qFormat/>
    <w:uiPriority w:val="0"/>
    <w:pPr>
      <w:spacing w:beforeLines="50" w:afterLines="50" w:line="360" w:lineRule="auto"/>
      <w:ind w:firstLine="480" w:firstLineChars="200"/>
    </w:pPr>
    <w:rPr>
      <w:rFonts w:cs="宋体"/>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bCs/>
    </w:rPr>
  </w:style>
  <w:style w:type="character" w:styleId="27">
    <w:name w:val="FollowedHyperlink"/>
    <w:basedOn w:val="25"/>
    <w:qFormat/>
    <w:uiPriority w:val="0"/>
    <w:rPr>
      <w:color w:val="800080"/>
      <w:u w:val="none"/>
    </w:rPr>
  </w:style>
  <w:style w:type="character" w:styleId="28">
    <w:name w:val="HTML Definition"/>
    <w:basedOn w:val="25"/>
    <w:qFormat/>
    <w:uiPriority w:val="0"/>
    <w:rPr>
      <w:i/>
      <w:iCs/>
    </w:rPr>
  </w:style>
  <w:style w:type="character" w:styleId="29">
    <w:name w:val="Hyperlink"/>
    <w:basedOn w:val="25"/>
    <w:qFormat/>
    <w:uiPriority w:val="0"/>
    <w:rPr>
      <w:color w:val="0000FF"/>
      <w:u w:val="single"/>
    </w:rPr>
  </w:style>
  <w:style w:type="character" w:styleId="30">
    <w:name w:val="HTML Code"/>
    <w:basedOn w:val="25"/>
    <w:qFormat/>
    <w:uiPriority w:val="0"/>
    <w:rPr>
      <w:rFonts w:hint="default" w:ascii="Consolas" w:hAnsi="Consolas" w:eastAsia="Consolas" w:cs="Consolas"/>
      <w:color w:val="C7254E"/>
      <w:sz w:val="21"/>
      <w:szCs w:val="21"/>
      <w:shd w:val="clear" w:color="040000" w:fill="F9F2F4"/>
    </w:rPr>
  </w:style>
  <w:style w:type="character" w:styleId="31">
    <w:name w:val="HTML Keyboard"/>
    <w:basedOn w:val="25"/>
    <w:qFormat/>
    <w:uiPriority w:val="0"/>
    <w:rPr>
      <w:rFonts w:ascii="Consolas" w:hAnsi="Consolas" w:eastAsia="Consolas" w:cs="Consolas"/>
      <w:color w:val="FFFFFF"/>
      <w:sz w:val="21"/>
      <w:szCs w:val="21"/>
      <w:shd w:val="clear" w:color="040000" w:fill="333333"/>
    </w:rPr>
  </w:style>
  <w:style w:type="character" w:styleId="32">
    <w:name w:val="HTML Sample"/>
    <w:basedOn w:val="25"/>
    <w:qFormat/>
    <w:uiPriority w:val="0"/>
    <w:rPr>
      <w:rFonts w:hint="default" w:ascii="Consolas" w:hAnsi="Consolas" w:eastAsia="Consolas" w:cs="Consolas"/>
      <w:sz w:val="21"/>
      <w:szCs w:val="21"/>
    </w:rPr>
  </w:style>
  <w:style w:type="paragraph" w:customStyle="1" w:styleId="33">
    <w:name w:val="表头(G)"/>
    <w:basedOn w:val="1"/>
    <w:next w:val="34"/>
    <w:semiHidden/>
    <w:qFormat/>
    <w:uiPriority w:val="0"/>
    <w:pPr>
      <w:tabs>
        <w:tab w:val="left" w:pos="1021"/>
      </w:tabs>
      <w:adjustRightInd w:val="0"/>
      <w:spacing w:line="480" w:lineRule="exact"/>
      <w:jc w:val="center"/>
    </w:pPr>
    <w:rPr>
      <w:rFonts w:ascii="Times New Roman" w:hAnsi="Times New Roman" w:eastAsia="黑体" w:cs="Times New Roman"/>
      <w:color w:val="000000"/>
      <w:kern w:val="24"/>
      <w:sz w:val="24"/>
    </w:rPr>
  </w:style>
  <w:style w:type="paragraph" w:customStyle="1" w:styleId="34">
    <w:name w:val="表头"/>
    <w:basedOn w:val="22"/>
    <w:qFormat/>
    <w:uiPriority w:val="0"/>
    <w:pPr>
      <w:spacing w:beforeLines="0" w:afterLines="0"/>
      <w:ind w:firstLine="0" w:firstLineChars="0"/>
      <w:jc w:val="center"/>
    </w:pPr>
    <w:rPr>
      <w:b/>
    </w:rPr>
  </w:style>
  <w:style w:type="paragraph" w:customStyle="1" w:styleId="35">
    <w:name w:val="Default"/>
    <w:basedOn w:val="36"/>
    <w:next w:val="18"/>
    <w:qFormat/>
    <w:uiPriority w:val="99"/>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6">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37">
    <w:name w:val="List Paragraph1"/>
    <w:basedOn w:val="1"/>
    <w:qFormat/>
    <w:uiPriority w:val="1"/>
    <w:rPr>
      <w:lang w:val="zh-CN" w:eastAsia="zh-CN" w:bidi="zh-CN"/>
    </w:rPr>
  </w:style>
  <w:style w:type="paragraph" w:customStyle="1" w:styleId="38">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9">
    <w:name w:val="纯文本1"/>
    <w:basedOn w:val="1"/>
    <w:qFormat/>
    <w:uiPriority w:val="0"/>
    <w:pPr>
      <w:adjustRightInd w:val="0"/>
      <w:jc w:val="center"/>
      <w:textAlignment w:val="baseline"/>
    </w:pPr>
    <w:rPr>
      <w:rFonts w:ascii="宋体" w:hAnsi="Courier New"/>
      <w:sz w:val="24"/>
    </w:rPr>
  </w:style>
  <w:style w:type="paragraph" w:customStyle="1" w:styleId="40">
    <w:name w:val="样式35"/>
    <w:basedOn w:val="1"/>
    <w:next w:val="1"/>
    <w:qFormat/>
    <w:uiPriority w:val="0"/>
    <w:pPr>
      <w:spacing w:line="312" w:lineRule="auto"/>
      <w:ind w:firstLine="567"/>
    </w:pPr>
    <w:rPr>
      <w:rFonts w:ascii="宋体"/>
      <w:sz w:val="28"/>
    </w:rPr>
  </w:style>
  <w:style w:type="paragraph" w:customStyle="1" w:styleId="41">
    <w:name w:val="样式 标题 1一级标题 + 段前: 0.5 行 段后: 0.5 行"/>
    <w:basedOn w:val="2"/>
    <w:qFormat/>
    <w:uiPriority w:val="99"/>
    <w:pPr>
      <w:spacing w:line="320" w:lineRule="exact"/>
      <w:outlineLvl w:val="9"/>
    </w:pPr>
    <w:rPr>
      <w:spacing w:val="-6"/>
      <w:sz w:val="21"/>
      <w:szCs w:val="21"/>
    </w:rPr>
  </w:style>
  <w:style w:type="paragraph" w:customStyle="1" w:styleId="42">
    <w:name w:val="NormalIndent"/>
    <w:basedOn w:val="1"/>
    <w:qFormat/>
    <w:uiPriority w:val="0"/>
    <w:pPr>
      <w:jc w:val="both"/>
      <w:textAlignment w:val="baseline"/>
    </w:pPr>
  </w:style>
  <w:style w:type="paragraph" w:customStyle="1" w:styleId="43">
    <w:name w:val="xl27"/>
    <w:basedOn w:val="1"/>
    <w:qFormat/>
    <w:uiPriority w:val="0"/>
    <w:pPr>
      <w:widowControl/>
      <w:spacing w:before="100" w:beforeLines="0" w:beforeAutospacing="1" w:after="100" w:afterLines="0" w:afterAutospacing="1"/>
      <w:jc w:val="left"/>
    </w:pPr>
    <w:rPr>
      <w:color w:val="FF0000"/>
      <w:kern w:val="0"/>
      <w:sz w:val="24"/>
    </w:rPr>
  </w:style>
  <w:style w:type="paragraph" w:customStyle="1" w:styleId="44">
    <w:name w:val="Table Paragraph"/>
    <w:basedOn w:val="1"/>
    <w:qFormat/>
    <w:uiPriority w:val="1"/>
    <w:rPr>
      <w:rFonts w:ascii="宋体" w:hAnsi="宋体" w:eastAsia="宋体" w:cs="宋体"/>
      <w:lang w:val="zh-CN" w:eastAsia="zh-CN" w:bidi="zh-CN"/>
    </w:rPr>
  </w:style>
  <w:style w:type="paragraph" w:customStyle="1" w:styleId="45">
    <w:name w:val="表格标题样式"/>
    <w:basedOn w:val="1"/>
    <w:qFormat/>
    <w:uiPriority w:val="0"/>
    <w:pPr>
      <w:spacing w:line="360" w:lineRule="auto"/>
      <w:jc w:val="center"/>
    </w:pPr>
    <w:rPr>
      <w:rFonts w:eastAsia="黑体"/>
      <w:color w:val="000000"/>
      <w:kern w:val="0"/>
      <w:sz w:val="24"/>
      <w:szCs w:val="20"/>
    </w:rPr>
  </w:style>
  <w:style w:type="paragraph" w:customStyle="1" w:styleId="46">
    <w:name w:val="No Spacing"/>
    <w:basedOn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7">
    <w:name w:val="报告正文"/>
    <w:basedOn w:val="1"/>
    <w:qFormat/>
    <w:uiPriority w:val="0"/>
    <w:pPr>
      <w:spacing w:line="360" w:lineRule="auto"/>
      <w:ind w:firstLine="480" w:firstLineChars="200"/>
    </w:pPr>
    <w:rPr>
      <w:color w:val="000000"/>
      <w:sz w:val="24"/>
      <w:szCs w:val="22"/>
    </w:rPr>
  </w:style>
  <w:style w:type="paragraph" w:customStyle="1" w:styleId="48">
    <w:name w:val="表格文字"/>
    <w:basedOn w:val="49"/>
    <w:next w:val="1"/>
    <w:qFormat/>
    <w:uiPriority w:val="0"/>
    <w:pPr>
      <w:jc w:val="center"/>
    </w:pPr>
    <w:rPr>
      <w:rFonts w:ascii="仿宋_GB2312" w:hAnsi="Arial Black" w:eastAsia="仿宋_GB2312"/>
      <w:kern w:val="44"/>
      <w:sz w:val="24"/>
    </w:rPr>
  </w:style>
  <w:style w:type="paragraph" w:customStyle="1" w:styleId="49">
    <w:name w:val="正文东铝"/>
    <w:basedOn w:val="1"/>
    <w:qFormat/>
    <w:uiPriority w:val="0"/>
    <w:pPr>
      <w:spacing w:line="520" w:lineRule="exact"/>
      <w:ind w:firstLine="200" w:firstLineChars="200"/>
      <w:jc w:val="left"/>
    </w:pPr>
    <w:rPr>
      <w:color w:val="000000"/>
      <w:sz w:val="24"/>
      <w:szCs w:val="22"/>
    </w:rPr>
  </w:style>
  <w:style w:type="paragraph" w:customStyle="1" w:styleId="50">
    <w:name w:val="Heading #1|1"/>
    <w:basedOn w:val="1"/>
    <w:qFormat/>
    <w:uiPriority w:val="0"/>
    <w:pPr>
      <w:widowControl w:val="0"/>
      <w:shd w:val="clear" w:color="auto" w:fill="auto"/>
      <w:spacing w:after="180" w:line="1035" w:lineRule="exact"/>
      <w:jc w:val="center"/>
      <w:outlineLvl w:val="0"/>
    </w:pPr>
    <w:rPr>
      <w:rFonts w:ascii="宋体" w:hAnsi="宋体" w:eastAsia="宋体" w:cs="宋体"/>
      <w:sz w:val="52"/>
      <w:szCs w:val="52"/>
      <w:u w:val="none"/>
      <w:shd w:val="clear" w:color="auto" w:fill="auto"/>
      <w:lang w:val="zh-TW" w:eastAsia="zh-TW" w:bidi="zh-TW"/>
    </w:rPr>
  </w:style>
  <w:style w:type="paragraph" w:customStyle="1" w:styleId="51">
    <w:name w:val="表格样式"/>
    <w:basedOn w:val="52"/>
    <w:qFormat/>
    <w:uiPriority w:val="0"/>
    <w:pPr>
      <w:widowControl w:val="0"/>
      <w:spacing w:line="240" w:lineRule="auto"/>
      <w:ind w:firstLine="0" w:firstLineChars="0"/>
    </w:pPr>
    <w:rPr>
      <w:rFonts w:ascii="Calibri" w:hAnsi="Calibri" w:eastAsia="宋体"/>
      <w:sz w:val="21"/>
    </w:rPr>
  </w:style>
  <w:style w:type="paragraph" w:customStyle="1" w:styleId="52">
    <w:name w:val="正   文"/>
    <w:basedOn w:val="1"/>
    <w:qFormat/>
    <w:uiPriority w:val="0"/>
    <w:pPr>
      <w:spacing w:line="520" w:lineRule="exact"/>
      <w:ind w:firstLine="425" w:firstLineChars="177"/>
    </w:pPr>
    <w:rPr>
      <w:color w:val="000000"/>
      <w:kern w:val="0"/>
      <w:sz w:val="24"/>
    </w:rPr>
  </w:style>
  <w:style w:type="paragraph" w:customStyle="1" w:styleId="53">
    <w:name w:val="表格正文"/>
    <w:basedOn w:val="1"/>
    <w:next w:val="1"/>
    <w:qFormat/>
    <w:uiPriority w:val="0"/>
    <w:pPr>
      <w:adjustRightInd w:val="0"/>
      <w:snapToGrid w:val="0"/>
      <w:spacing w:line="240" w:lineRule="auto"/>
      <w:jc w:val="center"/>
    </w:pPr>
    <w:rPr>
      <w:rFonts w:ascii="宋体" w:hAnsi="宋体"/>
      <w:kern w:val="0"/>
      <w:sz w:val="21"/>
      <w:szCs w:val="20"/>
    </w:rPr>
  </w:style>
  <w:style w:type="paragraph" w:customStyle="1" w:styleId="5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5">
    <w:name w:val="Z表头"/>
    <w:basedOn w:val="1"/>
    <w:qFormat/>
    <w:uiPriority w:val="0"/>
    <w:pPr>
      <w:widowControl/>
      <w:spacing w:after="76" w:afterLines="20" w:line="400" w:lineRule="exact"/>
      <w:ind w:firstLine="413" w:firstLineChars="196"/>
    </w:pPr>
    <w:rPr>
      <w:rFonts w:eastAsia="黑体"/>
      <w:sz w:val="24"/>
      <w:szCs w:val="21"/>
    </w:rPr>
  </w:style>
  <w:style w:type="paragraph" w:customStyle="1" w:styleId="56">
    <w:name w:val="5表格内容"/>
    <w:next w:val="1"/>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57">
    <w:name w:val="3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58">
    <w:name w:val="77的正文"/>
    <w:basedOn w:val="1"/>
    <w:qFormat/>
    <w:uiPriority w:val="0"/>
    <w:pPr>
      <w:spacing w:line="360" w:lineRule="auto"/>
      <w:ind w:firstLine="480" w:firstLineChars="200"/>
    </w:pPr>
    <w:rPr>
      <w:color w:val="000000"/>
      <w:kern w:val="0"/>
      <w:sz w:val="24"/>
    </w:rPr>
  </w:style>
  <w:style w:type="paragraph" w:customStyle="1" w:styleId="59">
    <w:name w:val="表内 定"/>
    <w:basedOn w:val="1"/>
    <w:qFormat/>
    <w:uiPriority w:val="0"/>
    <w:rPr>
      <w:rFonts w:cs="Times New Roman"/>
      <w:color w:val="000000"/>
    </w:rPr>
  </w:style>
  <w:style w:type="paragraph" w:customStyle="1" w:styleId="60">
    <w:name w:val="样式1"/>
    <w:basedOn w:val="1"/>
    <w:qFormat/>
    <w:uiPriority w:val="0"/>
    <w:rPr>
      <w:szCs w:val="20"/>
      <w:shd w:val="clear" w:color="auto" w:fill="FFFFFF"/>
    </w:rPr>
  </w:style>
  <w:style w:type="paragraph" w:customStyle="1" w:styleId="61">
    <w:name w:val="报告表正文"/>
    <w:basedOn w:val="1"/>
    <w:qFormat/>
    <w:uiPriority w:val="0"/>
    <w:pPr>
      <w:adjustRightInd w:val="0"/>
      <w:spacing w:line="312" w:lineRule="auto"/>
      <w:ind w:left="113" w:right="113" w:firstLine="482"/>
      <w:jc w:val="left"/>
      <w:textAlignment w:val="baseline"/>
    </w:pPr>
    <w:rPr>
      <w:sz w:val="24"/>
    </w:rPr>
  </w:style>
  <w:style w:type="paragraph" w:customStyle="1" w:styleId="62">
    <w:name w:val="a正文"/>
    <w:basedOn w:val="1"/>
    <w:qFormat/>
    <w:uiPriority w:val="0"/>
    <w:pPr>
      <w:spacing w:line="520" w:lineRule="exact"/>
      <w:ind w:firstLine="480" w:firstLineChars="200"/>
    </w:pPr>
    <w:rPr>
      <w:rFonts w:ascii="Times New Roman" w:hAnsi="Times New Roman"/>
      <w:sz w:val="24"/>
    </w:rPr>
  </w:style>
  <w:style w:type="paragraph" w:customStyle="1" w:styleId="63">
    <w:name w:val="表格内容自定"/>
    <w:basedOn w:val="1"/>
    <w:qFormat/>
    <w:uiPriority w:val="0"/>
    <w:pPr>
      <w:spacing w:line="280" w:lineRule="exact"/>
      <w:jc w:val="center"/>
    </w:pPr>
    <w:rPr>
      <w:kern w:val="0"/>
      <w:sz w:val="18"/>
      <w:szCs w:val="21"/>
    </w:rPr>
  </w:style>
  <w:style w:type="paragraph" w:customStyle="1" w:styleId="64">
    <w:name w:val="表格"/>
    <w:basedOn w:val="1"/>
    <w:next w:val="1"/>
    <w:qFormat/>
    <w:uiPriority w:val="0"/>
    <w:pPr>
      <w:widowControl/>
      <w:spacing w:before="0" w:beforeAutospacing="0" w:after="0" w:afterAutospacing="0" w:line="240" w:lineRule="auto"/>
      <w:ind w:left="0" w:right="0" w:firstLine="0" w:firstLineChars="0"/>
      <w:jc w:val="center"/>
    </w:pPr>
    <w:rPr>
      <w:rFonts w:hint="eastAsia" w:ascii="Times New Roman" w:hAnsi="Times New Roman" w:eastAsia="宋体" w:cs="Times New Roman"/>
      <w:color w:val="000000"/>
      <w:kern w:val="2"/>
      <w:sz w:val="21"/>
      <w:szCs w:val="21"/>
      <w:lang w:val="en-US" w:eastAsia="zh-CN"/>
    </w:rPr>
  </w:style>
  <w:style w:type="paragraph" w:customStyle="1" w:styleId="65">
    <w:name w:val="样式 楷体_GB2312 小四"/>
    <w:basedOn w:val="1"/>
    <w:qFormat/>
    <w:uiPriority w:val="0"/>
    <w:pPr>
      <w:spacing w:line="360" w:lineRule="auto"/>
      <w:ind w:firstLine="480" w:firstLineChars="200"/>
    </w:pPr>
    <w:rPr>
      <w:rFonts w:ascii="楷体_GB2312" w:hAnsi="楷体_GB2312" w:eastAsia="楷体_GB2312" w:cs="宋体"/>
      <w:sz w:val="24"/>
      <w:szCs w:val="20"/>
    </w:rPr>
  </w:style>
  <w:style w:type="paragraph" w:customStyle="1" w:styleId="66">
    <w:name w:val="表格1"/>
    <w:basedOn w:val="1"/>
    <w:qFormat/>
    <w:uiPriority w:val="0"/>
    <w:pPr>
      <w:adjustRightInd w:val="0"/>
      <w:snapToGrid w:val="0"/>
      <w:jc w:val="center"/>
    </w:pPr>
    <w:rPr>
      <w:kern w:val="0"/>
      <w:szCs w:val="21"/>
    </w:rPr>
  </w:style>
  <w:style w:type="paragraph" w:customStyle="1" w:styleId="67">
    <w:name w:val="表1"/>
    <w:next w:val="1"/>
    <w:qFormat/>
    <w:uiPriority w:val="0"/>
    <w:pPr>
      <w:widowControl w:val="0"/>
      <w:spacing w:line="520" w:lineRule="exact"/>
      <w:ind w:firstLine="200" w:firstLineChars="200"/>
      <w:jc w:val="both"/>
    </w:pPr>
    <w:rPr>
      <w:rFonts w:ascii="Times New Roman" w:hAnsi="Times New Roman" w:eastAsia="黑体" w:cs="Times New Roman"/>
      <w:kern w:val="2"/>
      <w:sz w:val="24"/>
      <w:szCs w:val="22"/>
      <w:lang w:val="en-US" w:eastAsia="zh-CN" w:bidi="ar-SA"/>
    </w:rPr>
  </w:style>
  <w:style w:type="paragraph" w:customStyle="1" w:styleId="68">
    <w:name w:val="表内容"/>
    <w:basedOn w:val="6"/>
    <w:qFormat/>
    <w:uiPriority w:val="0"/>
    <w:pPr>
      <w:spacing w:line="240" w:lineRule="auto"/>
    </w:pPr>
    <w:rPr>
      <w:sz w:val="21"/>
    </w:rPr>
  </w:style>
  <w:style w:type="paragraph" w:customStyle="1" w:styleId="69">
    <w:name w:val="表格标题"/>
    <w:basedOn w:val="1"/>
    <w:qFormat/>
    <w:uiPriority w:val="0"/>
    <w:pPr>
      <w:numPr>
        <w:ilvl w:val="0"/>
        <w:numId w:val="2"/>
      </w:numPr>
    </w:pPr>
  </w:style>
  <w:style w:type="paragraph" w:customStyle="1" w:styleId="70">
    <w:name w:val="表内"/>
    <w:basedOn w:val="1"/>
    <w:qFormat/>
    <w:uiPriority w:val="99"/>
    <w:pPr>
      <w:framePr w:hSpace="180" w:wrap="around" w:vAnchor="page" w:hAnchor="margin" w:y="1412"/>
      <w:widowControl/>
    </w:pPr>
    <w:rPr>
      <w:rFonts w:ascii="宋体" w:hAnsi="宋体"/>
      <w:szCs w:val="20"/>
    </w:rPr>
  </w:style>
  <w:style w:type="paragraph" w:customStyle="1" w:styleId="71">
    <w:name w:val="book"/>
    <w:basedOn w:val="1"/>
    <w:qFormat/>
    <w:uiPriority w:val="0"/>
    <w:pPr>
      <w:spacing w:line="360" w:lineRule="exact"/>
      <w:ind w:firstLine="0" w:firstLineChars="0"/>
      <w:jc w:val="center"/>
    </w:pPr>
    <w:rPr>
      <w:kern w:val="0"/>
      <w:sz w:val="21"/>
    </w:rPr>
  </w:style>
  <w:style w:type="paragraph" w:customStyle="1" w:styleId="72">
    <w:name w:val="段落"/>
    <w:basedOn w:val="13"/>
    <w:qFormat/>
    <w:uiPriority w:val="99"/>
    <w:pPr>
      <w:spacing w:line="500" w:lineRule="exact"/>
      <w:ind w:firstLine="578"/>
    </w:pPr>
    <w:rPr>
      <w:rFonts w:ascii="Times New Roman" w:hAnsi="Times New Roman"/>
      <w:color w:val="auto"/>
      <w:sz w:val="28"/>
      <w:szCs w:val="24"/>
    </w:rPr>
  </w:style>
  <w:style w:type="character" w:customStyle="1" w:styleId="73">
    <w:name w:val="fontstyle01"/>
    <w:basedOn w:val="25"/>
    <w:qFormat/>
    <w:uiPriority w:val="0"/>
    <w:rPr>
      <w:rFonts w:ascii="宋体" w:hAnsi="宋体" w:eastAsia="宋体" w:cs="宋体"/>
      <w:color w:val="000000"/>
      <w:sz w:val="24"/>
      <w:szCs w:val="24"/>
    </w:rPr>
  </w:style>
  <w:style w:type="character" w:customStyle="1" w:styleId="74">
    <w:name w:val="fontstyle11"/>
    <w:qFormat/>
    <w:uiPriority w:val="0"/>
    <w:rPr>
      <w:rFonts w:hint="eastAsia" w:ascii="宋体" w:hAnsi="宋体" w:eastAsia="宋体"/>
      <w:color w:val="000000"/>
      <w:sz w:val="24"/>
      <w:szCs w:val="24"/>
    </w:rPr>
  </w:style>
  <w:style w:type="character" w:customStyle="1" w:styleId="75">
    <w:name w:val="fontstyle21"/>
    <w:qFormat/>
    <w:uiPriority w:val="0"/>
    <w:rPr>
      <w:rFonts w:hint="eastAsia" w:ascii="TimesNewRomanPSMT" w:hAnsi="TimesNewRomanPSMT" w:eastAsia="TimesNewRomanPSMT"/>
      <w:color w:val="000000"/>
      <w:sz w:val="24"/>
      <w:szCs w:val="24"/>
    </w:rPr>
  </w:style>
  <w:style w:type="character" w:customStyle="1" w:styleId="76">
    <w:name w:val="16广正文"/>
    <w:qFormat/>
    <w:uiPriority w:val="0"/>
    <w:rPr>
      <w:rFonts w:ascii="Times New Roman" w:hAnsi="Times New Roman" w:eastAsia="宋体"/>
      <w:color w:val="000000"/>
      <w:spacing w:val="0"/>
      <w:w w:val="100"/>
      <w:position w:val="0"/>
      <w:sz w:val="24"/>
      <w:szCs w:val="20"/>
      <w:shd w:val="clear" w:color="auto" w:fill="FFFFFF"/>
    </w:rPr>
  </w:style>
  <w:style w:type="character" w:customStyle="1" w:styleId="77">
    <w:name w:val="nth-of-type(1)"/>
    <w:basedOn w:val="25"/>
    <w:qFormat/>
    <w:uiPriority w:val="0"/>
  </w:style>
  <w:style w:type="character" w:customStyle="1" w:styleId="78">
    <w:name w:val="nth-of-type(1)1"/>
    <w:basedOn w:val="25"/>
    <w:qFormat/>
    <w:uiPriority w:val="0"/>
  </w:style>
  <w:style w:type="character" w:customStyle="1" w:styleId="79">
    <w:name w:val="nth-of-type(1)2"/>
    <w:basedOn w:val="25"/>
    <w:qFormat/>
    <w:uiPriority w:val="0"/>
  </w:style>
  <w:style w:type="character" w:customStyle="1" w:styleId="80">
    <w:name w:val="nth-of-type(2)"/>
    <w:basedOn w:val="25"/>
    <w:qFormat/>
    <w:uiPriority w:val="0"/>
  </w:style>
  <w:style w:type="character" w:customStyle="1" w:styleId="81">
    <w:name w:val="nth-of-type(2)1"/>
    <w:basedOn w:val="25"/>
    <w:qFormat/>
    <w:uiPriority w:val="0"/>
  </w:style>
  <w:style w:type="character" w:customStyle="1" w:styleId="82">
    <w:name w:val="nth-of-type(2)2"/>
    <w:basedOn w:val="25"/>
    <w:qFormat/>
    <w:uiPriority w:val="0"/>
  </w:style>
  <w:style w:type="character" w:customStyle="1" w:styleId="83">
    <w:name w:val="ui-jqgrid-resize"/>
    <w:basedOn w:val="25"/>
    <w:qFormat/>
    <w:uiPriority w:val="0"/>
  </w:style>
  <w:style w:type="character" w:customStyle="1" w:styleId="84">
    <w:name w:val="ui-jqgrid-resize1"/>
    <w:basedOn w:val="25"/>
    <w:qFormat/>
    <w:uiPriority w:val="0"/>
  </w:style>
  <w:style w:type="character" w:customStyle="1" w:styleId="85">
    <w:name w:val="checkbox10"/>
    <w:basedOn w:val="25"/>
    <w:qFormat/>
    <w:uiPriority w:val="0"/>
  </w:style>
  <w:style w:type="character" w:customStyle="1" w:styleId="86">
    <w:name w:val="before"/>
    <w:basedOn w:val="25"/>
    <w:qFormat/>
    <w:uiPriority w:val="0"/>
    <w:rPr>
      <w:rFonts w:hint="default" w:ascii="FontAwesome" w:hAnsi="FontAwesome" w:eastAsia="FontAwesome" w:cs="FontAwesome"/>
      <w:color w:val="888888"/>
      <w:sz w:val="18"/>
      <w:szCs w:val="18"/>
    </w:rPr>
  </w:style>
  <w:style w:type="character" w:customStyle="1" w:styleId="87">
    <w:name w:val="before1"/>
    <w:basedOn w:val="25"/>
    <w:qFormat/>
    <w:uiPriority w:val="0"/>
    <w:rPr>
      <w:rFonts w:hint="default" w:ascii="FontAwesome" w:hAnsi="FontAwesome" w:eastAsia="FontAwesome" w:cs="FontAwesome"/>
      <w:color w:val="888888"/>
      <w:sz w:val="18"/>
      <w:szCs w:val="18"/>
    </w:rPr>
  </w:style>
  <w:style w:type="character" w:customStyle="1" w:styleId="88">
    <w:name w:val="ui-icon10"/>
    <w:basedOn w:val="25"/>
    <w:qFormat/>
    <w:uiPriority w:val="0"/>
  </w:style>
  <w:style w:type="character" w:customStyle="1" w:styleId="89">
    <w:name w:val="input-icon2"/>
    <w:basedOn w:val="25"/>
    <w:qFormat/>
    <w:uiPriority w:val="0"/>
  </w:style>
  <w:style w:type="character" w:customStyle="1" w:styleId="90">
    <w:name w:val="font11"/>
    <w:basedOn w:val="25"/>
    <w:qFormat/>
    <w:uiPriority w:val="0"/>
    <w:rPr>
      <w:rFonts w:hint="eastAsia" w:ascii="等线" w:hAnsi="等线" w:eastAsia="等线" w:cs="等线"/>
      <w:color w:val="000000"/>
      <w:sz w:val="24"/>
      <w:szCs w:val="24"/>
      <w:u w:val="none"/>
    </w:rPr>
  </w:style>
  <w:style w:type="character" w:customStyle="1" w:styleId="91">
    <w:name w:val="NormalCharacter"/>
    <w:qFormat/>
    <w:uiPriority w:val="0"/>
    <w:rPr>
      <w:rFonts w:ascii="宋体" w:hAnsi="宋体" w:eastAsia="宋体" w:cs="宋体"/>
      <w:sz w:val="22"/>
      <w:szCs w:val="22"/>
      <w:lang w:val="zh-CN" w:eastAsia="zh-CN" w:bidi="zh-CN"/>
    </w:rPr>
  </w:style>
  <w:style w:type="character" w:customStyle="1" w:styleId="92">
    <w:name w:val="20"/>
    <w:basedOn w:val="25"/>
    <w:qFormat/>
    <w:uiPriority w:val="0"/>
    <w:rPr>
      <w:rFonts w:hint="default" w:ascii="Times New Roman" w:hAnsi="Times New Roman" w:cs="Times New Roman"/>
      <w:color w:val="000000"/>
      <w:sz w:val="20"/>
      <w:szCs w:val="20"/>
    </w:rPr>
  </w:style>
  <w:style w:type="character" w:customStyle="1" w:styleId="93">
    <w:name w:val="16"/>
    <w:basedOn w:val="25"/>
    <w:qFormat/>
    <w:uiPriority w:val="0"/>
    <w:rPr>
      <w:rFonts w:hint="default" w:ascii="Times New Roman" w:hAnsi="Times New Roman" w:cs="Times New Roman"/>
      <w:color w:val="000000"/>
      <w:sz w:val="20"/>
      <w:szCs w:val="20"/>
    </w:rPr>
  </w:style>
  <w:style w:type="character" w:customStyle="1" w:styleId="94">
    <w:name w:val="21"/>
    <w:basedOn w:val="25"/>
    <w:qFormat/>
    <w:uiPriority w:val="0"/>
    <w:rPr>
      <w:rFonts w:hint="eastAsia" w:ascii="宋体" w:hAnsi="宋体" w:eastAsia="宋体" w:cs="宋体"/>
      <w:color w:val="000000"/>
      <w:sz w:val="21"/>
      <w:szCs w:val="21"/>
    </w:rPr>
  </w:style>
  <w:style w:type="character" w:customStyle="1" w:styleId="95">
    <w:name w:val="font51"/>
    <w:basedOn w:val="25"/>
    <w:qFormat/>
    <w:uiPriority w:val="0"/>
    <w:rPr>
      <w:rFonts w:hint="default" w:ascii="Times New Roman" w:hAnsi="Times New Roman" w:cs="Times New Roman"/>
      <w:b/>
      <w:bCs/>
      <w:color w:val="000000"/>
      <w:sz w:val="21"/>
      <w:szCs w:val="21"/>
      <w:u w:val="none"/>
    </w:rPr>
  </w:style>
  <w:style w:type="character" w:customStyle="1" w:styleId="96">
    <w:name w:val="font61"/>
    <w:basedOn w:val="25"/>
    <w:qFormat/>
    <w:uiPriority w:val="0"/>
    <w:rPr>
      <w:rFonts w:hint="default" w:ascii="Times New Roman" w:hAnsi="Times New Roman" w:cs="Times New Roman"/>
      <w:b/>
      <w:bCs/>
      <w:color w:val="000000"/>
      <w:sz w:val="21"/>
      <w:szCs w:val="21"/>
      <w:u w:val="none"/>
      <w:vertAlign w:val="superscript"/>
    </w:rPr>
  </w:style>
  <w:style w:type="table" w:customStyle="1" w:styleId="97">
    <w:name w:val="Table Normal"/>
    <w:unhideWhenUsed/>
    <w:qFormat/>
    <w:uiPriority w:val="2"/>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3.jpe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4.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pn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jpe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bmp"/><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143</Pages>
  <Words>47006</Words>
  <Characters>53132</Characters>
  <Lines>1</Lines>
  <Paragraphs>1</Paragraphs>
  <TotalTime>11</TotalTime>
  <ScaleCrop>false</ScaleCrop>
  <LinksUpToDate>false</LinksUpToDate>
  <CharactersWithSpaces>53339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2021-03-29T01:07:00Z</dcterms:created>
  <dc:creator>lhj</dc:creator>
  <cp:lastModifiedBy>小龙</cp:lastModifiedBy>
  <cp:lastPrinted>2021-05-30T01:49:00Z</cp:lastPrinted>
  <dcterms:modified xsi:type="dcterms:W3CDTF">2025-07-21T06:27:19Z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2021-01-04T00:00:00Z</vt:filetime>
  </property>
  <property fmtid="{D5CDD505-2E9C-101B-9397-08002B2CF9AE}" pid="3" name="Creator">
    <vt:lpwstr>Microsoft® Word 2019</vt:lpwstr>
  </property>
  <property fmtid="{D5CDD505-2E9C-101B-9397-08002B2CF9AE}" pid="4" name="LastSaved">
    <vt:filetime>2021-03-29T00:00:00Z</vt:filetime>
  </property>
  <property fmtid="{D5CDD505-2E9C-101B-9397-08002B2CF9AE}" pid="5" name="KSOProductBuildVer">
    <vt:lpwstr>2052-12.1.0.21915</vt:lpwstr>
  </property>
  <property fmtid="{D5CDD505-2E9C-101B-9397-08002B2CF9AE}" pid="6" name="ICV">
    <vt:lpwstr>6DE76419250F4844A322E54E6CDA360D_13</vt:lpwstr>
  </property>
  <property fmtid="{D5CDD505-2E9C-101B-9397-08002B2CF9AE}" pid="7" name="KSOTemplateDocerSaveRecord">
    <vt:lpwstr>eyJoZGlkIjoiOGQ0YTUwNjQwYTViOWJjNmYyMDllMzY0ZjAxMTZhMTAiLCJ1c2VySWQiOiIzNTIwOTU5MTEifQ==</vt:lpwstr>
  </property>
</Properties>
</file>