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目　　录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　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许昌市魏都区食品安全监督所</w:t>
      </w:r>
      <w:r>
        <w:rPr>
          <w:rFonts w:hint="eastAsia" w:ascii="黑体" w:hAnsi="黑体" w:eastAsia="黑体" w:cs="黑体"/>
          <w:sz w:val="32"/>
          <w:szCs w:val="32"/>
        </w:rPr>
        <w:t>概况</w:t>
      </w:r>
    </w:p>
    <w:p>
      <w:pPr>
        <w:numPr>
          <w:ilvl w:val="0"/>
          <w:numId w:val="1"/>
        </w:num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主要职责</w:t>
      </w:r>
    </w:p>
    <w:p>
      <w:pPr>
        <w:numPr>
          <w:ilvl w:val="0"/>
          <w:numId w:val="1"/>
        </w:num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部门决算单位构成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许昌市魏都区食品安全监督所</w:t>
      </w:r>
      <w:r>
        <w:rPr>
          <w:rFonts w:hint="eastAsia" w:ascii="黑体" w:hAnsi="黑体" w:eastAsia="黑体" w:cs="黑体"/>
          <w:sz w:val="32"/>
          <w:szCs w:val="32"/>
        </w:rPr>
        <w:t>2016年度部门决算表</w:t>
      </w:r>
    </w:p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一、收入支出决算总表</w:t>
      </w:r>
    </w:p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二、收入决算表</w:t>
      </w:r>
    </w:p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三、支出决算表</w:t>
      </w:r>
    </w:p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四、财政拨款收入支出决算总表</w:t>
      </w:r>
    </w:p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五、一般公共预算财政拨款支出决算表</w:t>
      </w:r>
    </w:p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六、一般公共预算财政拨款基本支出决算表</w:t>
      </w:r>
    </w:p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七、一般公共预算财政拨款“三公”经费支出决算表</w:t>
      </w:r>
    </w:p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八、政府性基金预算财政拨款收入支出决算表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第三部分　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许昌市魏都区食品安全监督所</w:t>
      </w:r>
      <w:r>
        <w:rPr>
          <w:rFonts w:hint="eastAsia" w:ascii="黑体" w:hAnsi="黑体" w:eastAsia="黑体" w:cs="黑体"/>
          <w:sz w:val="32"/>
          <w:szCs w:val="32"/>
        </w:rPr>
        <w:t>2016年度部门决算情况说明</w:t>
      </w:r>
    </w:p>
    <w:p>
      <w:pPr>
        <w:jc w:val="left"/>
        <w:rPr>
          <w:rFonts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1440" w:right="1531" w:bottom="1440" w:left="1587" w:header="850" w:footer="992" w:gutter="0"/>
          <w:pgNumType w:fmt="numberInDash"/>
          <w:cols w:space="0" w:num="1"/>
          <w:docGrid w:type="lines" w:linePitch="317" w:charSpace="0"/>
        </w:sectPr>
      </w:pPr>
      <w:r>
        <w:rPr>
          <w:rFonts w:hint="eastAsia" w:ascii="黑体" w:hAnsi="黑体" w:eastAsia="黑体" w:cs="黑体"/>
          <w:sz w:val="32"/>
          <w:szCs w:val="32"/>
        </w:rPr>
        <w:t>第四部分　　名词解释</w:t>
      </w:r>
    </w:p>
    <w:p>
      <w:pPr>
        <w:jc w:val="both"/>
        <w:outlineLvl w:val="0"/>
        <w:rPr>
          <w:rFonts w:hint="eastAsia" w:ascii="隶书" w:hAnsi="隶书" w:eastAsia="隶书" w:cs="隶书"/>
          <w:sz w:val="48"/>
          <w:szCs w:val="48"/>
        </w:rPr>
      </w:pPr>
      <w:r>
        <w:rPr>
          <w:rFonts w:hint="eastAsia" w:ascii="隶书" w:hAnsi="隶书" w:eastAsia="隶书" w:cs="隶书"/>
          <w:sz w:val="48"/>
          <w:szCs w:val="48"/>
          <w:lang w:val="en-US" w:eastAsia="zh-CN"/>
        </w:rPr>
        <w:t xml:space="preserve">              </w:t>
      </w:r>
      <w:r>
        <w:rPr>
          <w:rFonts w:hint="eastAsia" w:ascii="隶书" w:hAnsi="隶书" w:eastAsia="隶书" w:cs="隶书"/>
          <w:sz w:val="48"/>
          <w:szCs w:val="48"/>
        </w:rPr>
        <w:t>第一部分</w:t>
      </w:r>
    </w:p>
    <w:p>
      <w:pPr>
        <w:jc w:val="center"/>
        <w:outlineLvl w:val="0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许昌市魏都区食品安全监督所</w:t>
      </w:r>
      <w:r>
        <w:rPr>
          <w:rFonts w:hint="eastAsia" w:ascii="黑体" w:hAnsi="黑体" w:eastAsia="黑体" w:cs="黑体"/>
          <w:sz w:val="48"/>
          <w:szCs w:val="48"/>
        </w:rPr>
        <w:t>概况</w:t>
      </w:r>
    </w:p>
    <w:p>
      <w:pPr>
        <w:jc w:val="both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主要职责</w:t>
      </w:r>
    </w:p>
    <w:p>
      <w:pPr>
        <w:spacing w:line="336" w:lineRule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一、部门基本情况</w:t>
      </w:r>
    </w:p>
    <w:p>
      <w:pPr>
        <w:spacing w:line="336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（一）单位概况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许昌市</w:t>
      </w:r>
      <w:bookmarkStart w:id="0" w:name="OLE_LINK15"/>
      <w:r>
        <w:rPr>
          <w:rFonts w:hint="eastAsia" w:ascii="仿宋" w:hAnsi="仿宋" w:eastAsia="仿宋" w:cs="仿宋"/>
          <w:sz w:val="32"/>
          <w:szCs w:val="32"/>
        </w:rPr>
        <w:t>魏都区食品安全监督所</w:t>
      </w:r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为财政全供事业单位，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下辖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个科室（包括综合办公室、法制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室、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信息室及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个执法科室），依法在餐饮服务、化妆品、保健品等领域开展行政执法工作。主要职责是：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1、负责餐饮服务、化妆品、保健品监督工作；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2、负责餐饮服务环节许可申请受理、初审、上报和批准后证书发放等工作；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3、负责对餐饮服务环节单位新建、改建、扩建工程的选址、设计进行预防性审查和竣工验收，对施工过程进行监督；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4、负责监管各类从业人员健康检查和食品安全知识培训；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5、负责开展经常性监督执法检查，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协助食品药品行政部门定期向社会通报食品安全监督结果；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6、负责对食品污染、食物中毒事故等重大、突发事件依法进行调查取证、采取必要的控制措施并提出处理处罚意见；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7、对违反食品安全法律、法规、规章的案件，受理立案，进行调查取证，提出行政处罚意见，执行处罚决定；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8、负责对食品安全违法行为、事件的投诉、举报的受理和查处；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9、开展食品安全法律、法规知识的宣传教育和咨询服务；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10、承办上级食品药品行政机关交办的其它任务。</w:t>
      </w:r>
    </w:p>
    <w:p>
      <w:pPr>
        <w:spacing w:line="336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（二）人员构成情况</w:t>
      </w:r>
    </w:p>
    <w:p>
      <w:pPr>
        <w:spacing w:line="336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许昌市魏都区食品安全监督所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共有事业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编制数50人，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截至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2016年年底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在职人员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人，其中所长1人，副所长3人，在职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人参加医疗保险，无退休人员。</w:t>
      </w:r>
    </w:p>
    <w:p>
      <w:pPr>
        <w:spacing w:line="336" w:lineRule="auto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二、201</w:t>
      </w:r>
      <w:r>
        <w:rPr>
          <w:rFonts w:hint="eastAsia" w:ascii="黑体" w:eastAsia="黑体"/>
          <w:sz w:val="32"/>
          <w:szCs w:val="32"/>
          <w:lang w:val="en-US" w:eastAsia="zh-CN"/>
        </w:rPr>
        <w:t>6</w:t>
      </w:r>
      <w:r>
        <w:rPr>
          <w:rFonts w:hint="eastAsia" w:ascii="黑体" w:eastAsia="黑体"/>
          <w:sz w:val="32"/>
          <w:szCs w:val="32"/>
        </w:rPr>
        <w:t>年度主要工作任务完成情况</w:t>
      </w:r>
    </w:p>
    <w:p>
      <w:pPr>
        <w:numPr>
          <w:ilvl w:val="0"/>
          <w:numId w:val="2"/>
        </w:numPr>
        <w:spacing w:line="336" w:lineRule="auto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对辖区的餐饮单位（包含学校、幼儿园、企事业单位食堂）、保健食品、化妆品经营单位进行日常监管；</w:t>
      </w:r>
    </w:p>
    <w:p>
      <w:pPr>
        <w:numPr>
          <w:ilvl w:val="0"/>
          <w:numId w:val="2"/>
        </w:numPr>
        <w:spacing w:line="336" w:lineRule="auto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按照各级政府的要求开展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餐饮服务食品安全专项整治工作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；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在元旦、春节、五一、”三国文化周、“两会”等节日和活动期间，落实专人、落实措施，强化对餐饮服务食品安全的巡查，确保了节假日及重大活动无食品安全事故发生，确保了餐饮服务食品安全；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对食品安全突发事件、群众举报进行核查处理；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按照省、市局抽检计划开展化妆品及餐饮环节食品、保健食品抽检工作；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对发现的餐饮单位、保健食品、化妆品经营单位的违法案件进行查处；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开展餐饮单位、保健食品、化妆品经营单位管理人员法律法规培训；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积极开展宣传活动。在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“3.15”、“餐饮服务食品安全知识进社区”等各项活动期间，我们以提供咨询、发放宣传图册和资料、悬挂宣传横幅和制作宣传展板等多种形式开展《食品安全法》的学习宣传活动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通过宣传，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进一步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提高了社区居民的食品安全意识和自我保护能力，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营造了我区“人人关注食品安全”的良好氛围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，筑牢食品卫生安全最后一道防线。</w:t>
      </w:r>
    </w:p>
    <w:p>
      <w:pPr>
        <w:numPr>
          <w:ilvl w:val="0"/>
          <w:numId w:val="0"/>
        </w:numPr>
        <w:spacing w:line="360" w:lineRule="auto"/>
        <w:ind w:leftChars="200"/>
        <w:jc w:val="left"/>
        <w:outlineLvl w:val="1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3"/>
        </w:numPr>
        <w:spacing w:line="360" w:lineRule="auto"/>
        <w:ind w:firstLine="640" w:firstLineChars="200"/>
        <w:jc w:val="left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部门决算单位构成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纳入</w:t>
      </w:r>
      <w:r>
        <w:rPr>
          <w:rFonts w:hint="eastAsia" w:ascii="仿宋" w:hAnsi="仿宋" w:eastAsia="仿宋" w:cs="仿宋"/>
          <w:sz w:val="32"/>
          <w:szCs w:val="32"/>
        </w:rPr>
        <w:t>许昌市魏都区食品安全监督所</w:t>
      </w:r>
      <w:r>
        <w:rPr>
          <w:rFonts w:hint="eastAsia" w:ascii="仿宋_GB2312" w:hAnsi="仿宋_GB2312" w:eastAsia="仿宋_GB2312" w:cs="仿宋_GB2312"/>
          <w:sz w:val="32"/>
          <w:szCs w:val="32"/>
        </w:rPr>
        <w:t>2016年度部门决算编制范围的单位包括：</w:t>
      </w:r>
    </w:p>
    <w:p>
      <w:pPr>
        <w:numPr>
          <w:ilvl w:val="0"/>
          <w:numId w:val="4"/>
        </w:num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1" w:name="OLE_LINK3"/>
      <w:r>
        <w:rPr>
          <w:rFonts w:hint="eastAsia" w:ascii="仿宋" w:hAnsi="仿宋" w:eastAsia="仿宋" w:cs="仿宋"/>
          <w:sz w:val="32"/>
          <w:szCs w:val="32"/>
        </w:rPr>
        <w:t>许昌市魏都区食品安全监督所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本级</w:t>
      </w:r>
    </w:p>
    <w:p>
      <w:pPr>
        <w:jc w:val="both"/>
        <w:outlineLvl w:val="0"/>
        <w:rPr>
          <w:rFonts w:ascii="隶书" w:hAnsi="隶书" w:eastAsia="隶书" w:cs="隶书"/>
          <w:sz w:val="48"/>
          <w:szCs w:val="48"/>
        </w:rPr>
      </w:pPr>
      <w:r>
        <w:rPr>
          <w:rFonts w:hint="eastAsia" w:ascii="隶书" w:hAnsi="隶书" w:eastAsia="隶书" w:cs="隶书"/>
          <w:sz w:val="48"/>
          <w:szCs w:val="48"/>
          <w:lang w:val="en-US" w:eastAsia="zh-CN"/>
        </w:rPr>
        <w:t xml:space="preserve">                </w:t>
      </w:r>
      <w:r>
        <w:rPr>
          <w:rFonts w:hint="eastAsia" w:ascii="隶书" w:hAnsi="隶书" w:eastAsia="隶书" w:cs="隶书"/>
          <w:sz w:val="48"/>
          <w:szCs w:val="48"/>
        </w:rPr>
        <w:t>第二部分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2" w:name="OLE_LINK1"/>
      <w:r>
        <w:rPr>
          <w:rFonts w:hint="eastAsia" w:ascii="黑体" w:hAnsi="黑体" w:eastAsia="黑体" w:cs="黑体"/>
          <w:sz w:val="44"/>
          <w:szCs w:val="44"/>
        </w:rPr>
        <w:t>许昌市魏都区食品安全监督所2016年度部门决算表</w:t>
      </w:r>
    </w:p>
    <w:bookmarkEnd w:id="2"/>
    <w:p>
      <w:pPr>
        <w:jc w:val="both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另附公开表</w:t>
      </w:r>
    </w:p>
    <w:p>
      <w:pPr>
        <w:spacing w:line="360" w:lineRule="auto"/>
        <w:jc w:val="both"/>
        <w:rPr>
          <w:rFonts w:ascii="隶书" w:hAnsi="隶书" w:eastAsia="隶书" w:cs="隶书"/>
          <w:sz w:val="48"/>
          <w:szCs w:val="48"/>
        </w:rPr>
      </w:pPr>
      <w:r>
        <w:rPr>
          <w:rFonts w:hint="eastAsia" w:ascii="隶书" w:hAnsi="隶书" w:eastAsia="隶书" w:cs="隶书"/>
          <w:sz w:val="48"/>
          <w:szCs w:val="48"/>
          <w:lang w:val="en-US" w:eastAsia="zh-CN"/>
        </w:rPr>
        <w:t xml:space="preserve">                 </w:t>
      </w:r>
      <w:r>
        <w:rPr>
          <w:rFonts w:hint="eastAsia" w:ascii="隶书" w:hAnsi="隶书" w:eastAsia="隶书" w:cs="隶书"/>
          <w:sz w:val="48"/>
          <w:szCs w:val="48"/>
        </w:rPr>
        <w:t>第三部分</w:t>
      </w:r>
    </w:p>
    <w:p>
      <w:pPr>
        <w:jc w:val="center"/>
        <w:rPr>
          <w:rFonts w:hint="eastAsia" w:ascii="隶书" w:hAnsi="隶书" w:eastAsia="隶书" w:cs="隶书"/>
          <w:sz w:val="48"/>
          <w:szCs w:val="48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许昌市魏都区食品安全监督所2016年度部门决算情况说</w:t>
      </w:r>
      <w:r>
        <w:rPr>
          <w:rFonts w:hint="eastAsia" w:ascii="黑体" w:hAnsi="黑体" w:eastAsia="黑体" w:cs="黑体"/>
          <w:sz w:val="48"/>
          <w:szCs w:val="48"/>
          <w:lang w:eastAsia="zh-CN"/>
        </w:rPr>
        <w:t>明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关于收入支出决算总体情况说明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2016年度收入总计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265.23</w:t>
      </w:r>
      <w:r>
        <w:rPr>
          <w:rFonts w:hint="eastAsia" w:ascii="仿宋_GB2312" w:hAnsi="宋体" w:eastAsia="仿宋_GB2312" w:cs="Courier New"/>
          <w:sz w:val="32"/>
          <w:szCs w:val="32"/>
        </w:rPr>
        <w:t>万元，支出总计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264.25</w:t>
      </w:r>
      <w:r>
        <w:rPr>
          <w:rFonts w:hint="eastAsia" w:ascii="仿宋_GB2312" w:hAnsi="宋体" w:eastAsia="仿宋_GB2312" w:cs="Courier New"/>
          <w:sz w:val="32"/>
          <w:szCs w:val="32"/>
        </w:rPr>
        <w:t>万元，与2015年相比，</w:t>
      </w:r>
      <w:bookmarkStart w:id="3" w:name="OLE_LINK5"/>
      <w:r>
        <w:rPr>
          <w:rFonts w:hint="eastAsia" w:ascii="仿宋_GB2312" w:hAnsi="宋体" w:eastAsia="仿宋_GB2312" w:cs="Courier New"/>
          <w:sz w:val="32"/>
          <w:szCs w:val="32"/>
        </w:rPr>
        <w:t>收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入</w:t>
      </w:r>
      <w:r>
        <w:rPr>
          <w:rFonts w:hint="eastAsia" w:ascii="仿宋_GB2312" w:hAnsi="宋体" w:eastAsia="仿宋_GB2312" w:cs="Courier New"/>
          <w:sz w:val="32"/>
          <w:szCs w:val="32"/>
        </w:rPr>
        <w:t>增加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28.13万元，</w:t>
      </w:r>
      <w:r>
        <w:rPr>
          <w:rFonts w:hint="eastAsia" w:ascii="仿宋_GB2312" w:hAnsi="宋体" w:eastAsia="仿宋_GB2312" w:cs="Courier New"/>
          <w:sz w:val="32"/>
          <w:szCs w:val="32"/>
        </w:rPr>
        <w:t>增长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10.6</w:t>
      </w:r>
      <w:r>
        <w:rPr>
          <w:rFonts w:hint="eastAsia" w:ascii="仿宋_GB2312" w:hAnsi="宋体" w:eastAsia="仿宋_GB2312" w:cs="Courier New"/>
          <w:sz w:val="32"/>
          <w:szCs w:val="32"/>
        </w:rPr>
        <w:t>%。</w:t>
      </w:r>
      <w:bookmarkStart w:id="4" w:name="OLE_LINK6"/>
      <w:bookmarkEnd w:id="3"/>
      <w:r>
        <w:rPr>
          <w:rFonts w:hint="eastAsia" w:ascii="仿宋_GB2312" w:hAnsi="宋体" w:eastAsia="仿宋_GB2312" w:cs="Courier New"/>
          <w:sz w:val="32"/>
          <w:szCs w:val="32"/>
        </w:rPr>
        <w:t>支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出</w:t>
      </w:r>
      <w:bookmarkStart w:id="5" w:name="OLE_LINK2"/>
      <w:r>
        <w:rPr>
          <w:rFonts w:hint="eastAsia" w:ascii="仿宋_GB2312" w:hAnsi="宋体" w:eastAsia="仿宋_GB2312" w:cs="Courier New"/>
          <w:sz w:val="32"/>
          <w:szCs w:val="32"/>
        </w:rPr>
        <w:t>增加</w:t>
      </w:r>
      <w:bookmarkEnd w:id="5"/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27.15</w:t>
      </w:r>
      <w:r>
        <w:rPr>
          <w:rFonts w:hint="eastAsia" w:ascii="仿宋_GB2312" w:hAnsi="宋体" w:eastAsia="仿宋_GB2312" w:cs="Courier New"/>
          <w:sz w:val="32"/>
          <w:szCs w:val="32"/>
        </w:rPr>
        <w:t>万元，</w:t>
      </w:r>
      <w:bookmarkStart w:id="6" w:name="OLE_LINK4"/>
      <w:r>
        <w:rPr>
          <w:rFonts w:hint="eastAsia" w:ascii="仿宋_GB2312" w:hAnsi="宋体" w:eastAsia="仿宋_GB2312" w:cs="Courier New"/>
          <w:sz w:val="32"/>
          <w:szCs w:val="32"/>
        </w:rPr>
        <w:t>增长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Courier New"/>
          <w:sz w:val="32"/>
          <w:szCs w:val="32"/>
        </w:rPr>
        <w:t>%。</w:t>
      </w:r>
      <w:bookmarkEnd w:id="6"/>
    </w:p>
    <w:bookmarkEnd w:id="4"/>
    <w:p>
      <w:pPr>
        <w:numPr>
          <w:numId w:val="0"/>
        </w:numPr>
        <w:adjustRightInd w:val="0"/>
        <w:snapToGrid w:val="0"/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sz w:val="32"/>
          <w:szCs w:val="32"/>
        </w:rPr>
        <w:t>关于收入决算情况说明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Courier New"/>
          <w:sz w:val="32"/>
          <w:szCs w:val="32"/>
        </w:rPr>
        <w:t>2016年度</w:t>
      </w:r>
      <w:r>
        <w:rPr>
          <w:rFonts w:hint="eastAsia" w:ascii="仿宋_GB2312" w:hAnsi="Times New Roman" w:eastAsia="仿宋_GB2312"/>
          <w:sz w:val="32"/>
          <w:szCs w:val="32"/>
        </w:rPr>
        <w:t>收入合计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265.23</w:t>
      </w:r>
      <w:r>
        <w:rPr>
          <w:rFonts w:hint="eastAsia" w:ascii="仿宋_GB2312" w:hAnsi="Times New Roman" w:eastAsia="仿宋_GB2312"/>
          <w:sz w:val="32"/>
          <w:szCs w:val="32"/>
        </w:rPr>
        <w:t>万元，其中：财政拨款收入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265.23</w:t>
      </w:r>
    </w:p>
    <w:p>
      <w:pPr>
        <w:adjustRightInd w:val="0"/>
        <w:snapToGrid w:val="0"/>
        <w:spacing w:line="360" w:lineRule="auto"/>
        <w:jc w:val="both"/>
        <w:rPr>
          <w:rFonts w:ascii="宋体" w:hAnsi="宋体" w:eastAsia="宋体" w:cs="宋体"/>
          <w:sz w:val="24"/>
        </w:rPr>
      </w:pPr>
      <w:r>
        <w:rPr>
          <w:rFonts w:hint="eastAsia" w:ascii="仿宋_GB2312" w:hAnsi="Times New Roman" w:eastAsia="仿宋_GB2312"/>
          <w:sz w:val="32"/>
          <w:szCs w:val="32"/>
        </w:rPr>
        <w:t>万元，占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100</w:t>
      </w:r>
      <w:r>
        <w:rPr>
          <w:rFonts w:ascii="仿宋_GB2312" w:hAnsi="Times New Roman" w:eastAsia="仿宋_GB2312"/>
          <w:sz w:val="32"/>
          <w:szCs w:val="32"/>
        </w:rPr>
        <w:t>%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numPr>
          <w:numId w:val="0"/>
        </w:numPr>
        <w:adjustRightInd w:val="0"/>
        <w:snapToGrid w:val="0"/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           </w:t>
      </w:r>
      <w:r>
        <w:rPr>
          <w:rFonts w:hint="eastAsia" w:ascii="黑体" w:hAnsi="黑体" w:eastAsia="黑体"/>
          <w:sz w:val="32"/>
          <w:szCs w:val="32"/>
        </w:rPr>
        <w:t>关于支出决算情况说明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2016年度支出合计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264.25</w:t>
      </w:r>
      <w:r>
        <w:rPr>
          <w:rFonts w:hint="eastAsia" w:ascii="仿宋_GB2312" w:hAnsi="宋体" w:eastAsia="仿宋_GB2312" w:cs="Courier New"/>
          <w:sz w:val="32"/>
          <w:szCs w:val="32"/>
        </w:rPr>
        <w:t>万元，其中：基本支出251.35万元，占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95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</w:rPr>
        <w:t>；项目支出12.9万元，占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4.8</w:t>
      </w:r>
      <w:r>
        <w:rPr>
          <w:rFonts w:hint="eastAsia" w:ascii="仿宋_GB2312" w:hAnsi="宋体" w:eastAsia="仿宋_GB2312" w:cs="Courier New"/>
          <w:sz w:val="32"/>
          <w:szCs w:val="32"/>
        </w:rPr>
        <w:t>%；</w:t>
      </w:r>
    </w:p>
    <w:p>
      <w:pPr>
        <w:numPr>
          <w:numId w:val="0"/>
        </w:numPr>
        <w:adjustRightInd w:val="0"/>
        <w:snapToGrid w:val="0"/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一、</w:t>
      </w:r>
      <w:r>
        <w:rPr>
          <w:rFonts w:hint="eastAsia" w:ascii="黑体" w:hAnsi="黑体" w:eastAsia="黑体"/>
          <w:sz w:val="32"/>
          <w:szCs w:val="32"/>
        </w:rPr>
        <w:t>关于财政拨款收入支出决算总体情况说明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2016年财政拨款收支总决算265.23万元。与2015年相比，财政拨款收收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入</w:t>
      </w:r>
      <w:r>
        <w:rPr>
          <w:rFonts w:hint="eastAsia" w:ascii="仿宋_GB2312" w:hAnsi="宋体" w:eastAsia="仿宋_GB2312" w:cs="Courier New"/>
          <w:sz w:val="32"/>
          <w:szCs w:val="32"/>
        </w:rPr>
        <w:t>增加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28.13万元，</w:t>
      </w:r>
      <w:r>
        <w:rPr>
          <w:rFonts w:hint="eastAsia" w:ascii="仿宋_GB2312" w:hAnsi="宋体" w:eastAsia="仿宋_GB2312" w:cs="Courier New"/>
          <w:sz w:val="32"/>
          <w:szCs w:val="32"/>
        </w:rPr>
        <w:t>增长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10.6</w:t>
      </w:r>
      <w:r>
        <w:rPr>
          <w:rFonts w:hint="eastAsia" w:ascii="仿宋_GB2312" w:hAnsi="宋体" w:eastAsia="仿宋_GB2312" w:cs="Courier New"/>
          <w:sz w:val="32"/>
          <w:szCs w:val="32"/>
        </w:rPr>
        <w:t>%。支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出</w:t>
      </w:r>
      <w:r>
        <w:rPr>
          <w:rFonts w:hint="eastAsia" w:ascii="仿宋_GB2312" w:hAnsi="宋体" w:eastAsia="仿宋_GB2312" w:cs="Courier New"/>
          <w:sz w:val="32"/>
          <w:szCs w:val="32"/>
        </w:rPr>
        <w:t>增加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27.15</w:t>
      </w:r>
      <w:r>
        <w:rPr>
          <w:rFonts w:hint="eastAsia" w:ascii="仿宋_GB2312" w:hAnsi="宋体" w:eastAsia="仿宋_GB2312" w:cs="Courier New"/>
          <w:sz w:val="32"/>
          <w:szCs w:val="32"/>
        </w:rPr>
        <w:t>万元，增长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Courier New"/>
          <w:sz w:val="32"/>
          <w:szCs w:val="32"/>
        </w:rPr>
        <w:t>%。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   </w:t>
      </w:r>
      <w:r>
        <w:rPr>
          <w:rFonts w:hint="eastAsia" w:ascii="黑体" w:hAnsi="黑体" w:eastAsia="黑体"/>
          <w:sz w:val="32"/>
          <w:szCs w:val="32"/>
        </w:rPr>
        <w:t>关于一般公共预算财政拨款支出决算情况说明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财政拨款支出决算总体情况。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2016年一般公共预算财政拨款支出264.25万元，占支出合计的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Courier New"/>
          <w:sz w:val="32"/>
          <w:szCs w:val="32"/>
        </w:rPr>
        <w:t>%。与2015年相比，一般公共预算财政拨款支出增加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38.45</w:t>
      </w:r>
      <w:r>
        <w:rPr>
          <w:rFonts w:hint="eastAsia" w:ascii="仿宋_GB2312" w:hAnsi="宋体" w:eastAsia="仿宋_GB2312" w:cs="Courier New"/>
          <w:sz w:val="32"/>
          <w:szCs w:val="32"/>
        </w:rPr>
        <w:t>万元，增长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14.5</w:t>
      </w:r>
      <w:r>
        <w:rPr>
          <w:rFonts w:hint="eastAsia" w:ascii="仿宋_GB2312" w:hAnsi="宋体" w:eastAsia="仿宋_GB2312" w:cs="Courier New"/>
          <w:sz w:val="32"/>
          <w:szCs w:val="32"/>
        </w:rPr>
        <w:t>%。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财政拨款支出决算结构情况。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2016年度一般公共预算财政拨款支出264.25万元，主要用于以下方面：行政运行支出251.35万元，占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95.11</w:t>
      </w:r>
      <w:r>
        <w:rPr>
          <w:rFonts w:hint="eastAsia" w:ascii="仿宋_GB2312" w:hAnsi="宋体" w:eastAsia="仿宋_GB2312" w:cs="Courier New"/>
          <w:sz w:val="32"/>
          <w:szCs w:val="32"/>
        </w:rPr>
        <w:t>%；一般行政管理事务支出12.9万元，占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4.88</w:t>
      </w:r>
      <w:r>
        <w:rPr>
          <w:rFonts w:hint="eastAsia" w:ascii="仿宋_GB2312" w:hAnsi="宋体" w:eastAsia="仿宋_GB2312" w:cs="Courier New"/>
          <w:sz w:val="32"/>
          <w:szCs w:val="32"/>
        </w:rPr>
        <w:t>%；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财政拨款支出决算具体情况。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2016年度一般公共预算财政拨款支出年初预算为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247.25</w:t>
      </w:r>
      <w:r>
        <w:rPr>
          <w:rFonts w:hint="eastAsia" w:ascii="仿宋_GB2312" w:hAnsi="宋体" w:eastAsia="仿宋_GB2312" w:cs="Courier New"/>
          <w:sz w:val="32"/>
          <w:szCs w:val="32"/>
        </w:rPr>
        <w:t>万元，支出决算为</w:t>
      </w:r>
      <w:bookmarkStart w:id="7" w:name="OLE_LINK7"/>
      <w:r>
        <w:rPr>
          <w:rFonts w:hint="eastAsia" w:ascii="仿宋_GB2312" w:hAnsi="宋体" w:eastAsia="仿宋_GB2312" w:cs="Courier New"/>
          <w:sz w:val="32"/>
          <w:szCs w:val="32"/>
        </w:rPr>
        <w:t>264.25</w:t>
      </w:r>
      <w:bookmarkEnd w:id="7"/>
      <w:r>
        <w:rPr>
          <w:rFonts w:hint="eastAsia" w:ascii="仿宋_GB2312" w:hAnsi="宋体" w:eastAsia="仿宋_GB2312" w:cs="Courier New"/>
          <w:sz w:val="32"/>
          <w:szCs w:val="32"/>
        </w:rPr>
        <w:t>万元，完成年初预算的</w:t>
      </w:r>
      <w:bookmarkStart w:id="8" w:name="OLE_LINK8"/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106</w:t>
      </w:r>
      <w:bookmarkEnd w:id="8"/>
      <w:r>
        <w:rPr>
          <w:rFonts w:hint="eastAsia" w:ascii="仿宋_GB2312" w:hAnsi="宋体" w:eastAsia="仿宋_GB2312" w:cs="Courier New"/>
          <w:sz w:val="32"/>
          <w:szCs w:val="32"/>
        </w:rPr>
        <w:t>%。决算数大于预算数的主要原因：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工资改革</w:t>
      </w:r>
      <w:r>
        <w:rPr>
          <w:rFonts w:hint="eastAsia" w:ascii="仿宋_GB2312" w:hAnsi="宋体" w:eastAsia="仿宋_GB2312" w:cs="Courier New"/>
          <w:sz w:val="32"/>
          <w:szCs w:val="32"/>
        </w:rPr>
        <w:t>。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 w:cs="Courier New"/>
          <w:b/>
          <w:bCs/>
          <w:sz w:val="32"/>
          <w:szCs w:val="32"/>
        </w:rPr>
      </w:pPr>
      <w:r>
        <w:rPr>
          <w:rFonts w:hint="eastAsia" w:ascii="仿宋_GB2312" w:hAnsi="宋体" w:eastAsia="仿宋_GB2312" w:cs="Courier New"/>
          <w:b/>
          <w:bCs/>
          <w:sz w:val="32"/>
          <w:szCs w:val="32"/>
        </w:rPr>
        <w:t>一般公共服务（类）财政事务（款）行政运行（项）。</w:t>
      </w:r>
      <w:r>
        <w:rPr>
          <w:rFonts w:hint="eastAsia" w:ascii="仿宋_GB2312" w:hAnsi="宋体" w:eastAsia="仿宋_GB2312" w:cs="Courier New"/>
          <w:sz w:val="32"/>
          <w:szCs w:val="32"/>
        </w:rPr>
        <w:t>年初预算为</w:t>
      </w:r>
      <w:bookmarkStart w:id="9" w:name="OLE_LINK9"/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247.25</w:t>
      </w:r>
      <w:bookmarkEnd w:id="9"/>
      <w:r>
        <w:rPr>
          <w:rFonts w:hint="eastAsia" w:ascii="仿宋_GB2312" w:hAnsi="宋体" w:eastAsia="仿宋_GB2312" w:cs="Courier New"/>
          <w:sz w:val="32"/>
          <w:szCs w:val="32"/>
        </w:rPr>
        <w:t>万元，支出决算为</w:t>
      </w:r>
      <w:bookmarkStart w:id="10" w:name="OLE_LINK10"/>
      <w:r>
        <w:rPr>
          <w:rFonts w:hint="eastAsia" w:ascii="仿宋_GB2312" w:hAnsi="宋体" w:eastAsia="仿宋_GB2312" w:cs="Courier New"/>
          <w:sz w:val="32"/>
          <w:szCs w:val="32"/>
        </w:rPr>
        <w:t>264.25</w:t>
      </w:r>
      <w:bookmarkEnd w:id="10"/>
      <w:r>
        <w:rPr>
          <w:rFonts w:hint="eastAsia" w:ascii="仿宋_GB2312" w:hAnsi="宋体" w:eastAsia="仿宋_GB2312" w:cs="Courier New"/>
          <w:sz w:val="32"/>
          <w:szCs w:val="32"/>
        </w:rPr>
        <w:t>万元，完成年初预算的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106</w:t>
      </w:r>
      <w:r>
        <w:rPr>
          <w:rFonts w:hint="eastAsia" w:ascii="仿宋_GB2312" w:hAnsi="宋体" w:eastAsia="仿宋_GB2312" w:cs="Courier New"/>
          <w:sz w:val="32"/>
          <w:szCs w:val="32"/>
        </w:rPr>
        <w:t>%。决算数大于预算数的主要原因是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工资改革</w:t>
      </w:r>
      <w:r>
        <w:rPr>
          <w:rFonts w:hint="eastAsia" w:ascii="仿宋_GB2312" w:hAnsi="宋体" w:eastAsia="仿宋_GB2312" w:cs="Courier New"/>
          <w:sz w:val="32"/>
          <w:szCs w:val="32"/>
        </w:rPr>
        <w:t>。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 w:cs="Courier New"/>
          <w:b/>
          <w:bCs/>
          <w:sz w:val="32"/>
          <w:szCs w:val="32"/>
        </w:rPr>
      </w:pPr>
      <w:r>
        <w:rPr>
          <w:rFonts w:hint="eastAsia" w:ascii="仿宋_GB2312" w:hAnsi="宋体" w:eastAsia="仿宋_GB2312" w:cs="Courier New"/>
          <w:b/>
          <w:bCs/>
          <w:sz w:val="32"/>
          <w:szCs w:val="32"/>
        </w:rPr>
        <w:t>一般公共服务（类）财政事务（款）一般行政管理事务（项）。</w:t>
      </w:r>
      <w:r>
        <w:rPr>
          <w:rFonts w:hint="eastAsia" w:ascii="仿宋_GB2312" w:hAnsi="宋体" w:eastAsia="仿宋_GB2312" w:cs="Courier New"/>
          <w:sz w:val="32"/>
          <w:szCs w:val="32"/>
        </w:rPr>
        <w:t>年初预算为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247.25</w:t>
      </w:r>
      <w:r>
        <w:rPr>
          <w:rFonts w:hint="eastAsia" w:ascii="仿宋_GB2312" w:hAnsi="宋体" w:eastAsia="仿宋_GB2312" w:cs="Courier New"/>
          <w:sz w:val="32"/>
          <w:szCs w:val="32"/>
        </w:rPr>
        <w:t>万元，支出决算为264.25万元，完成年初预算的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106</w:t>
      </w:r>
      <w:r>
        <w:rPr>
          <w:rFonts w:hint="eastAsia" w:ascii="仿宋_GB2312" w:hAnsi="宋体" w:eastAsia="仿宋_GB2312" w:cs="Courier New"/>
          <w:sz w:val="32"/>
          <w:szCs w:val="32"/>
        </w:rPr>
        <w:t>%。决算数大于（小于）预算数的主要原因是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工资改革</w:t>
      </w:r>
      <w:r>
        <w:rPr>
          <w:rFonts w:hint="eastAsia" w:ascii="仿宋_GB2312" w:hAnsi="宋体" w:eastAsia="仿宋_GB2312" w:cs="Courier New"/>
          <w:sz w:val="32"/>
          <w:szCs w:val="32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四、</w:t>
      </w:r>
      <w:r>
        <w:rPr>
          <w:rFonts w:hint="eastAsia" w:ascii="黑体" w:hAnsi="黑体" w:eastAsia="黑体"/>
          <w:sz w:val="32"/>
          <w:szCs w:val="32"/>
        </w:rPr>
        <w:t>关于一般公共预算财政拨款基本支出决算情况说明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2016年一般公共预算财政拨款基本支出264.25万元，其中：</w:t>
      </w:r>
      <w:r>
        <w:rPr>
          <w:rFonts w:hint="eastAsia" w:ascii="仿宋_GB2312" w:hAnsi="Times New Roman" w:eastAsia="仿宋_GB2312" w:cs="仿宋_GB2312"/>
          <w:bCs/>
          <w:spacing w:val="-1"/>
          <w:kern w:val="0"/>
          <w:sz w:val="32"/>
          <w:szCs w:val="32"/>
        </w:rPr>
        <w:t>人员经费219.38</w:t>
      </w:r>
      <w:bookmarkStart w:id="11" w:name="OLE_LINK13"/>
      <w:r>
        <w:rPr>
          <w:rFonts w:hint="eastAsia" w:ascii="仿宋_GB2312" w:hAnsi="Times New Roman" w:eastAsia="仿宋_GB2312" w:cs="仿宋_GB2312"/>
          <w:bCs/>
          <w:spacing w:val="-1"/>
          <w:kern w:val="0"/>
          <w:sz w:val="32"/>
          <w:szCs w:val="32"/>
        </w:rPr>
        <w:t>万元</w:t>
      </w:r>
      <w:bookmarkEnd w:id="11"/>
      <w:r>
        <w:rPr>
          <w:rFonts w:hint="eastAsia" w:ascii="仿宋_GB2312" w:hAnsi="宋体" w:eastAsia="仿宋_GB2312" w:cs="Courier New"/>
          <w:bCs/>
          <w:sz w:val="32"/>
          <w:szCs w:val="32"/>
        </w:rPr>
        <w:t>，</w:t>
      </w:r>
      <w:r>
        <w:rPr>
          <w:rFonts w:hint="eastAsia" w:ascii="仿宋_GB2312" w:hAnsi="宋体" w:eastAsia="仿宋_GB2312" w:cs="Courier New"/>
          <w:sz w:val="32"/>
          <w:szCs w:val="32"/>
        </w:rPr>
        <w:t>主要包括：</w:t>
      </w:r>
      <w:r>
        <w:rPr>
          <w:rFonts w:hint="eastAsia" w:ascii="宋体" w:hAnsi="宋体" w:eastAsia="仿宋" w:cs="宋体"/>
          <w:b/>
          <w:i w:val="0"/>
          <w:color w:val="000000"/>
          <w:kern w:val="0"/>
          <w:sz w:val="32"/>
          <w:szCs w:val="22"/>
          <w:u w:val="none"/>
          <w:lang w:val="en-US" w:eastAsia="zh-CN" w:bidi="ar"/>
        </w:rPr>
        <w:t>工资福利支出</w:t>
      </w:r>
      <w:r>
        <w:rPr>
          <w:rFonts w:hint="eastAsia" w:ascii="宋体" w:hAnsi="宋体" w:eastAsia="仿宋" w:cs="宋体"/>
          <w:i w:val="0"/>
          <w:color w:val="000000"/>
          <w:kern w:val="0"/>
          <w:sz w:val="32"/>
          <w:szCs w:val="22"/>
          <w:u w:val="none"/>
          <w:lang w:val="en-US" w:eastAsia="zh-CN" w:bidi="ar"/>
        </w:rPr>
        <w:t>199.48</w:t>
      </w:r>
      <w:r>
        <w:rPr>
          <w:rFonts w:hint="eastAsia" w:ascii="仿宋_GB2312" w:hAnsi="Times New Roman" w:eastAsia="仿宋_GB2312" w:cs="仿宋_GB2312"/>
          <w:bCs/>
          <w:spacing w:val="-1"/>
          <w:kern w:val="0"/>
          <w:sz w:val="32"/>
          <w:szCs w:val="32"/>
        </w:rPr>
        <w:t>万元</w:t>
      </w:r>
      <w:r>
        <w:rPr>
          <w:rFonts w:hint="eastAsia" w:ascii="宋体" w:hAnsi="宋体" w:eastAsia="仿宋" w:cs="宋体"/>
          <w:i w:val="0"/>
          <w:color w:val="000000"/>
          <w:kern w:val="0"/>
          <w:sz w:val="32"/>
          <w:szCs w:val="22"/>
          <w:u w:val="none"/>
          <w:lang w:val="en-US" w:eastAsia="zh-CN" w:bidi="ar"/>
        </w:rPr>
        <w:t>，津贴补贴104.75</w:t>
      </w:r>
      <w:r>
        <w:rPr>
          <w:rFonts w:hint="eastAsia" w:ascii="仿宋_GB2312" w:hAnsi="Times New Roman" w:eastAsia="仿宋_GB2312" w:cs="仿宋_GB2312"/>
          <w:bCs/>
          <w:spacing w:val="-1"/>
          <w:kern w:val="0"/>
          <w:sz w:val="32"/>
          <w:szCs w:val="32"/>
        </w:rPr>
        <w:t>万元</w:t>
      </w:r>
      <w:r>
        <w:rPr>
          <w:rFonts w:hint="eastAsia" w:ascii="宋体" w:hAnsi="宋体" w:eastAsia="仿宋" w:cs="宋体"/>
          <w:i w:val="0"/>
          <w:color w:val="000000"/>
          <w:kern w:val="0"/>
          <w:sz w:val="32"/>
          <w:szCs w:val="22"/>
          <w:u w:val="none"/>
          <w:lang w:val="en-US" w:eastAsia="zh-CN" w:bidi="ar"/>
        </w:rPr>
        <w:t>，奖金13.82</w:t>
      </w:r>
      <w:r>
        <w:rPr>
          <w:rFonts w:hint="eastAsia" w:ascii="仿宋_GB2312" w:hAnsi="Times New Roman" w:eastAsia="仿宋_GB2312" w:cs="仿宋_GB2312"/>
          <w:bCs/>
          <w:spacing w:val="-1"/>
          <w:kern w:val="0"/>
          <w:sz w:val="32"/>
          <w:szCs w:val="32"/>
        </w:rPr>
        <w:t>万元</w:t>
      </w:r>
      <w:r>
        <w:rPr>
          <w:rFonts w:hint="eastAsia" w:ascii="宋体" w:hAnsi="宋体" w:eastAsia="仿宋" w:cs="宋体"/>
          <w:i w:val="0"/>
          <w:color w:val="000000"/>
          <w:kern w:val="0"/>
          <w:sz w:val="32"/>
          <w:szCs w:val="22"/>
          <w:u w:val="none"/>
          <w:lang w:val="en-US" w:eastAsia="zh-CN" w:bidi="ar"/>
        </w:rPr>
        <w:t>，其他社会保障缴费17.02</w:t>
      </w:r>
      <w:r>
        <w:rPr>
          <w:rFonts w:hint="eastAsia" w:ascii="仿宋_GB2312" w:hAnsi="Times New Roman" w:eastAsia="仿宋_GB2312" w:cs="仿宋_GB2312"/>
          <w:bCs/>
          <w:spacing w:val="-1"/>
          <w:kern w:val="0"/>
          <w:sz w:val="32"/>
          <w:szCs w:val="32"/>
        </w:rPr>
        <w:t>万元</w:t>
      </w:r>
      <w:r>
        <w:rPr>
          <w:rFonts w:hint="eastAsia" w:ascii="宋体" w:hAnsi="宋体" w:eastAsia="仿宋" w:cs="宋体"/>
          <w:i w:val="0"/>
          <w:color w:val="000000"/>
          <w:kern w:val="0"/>
          <w:sz w:val="32"/>
          <w:szCs w:val="22"/>
          <w:u w:val="none"/>
          <w:lang w:val="en-US" w:eastAsia="zh-CN" w:bidi="ar"/>
        </w:rPr>
        <w:t>，住房公积金19.9</w:t>
      </w:r>
      <w:r>
        <w:rPr>
          <w:rFonts w:hint="eastAsia" w:ascii="仿宋_GB2312" w:hAnsi="Times New Roman" w:eastAsia="仿宋_GB2312" w:cs="仿宋_GB2312"/>
          <w:bCs/>
          <w:spacing w:val="-1"/>
          <w:kern w:val="0"/>
          <w:sz w:val="32"/>
          <w:szCs w:val="32"/>
        </w:rPr>
        <w:t>万元</w:t>
      </w:r>
      <w:r>
        <w:rPr>
          <w:rFonts w:hint="eastAsia" w:ascii="仿宋_GB2312" w:hAnsi="Times New Roman" w:eastAsia="仿宋_GB2312" w:cs="仿宋_GB2312"/>
          <w:bCs/>
          <w:spacing w:val="-1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仿宋_GB2312"/>
          <w:b/>
          <w:spacing w:val="-1"/>
          <w:kern w:val="0"/>
          <w:sz w:val="32"/>
          <w:szCs w:val="32"/>
        </w:rPr>
        <w:t>公用经费</w:t>
      </w:r>
      <w:r>
        <w:rPr>
          <w:rFonts w:hint="eastAsia" w:ascii="仿宋_GB2312" w:hAnsi="Times New Roman" w:eastAsia="仿宋_GB2312" w:cs="仿宋_GB2312"/>
          <w:spacing w:val="-2"/>
          <w:kern w:val="0"/>
          <w:sz w:val="32"/>
          <w:szCs w:val="32"/>
        </w:rPr>
        <w:t>31.98</w:t>
      </w:r>
      <w:bookmarkStart w:id="12" w:name="OLE_LINK14"/>
      <w:r>
        <w:rPr>
          <w:rFonts w:hint="eastAsia" w:ascii="仿宋_GB2312" w:hAnsi="Times New Roman" w:eastAsia="仿宋_GB2312" w:cs="仿宋_GB2312"/>
          <w:spacing w:val="-2"/>
          <w:kern w:val="0"/>
          <w:sz w:val="32"/>
          <w:szCs w:val="32"/>
        </w:rPr>
        <w:t>万元</w:t>
      </w:r>
      <w:bookmarkEnd w:id="12"/>
      <w:r>
        <w:rPr>
          <w:rFonts w:hint="eastAsia" w:ascii="仿宋_GB2312" w:hAnsi="宋体" w:eastAsia="仿宋_GB2312" w:cs="Courier New"/>
          <w:sz w:val="32"/>
          <w:szCs w:val="32"/>
        </w:rPr>
        <w:t>，主要包括：办公费2.73</w:t>
      </w:r>
      <w:r>
        <w:rPr>
          <w:rFonts w:hint="eastAsia" w:ascii="仿宋_GB2312" w:hAnsi="Times New Roman" w:eastAsia="仿宋_GB2312" w:cs="仿宋_GB2312"/>
          <w:spacing w:val="-2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，印刷费3.93</w:t>
      </w:r>
      <w:r>
        <w:rPr>
          <w:rFonts w:hint="eastAsia" w:ascii="仿宋_GB2312" w:hAnsi="Times New Roman" w:eastAsia="仿宋_GB2312" w:cs="仿宋_GB2312"/>
          <w:spacing w:val="-2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，取暖费0.14</w:t>
      </w:r>
      <w:r>
        <w:rPr>
          <w:rFonts w:hint="eastAsia" w:ascii="仿宋_GB2312" w:hAnsi="Times New Roman" w:eastAsia="仿宋_GB2312" w:cs="仿宋_GB2312"/>
          <w:spacing w:val="-2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，工会经费4.97</w:t>
      </w:r>
      <w:r>
        <w:rPr>
          <w:rFonts w:hint="eastAsia" w:ascii="仿宋_GB2312" w:hAnsi="Times New Roman" w:eastAsia="仿宋_GB2312" w:cs="仿宋_GB2312"/>
          <w:spacing w:val="-2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，福利费4.06</w:t>
      </w:r>
      <w:r>
        <w:rPr>
          <w:rFonts w:hint="eastAsia" w:ascii="仿宋_GB2312" w:hAnsi="Times New Roman" w:eastAsia="仿宋_GB2312" w:cs="仿宋_GB2312"/>
          <w:spacing w:val="-2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，公务用车运行维护费2.72</w:t>
      </w:r>
      <w:r>
        <w:rPr>
          <w:rFonts w:hint="eastAsia" w:ascii="仿宋_GB2312" w:hAnsi="Times New Roman" w:eastAsia="仿宋_GB2312" w:cs="仿宋_GB2312"/>
          <w:spacing w:val="-2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，办公设备购置1.56</w:t>
      </w:r>
      <w:r>
        <w:rPr>
          <w:rFonts w:hint="eastAsia" w:ascii="仿宋_GB2312" w:hAnsi="Times New Roman" w:eastAsia="仿宋_GB2312" w:cs="仿宋_GB2312"/>
          <w:spacing w:val="-2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，其他商品和服务支出11.68</w:t>
      </w:r>
      <w:r>
        <w:rPr>
          <w:rFonts w:hint="eastAsia" w:ascii="仿宋_GB2312" w:hAnsi="Times New Roman" w:eastAsia="仿宋_GB2312" w:cs="仿宋_GB2312"/>
          <w:spacing w:val="-2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，邮电费0.2</w:t>
      </w:r>
      <w:r>
        <w:rPr>
          <w:rFonts w:hint="eastAsia" w:ascii="仿宋_GB2312" w:hAnsi="Times New Roman" w:eastAsia="仿宋_GB2312" w:cs="仿宋_GB2312"/>
          <w:spacing w:val="-2"/>
          <w:kern w:val="0"/>
          <w:sz w:val="32"/>
          <w:szCs w:val="32"/>
        </w:rPr>
        <w:t>万元</w:t>
      </w:r>
      <w:r>
        <w:rPr>
          <w:rFonts w:hint="eastAsia" w:ascii="仿宋_GB2312" w:hAnsi="Times New Roman" w:eastAsia="仿宋_GB2312" w:cs="仿宋_GB2312"/>
          <w:spacing w:val="-2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7"/>
        </w:numPr>
        <w:adjustRightInd w:val="0"/>
        <w:snapToGrid w:val="0"/>
        <w:spacing w:line="360" w:lineRule="auto"/>
        <w:ind w:firstLine="640" w:firstLineChars="200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关于一般公共预算财政拨款“三公”经费支出决算情况说明</w:t>
      </w:r>
    </w:p>
    <w:p>
      <w:pPr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“三公”经费财政拨款支出决算总体情况说明。</w:t>
      </w:r>
    </w:p>
    <w:p>
      <w:pPr>
        <w:spacing w:line="336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2016年度“三公”经费财政拨款支出预算为</w:t>
      </w:r>
      <w:bookmarkStart w:id="13" w:name="OLE_LINK12"/>
      <w:r>
        <w:rPr>
          <w:rFonts w:hint="eastAsia" w:ascii="仿宋_GB2312" w:hAnsi="宋体" w:eastAsia="仿宋_GB2312" w:cs="Courier New"/>
          <w:sz w:val="32"/>
          <w:szCs w:val="32"/>
        </w:rPr>
        <w:t>2.72</w:t>
      </w:r>
      <w:bookmarkEnd w:id="13"/>
      <w:r>
        <w:rPr>
          <w:rFonts w:hint="eastAsia" w:ascii="仿宋_GB2312" w:hAnsi="宋体" w:eastAsia="仿宋_GB2312" w:cs="Courier New"/>
          <w:sz w:val="32"/>
          <w:szCs w:val="32"/>
        </w:rPr>
        <w:t>万元，支出决算为2.72万元，完成预算的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Courier New"/>
          <w:sz w:val="32"/>
          <w:szCs w:val="32"/>
        </w:rPr>
        <w:t>2016年度“三公”经费财政拨款支出决算数比2015年减少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1.08</w:t>
      </w:r>
      <w:r>
        <w:rPr>
          <w:rFonts w:hint="eastAsia" w:ascii="仿宋_GB2312" w:hAnsi="宋体" w:eastAsia="仿宋_GB2312" w:cs="Courier New"/>
          <w:sz w:val="32"/>
          <w:szCs w:val="32"/>
        </w:rPr>
        <w:t>万元，下降</w:t>
      </w:r>
      <w:bookmarkStart w:id="14" w:name="OLE_LINK11"/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39</w:t>
      </w:r>
      <w:r>
        <w:rPr>
          <w:rFonts w:hint="eastAsia" w:ascii="仿宋_GB2312" w:hAnsi="宋体" w:eastAsia="仿宋_GB2312" w:cs="Courier New"/>
          <w:sz w:val="32"/>
          <w:szCs w:val="32"/>
        </w:rPr>
        <w:t>%，</w:t>
      </w:r>
      <w:bookmarkEnd w:id="14"/>
      <w:r>
        <w:rPr>
          <w:rFonts w:hint="eastAsia" w:ascii="仿宋_GB2312" w:hAnsi="宋体" w:eastAsia="仿宋_GB2312" w:cs="Courier New"/>
          <w:sz w:val="32"/>
          <w:szCs w:val="32"/>
        </w:rPr>
        <w:t>公务用车购置及运行费支出决算减少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1.08</w:t>
      </w:r>
      <w:r>
        <w:rPr>
          <w:rFonts w:hint="eastAsia" w:ascii="仿宋_GB2312" w:hAnsi="宋体" w:eastAsia="仿宋_GB2312" w:cs="Courier New"/>
          <w:sz w:val="32"/>
          <w:szCs w:val="32"/>
        </w:rPr>
        <w:t>万元，下降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39</w:t>
      </w:r>
      <w:r>
        <w:rPr>
          <w:rFonts w:hint="eastAsia" w:ascii="仿宋_GB2312" w:hAnsi="宋体" w:eastAsia="仿宋_GB2312" w:cs="Courier New"/>
          <w:sz w:val="32"/>
          <w:szCs w:val="32"/>
        </w:rPr>
        <w:t>%；公务用车购置及运行费支出增加（减少）的主要原因是</w:t>
      </w:r>
      <w:r>
        <w:rPr>
          <w:rFonts w:hint="eastAsia" w:ascii="仿宋_GB2312" w:eastAsia="仿宋_GB2312"/>
          <w:sz w:val="32"/>
          <w:szCs w:val="32"/>
          <w:lang w:eastAsia="zh-CN"/>
        </w:rPr>
        <w:t>体制改革，业务量减少</w:t>
      </w:r>
      <w:r>
        <w:rPr>
          <w:rFonts w:hint="eastAsia" w:ascii="仿宋_GB2312" w:eastAsia="仿宋_GB2312"/>
          <w:sz w:val="32"/>
          <w:szCs w:val="32"/>
        </w:rPr>
        <w:t>。具体情况如下：</w:t>
      </w:r>
    </w:p>
    <w:p>
      <w:pPr>
        <w:numPr>
          <w:ilvl w:val="0"/>
          <w:numId w:val="9"/>
        </w:numPr>
        <w:spacing w:line="336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因公出国（境）费决算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万元。包括单位工作人员公务出国（境）的差旅费、伙食补助费、杂费、培训费等支出。</w:t>
      </w:r>
    </w:p>
    <w:p>
      <w:pPr>
        <w:numPr>
          <w:ilvl w:val="0"/>
          <w:numId w:val="0"/>
        </w:numPr>
        <w:spacing w:line="336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 xml:space="preserve">年使用财政拨款安排本单位出国（境）团组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 xml:space="preserve"> 个、参加其他单位组织的出国（境）团组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个，全年因公出国（境）团组共计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个，累计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人次。</w:t>
      </w:r>
    </w:p>
    <w:p>
      <w:pPr>
        <w:spacing w:line="336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2．公务接待费决算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万元，包括单位按规定开支的各类公务接待支出，接待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 xml:space="preserve"> 批次、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人次。201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年公务接待费支出与上年</w:t>
      </w:r>
      <w:r>
        <w:rPr>
          <w:rFonts w:hint="eastAsia" w:ascii="仿宋_GB2312" w:eastAsia="仿宋_GB2312"/>
          <w:sz w:val="32"/>
          <w:szCs w:val="32"/>
          <w:lang w:eastAsia="zh-CN"/>
        </w:rPr>
        <w:t>持平</w:t>
      </w:r>
    </w:p>
    <w:p>
      <w:pPr>
        <w:spacing w:line="336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公务用车购置及运行维护费决算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2.3</w:t>
      </w:r>
      <w:r>
        <w:rPr>
          <w:rFonts w:hint="eastAsia" w:ascii="仿宋_GB2312" w:eastAsia="仿宋_GB2312"/>
          <w:sz w:val="32"/>
          <w:szCs w:val="32"/>
        </w:rPr>
        <w:t>万元，占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sz w:val="32"/>
          <w:szCs w:val="32"/>
        </w:rPr>
        <w:t xml:space="preserve"> %。包括单位公务用车购置费及燃料费、维修费、过路过桥费、保险费等支出。其中：</w:t>
      </w:r>
    </w:p>
    <w:p>
      <w:pPr>
        <w:spacing w:line="336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公务用车购置费支出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 xml:space="preserve">年使用财政拨款购置公务用车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辆。</w:t>
      </w:r>
    </w:p>
    <w:p>
      <w:pPr>
        <w:spacing w:line="336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公务用车运行维护费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2.3</w:t>
      </w:r>
      <w:r>
        <w:rPr>
          <w:rFonts w:hint="eastAsia" w:ascii="仿宋_GB2312" w:eastAsia="仿宋_GB2312"/>
          <w:sz w:val="32"/>
          <w:szCs w:val="32"/>
        </w:rPr>
        <w:t>万元。主要用于</w:t>
      </w:r>
      <w:r>
        <w:rPr>
          <w:rFonts w:hint="eastAsia" w:ascii="仿宋_GB2312" w:eastAsia="仿宋_GB2312"/>
          <w:sz w:val="32"/>
          <w:szCs w:val="32"/>
          <w:lang w:eastAsia="zh-CN"/>
        </w:rPr>
        <w:t>食品监管执法车辆运行及维护费用</w:t>
      </w:r>
      <w:r>
        <w:rPr>
          <w:rFonts w:hint="eastAsia" w:ascii="仿宋_GB2312" w:eastAsia="仿宋_GB2312"/>
          <w:sz w:val="32"/>
          <w:szCs w:val="32"/>
        </w:rPr>
        <w:t>。与上年相比减</w:t>
      </w:r>
      <w:r>
        <w:rPr>
          <w:rFonts w:hint="eastAsia" w:ascii="仿宋_GB2312" w:eastAsia="仿宋_GB2312"/>
          <w:sz w:val="32"/>
          <w:szCs w:val="32"/>
          <w:lang w:eastAsia="zh-CN"/>
        </w:rPr>
        <w:t>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1.08</w:t>
      </w:r>
      <w:r>
        <w:rPr>
          <w:rFonts w:hint="eastAsia" w:ascii="仿宋_GB2312" w:eastAsia="仿宋_GB2312"/>
          <w:sz w:val="32"/>
          <w:szCs w:val="32"/>
        </w:rPr>
        <w:t>万元，减</w:t>
      </w:r>
      <w:r>
        <w:rPr>
          <w:rFonts w:hint="eastAsia" w:ascii="仿宋_GB2312" w:eastAsia="仿宋_GB2312"/>
          <w:sz w:val="32"/>
          <w:szCs w:val="32"/>
          <w:lang w:eastAsia="zh-CN"/>
        </w:rPr>
        <w:t>少</w:t>
      </w:r>
      <w:r>
        <w:rPr>
          <w:rFonts w:hint="eastAsia" w:ascii="仿宋_GB2312" w:eastAsia="仿宋_GB2312"/>
          <w:sz w:val="32"/>
          <w:szCs w:val="32"/>
        </w:rPr>
        <w:t>变化原因说明：</w:t>
      </w:r>
      <w:r>
        <w:rPr>
          <w:rFonts w:hint="eastAsia" w:ascii="仿宋_GB2312" w:eastAsia="仿宋_GB2312"/>
          <w:sz w:val="32"/>
          <w:szCs w:val="32"/>
          <w:lang w:eastAsia="zh-CN"/>
        </w:rPr>
        <w:t>体制改革，业务量减少</w:t>
      </w:r>
      <w:r>
        <w:rPr>
          <w:rFonts w:hint="eastAsia" w:ascii="仿宋_GB2312" w:eastAsia="仿宋_GB2312"/>
          <w:sz w:val="32"/>
          <w:szCs w:val="32"/>
        </w:rPr>
        <w:t>。201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年财政拨款开支运行维护费的公务用车保有量为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 xml:space="preserve"> 辆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均为执法用车。</w:t>
      </w:r>
    </w:p>
    <w:p>
      <w:pPr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“三公”经费财政拨款支出决算具体情况说明。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2016年度“三公”经费财政拨款支出决算中，公务用车购置及运行费支出决算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2.3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Courier New"/>
          <w:sz w:val="32"/>
          <w:szCs w:val="32"/>
        </w:rPr>
        <w:t>%；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</w:p>
    <w:p>
      <w:pPr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b/>
          <w:bCs/>
          <w:sz w:val="32"/>
          <w:szCs w:val="32"/>
        </w:rPr>
        <w:t>因公出国（境）费</w:t>
      </w:r>
      <w:r>
        <w:rPr>
          <w:rFonts w:hint="eastAsia" w:ascii="仿宋_GB2312" w:hAnsi="宋体" w:eastAsia="仿宋_GB2312" w:cs="Courier New"/>
          <w:sz w:val="32"/>
          <w:szCs w:val="32"/>
        </w:rPr>
        <w:t>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万元。全年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未</w:t>
      </w:r>
      <w:r>
        <w:rPr>
          <w:rFonts w:hint="eastAsia" w:ascii="仿宋_GB2312" w:hAnsi="宋体" w:eastAsia="仿宋_GB2312" w:cs="Courier New"/>
          <w:sz w:val="32"/>
          <w:szCs w:val="32"/>
        </w:rPr>
        <w:t>安排厅（局）机关和单位因公出国（境）团组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个，累计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人次。开支内容包括</w:t>
      </w:r>
      <w:r>
        <w:rPr>
          <w:rFonts w:hint="eastAsia" w:ascii="仿宋_GB2312" w:hAnsi="宋体" w:eastAsia="仿宋_GB2312" w:cs="Courier New"/>
          <w:b/>
          <w:bCs/>
          <w:sz w:val="32"/>
          <w:szCs w:val="32"/>
        </w:rPr>
        <w:t>会议</w:t>
      </w:r>
      <w:r>
        <w:rPr>
          <w:rFonts w:hint="eastAsia" w:ascii="仿宋_GB2312" w:hAnsi="宋体" w:eastAsia="仿宋_GB2312" w:cs="Courier New"/>
          <w:sz w:val="32"/>
          <w:szCs w:val="32"/>
        </w:rPr>
        <w:t>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万元，</w:t>
      </w:r>
      <w:r>
        <w:rPr>
          <w:rFonts w:hint="eastAsia" w:ascii="仿宋_GB2312" w:hAnsi="宋体" w:eastAsia="仿宋_GB2312" w:cs="Courier New"/>
          <w:b/>
          <w:bCs/>
          <w:sz w:val="32"/>
          <w:szCs w:val="32"/>
        </w:rPr>
        <w:t>出国谈判、工作磋商</w:t>
      </w:r>
      <w:r>
        <w:rPr>
          <w:rFonts w:hint="eastAsia" w:ascii="仿宋_GB2312" w:hAnsi="宋体" w:eastAsia="仿宋_GB2312" w:cs="Courier New"/>
          <w:sz w:val="32"/>
          <w:szCs w:val="32"/>
        </w:rPr>
        <w:t>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元。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b/>
          <w:bCs/>
          <w:sz w:val="32"/>
          <w:szCs w:val="32"/>
        </w:rPr>
        <w:t>境外业务培训</w:t>
      </w:r>
      <w:r>
        <w:rPr>
          <w:rFonts w:hint="eastAsia" w:ascii="仿宋_GB2312" w:hAnsi="宋体" w:eastAsia="仿宋_GB2312" w:cs="Courier New"/>
          <w:sz w:val="32"/>
          <w:szCs w:val="32"/>
        </w:rPr>
        <w:t>支出支出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万元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。</w:t>
      </w:r>
    </w:p>
    <w:p>
      <w:pPr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 w:cs="Courier New"/>
          <w:b/>
          <w:bCs/>
          <w:sz w:val="32"/>
          <w:szCs w:val="32"/>
        </w:rPr>
      </w:pPr>
      <w:r>
        <w:rPr>
          <w:rFonts w:hint="eastAsia" w:ascii="仿宋_GB2312" w:hAnsi="宋体" w:eastAsia="仿宋_GB2312" w:cs="Courier New"/>
          <w:b/>
          <w:bCs/>
          <w:sz w:val="32"/>
          <w:szCs w:val="32"/>
        </w:rPr>
        <w:t>公务用车购置及运行费</w:t>
      </w:r>
      <w:r>
        <w:rPr>
          <w:rFonts w:hint="eastAsia" w:ascii="仿宋_GB2312" w:hAnsi="宋体" w:eastAsia="仿宋_GB2312" w:cs="Courier New"/>
          <w:sz w:val="32"/>
          <w:szCs w:val="32"/>
        </w:rPr>
        <w:t>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2.72</w:t>
      </w:r>
      <w:r>
        <w:rPr>
          <w:rFonts w:hint="eastAsia" w:ascii="仿宋_GB2312" w:hAnsi="宋体" w:eastAsia="仿宋_GB2312" w:cs="Courier New"/>
          <w:sz w:val="32"/>
          <w:szCs w:val="32"/>
        </w:rPr>
        <w:t>万元。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b/>
          <w:bCs/>
          <w:sz w:val="32"/>
          <w:szCs w:val="32"/>
        </w:rPr>
        <w:t>公务用车购置</w:t>
      </w:r>
      <w:r>
        <w:rPr>
          <w:rFonts w:hint="eastAsia" w:ascii="仿宋_GB2312" w:hAnsi="宋体" w:eastAsia="仿宋_GB2312" w:cs="Courier New"/>
          <w:sz w:val="32"/>
          <w:szCs w:val="32"/>
        </w:rPr>
        <w:t>支出为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万元。</w:t>
      </w:r>
      <w:r>
        <w:rPr>
          <w:rFonts w:hint="eastAsia" w:ascii="仿宋_GB2312" w:hAnsi="宋体" w:eastAsia="仿宋_GB2312" w:cs="Courier New"/>
          <w:b/>
          <w:bCs/>
          <w:sz w:val="32"/>
          <w:szCs w:val="32"/>
        </w:rPr>
        <w:t>公务用车运行</w:t>
      </w:r>
      <w:r>
        <w:rPr>
          <w:rFonts w:hint="eastAsia" w:ascii="仿宋_GB2312" w:hAnsi="宋体" w:eastAsia="仿宋_GB2312" w:cs="Courier New"/>
          <w:sz w:val="32"/>
          <w:szCs w:val="32"/>
        </w:rPr>
        <w:t>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2.72</w:t>
      </w:r>
      <w:r>
        <w:rPr>
          <w:rFonts w:hint="eastAsia" w:ascii="仿宋_GB2312" w:hAnsi="宋体" w:eastAsia="仿宋_GB2312" w:cs="Courier New"/>
          <w:sz w:val="32"/>
          <w:szCs w:val="32"/>
        </w:rPr>
        <w:t>万元。主要用于</w:t>
      </w:r>
      <w:r>
        <w:rPr>
          <w:rFonts w:hint="eastAsia" w:ascii="仿宋_GB2312" w:eastAsia="仿宋_GB2312"/>
          <w:sz w:val="32"/>
          <w:szCs w:val="32"/>
          <w:lang w:eastAsia="zh-CN"/>
        </w:rPr>
        <w:t>食品监管执法车辆运行及维护费用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宋体" w:eastAsia="仿宋_GB2312" w:cs="Courier New"/>
          <w:sz w:val="32"/>
          <w:szCs w:val="32"/>
        </w:rPr>
        <w:t>2016年期末，公务用车保有量为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Courier New"/>
          <w:sz w:val="32"/>
          <w:szCs w:val="32"/>
        </w:rPr>
        <w:t>辆。</w:t>
      </w:r>
    </w:p>
    <w:p>
      <w:pPr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 w:cs="Courier New"/>
          <w:b/>
          <w:bCs/>
          <w:sz w:val="32"/>
          <w:szCs w:val="32"/>
        </w:rPr>
      </w:pPr>
      <w:r>
        <w:rPr>
          <w:rFonts w:hint="eastAsia" w:ascii="仿宋_GB2312" w:hAnsi="宋体" w:eastAsia="仿宋_GB2312" w:cs="Courier New"/>
          <w:b/>
          <w:bCs/>
          <w:sz w:val="32"/>
          <w:szCs w:val="32"/>
        </w:rPr>
        <w:t>公务接待费支出</w:t>
      </w:r>
      <w:r>
        <w:rPr>
          <w:rFonts w:hint="eastAsia" w:ascii="仿宋_GB2312" w:hAnsi="宋体" w:eastAsia="仿宋_GB2312" w:cs="Courier New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b/>
          <w:bCs/>
          <w:sz w:val="32"/>
          <w:szCs w:val="32"/>
        </w:rPr>
        <w:t>万元。</w:t>
      </w:r>
    </w:p>
    <w:p>
      <w:pPr>
        <w:numPr>
          <w:ilvl w:val="0"/>
          <w:numId w:val="7"/>
        </w:numPr>
        <w:adjustRightInd w:val="0"/>
        <w:snapToGrid w:val="0"/>
        <w:spacing w:line="360" w:lineRule="auto"/>
        <w:ind w:firstLine="640" w:firstLineChars="200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关于预算绩效情况说明</w:t>
      </w:r>
    </w:p>
    <w:p>
      <w:pPr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绩效管理工作开展情况。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根据财政预算管理要求，</w:t>
      </w:r>
      <w:r>
        <w:rPr>
          <w:rFonts w:hint="eastAsia" w:ascii="仿宋" w:hAnsi="仿宋" w:eastAsia="仿宋" w:cs="仿宋"/>
          <w:sz w:val="32"/>
          <w:szCs w:val="32"/>
        </w:rPr>
        <w:t>魏都区食品安全监督所</w:t>
      </w:r>
      <w:r>
        <w:rPr>
          <w:rFonts w:hint="eastAsia" w:ascii="仿宋_GB2312" w:hAnsi="宋体" w:eastAsia="仿宋_GB2312" w:cs="Courier New"/>
          <w:sz w:val="32"/>
          <w:szCs w:val="32"/>
        </w:rPr>
        <w:t>对2016年度一般公共预算项目支出全面开展绩效自评。其中，一级项目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个，二级项目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个，共涉及预算资金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万元，自评覆盖率达到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%。</w:t>
      </w:r>
    </w:p>
    <w:p>
      <w:pPr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部门决算中项目绩效自评结果。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魏都区食品安全监督所</w:t>
      </w:r>
      <w:r>
        <w:rPr>
          <w:rFonts w:hint="eastAsia" w:ascii="仿宋_GB2312" w:hAnsi="宋体" w:eastAsia="仿宋_GB2312" w:cs="Courier New"/>
          <w:sz w:val="32"/>
          <w:szCs w:val="32"/>
        </w:rPr>
        <w:t>在2016年度部门决算中增加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项目绩效评价结果。根据2016年年初设定的绩效目标，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项目自评得分为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分。</w:t>
      </w:r>
    </w:p>
    <w:p>
      <w:pPr>
        <w:numPr>
          <w:ilvl w:val="0"/>
          <w:numId w:val="7"/>
        </w:numPr>
        <w:adjustRightInd w:val="0"/>
        <w:snapToGrid w:val="0"/>
        <w:spacing w:line="360" w:lineRule="auto"/>
        <w:ind w:firstLine="640" w:firstLineChars="200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关于政府性基金预算财政拨款支出决算情况说明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2016年度政府性基金预算财政拨款支出年初预算为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万元，支出决算为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万元，完成年初预算的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%。</w:t>
      </w:r>
    </w:p>
    <w:p>
      <w:pPr>
        <w:numPr>
          <w:ilvl w:val="0"/>
          <w:numId w:val="7"/>
        </w:numPr>
        <w:adjustRightInd w:val="0"/>
        <w:snapToGrid w:val="0"/>
        <w:spacing w:line="360" w:lineRule="auto"/>
        <w:ind w:firstLine="640" w:firstLineChars="200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其他重要事项的情况说明</w:t>
      </w:r>
    </w:p>
    <w:p>
      <w:pPr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楷体_GB2312" w:hAnsi="Times New Roman" w:eastAsia="楷体_GB2312" w:cs="黑体"/>
          <w:bCs/>
          <w:kern w:val="0"/>
          <w:sz w:val="32"/>
          <w:szCs w:val="32"/>
        </w:rPr>
      </w:pPr>
      <w:r>
        <w:rPr>
          <w:rFonts w:hint="eastAsia" w:ascii="楷体_GB2312" w:hAnsi="Times New Roman" w:eastAsia="楷体_GB2312" w:cs="仿宋_GB2312"/>
          <w:bCs/>
          <w:kern w:val="0"/>
          <w:sz w:val="32"/>
          <w:szCs w:val="32"/>
        </w:rPr>
        <w:t>机关运行经费支出情况。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2016年度机关运行经费支出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万元，比2015年增加（减少）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万元，增长下降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</w:rPr>
        <w:t>。</w:t>
      </w:r>
    </w:p>
    <w:p>
      <w:pPr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楷体_GB2312" w:hAnsi="Times New Roman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Times New Roman" w:eastAsia="楷体_GB2312" w:cs="仿宋_GB2312"/>
          <w:bCs/>
          <w:kern w:val="0"/>
          <w:sz w:val="32"/>
          <w:szCs w:val="32"/>
        </w:rPr>
        <w:t>政府采购支出情况。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2016年度政府采购支出总额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万元，其中：政府采购货物支出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元，政府采购工程支出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万元，政府采购服务支出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万元。</w:t>
      </w:r>
    </w:p>
    <w:p>
      <w:pPr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楷体_GB2312" w:hAnsi="Times New Roman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Times New Roman" w:eastAsia="楷体_GB2312" w:cs="仿宋_GB2312"/>
          <w:bCs/>
          <w:kern w:val="0"/>
          <w:sz w:val="32"/>
          <w:szCs w:val="32"/>
        </w:rPr>
        <w:t>国有资产占用情况。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2016年期末，</w:t>
      </w:r>
      <w:r>
        <w:rPr>
          <w:rFonts w:hint="eastAsia" w:ascii="仿宋" w:hAnsi="仿宋" w:eastAsia="仿宋" w:cs="仿宋"/>
          <w:sz w:val="32"/>
          <w:szCs w:val="32"/>
        </w:rPr>
        <w:t>魏都区食品安全监督所</w:t>
      </w:r>
      <w:r>
        <w:rPr>
          <w:rFonts w:hint="eastAsia" w:ascii="仿宋_GB2312" w:hAnsi="宋体" w:eastAsia="仿宋_GB2312" w:cs="Courier New"/>
          <w:sz w:val="32"/>
          <w:szCs w:val="32"/>
        </w:rPr>
        <w:t>共有车辆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Courier New"/>
          <w:sz w:val="32"/>
          <w:szCs w:val="32"/>
        </w:rPr>
        <w:t>辆，一般执法执勤用车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Courier New"/>
          <w:sz w:val="32"/>
          <w:szCs w:val="32"/>
        </w:rPr>
        <w:t>辆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Courier New"/>
          <w:sz w:val="32"/>
          <w:szCs w:val="32"/>
        </w:rPr>
        <w:t>单价50万元以上通用设备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套，单位价值100万元以上专用设备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台。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  <w:sectPr>
          <w:footerReference r:id="rId4" w:type="default"/>
          <w:pgSz w:w="11906" w:h="16838"/>
          <w:pgMar w:top="1440" w:right="1531" w:bottom="1440" w:left="1587" w:header="850" w:footer="992" w:gutter="0"/>
          <w:pgNumType w:fmt="numberInDash"/>
          <w:cols w:space="0" w:num="1"/>
          <w:docGrid w:type="lines" w:linePitch="317" w:charSpace="0"/>
        </w:sectPr>
      </w:pPr>
      <w:bookmarkStart w:id="15" w:name="_GoBack"/>
      <w:bookmarkEnd w:id="15"/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仿宋_GB2312" w:hAnsi="宋体" w:eastAsia="仿宋_GB2312" w:cs="Courier New"/>
          <w:sz w:val="52"/>
          <w:szCs w:val="52"/>
          <w:highlight w:val="yellow"/>
        </w:rPr>
      </w:pPr>
    </w:p>
    <w:sectPr>
      <w:pgSz w:w="11906" w:h="16838"/>
      <w:pgMar w:top="1440" w:right="1531" w:bottom="1440" w:left="1587" w:header="850" w:footer="992" w:gutter="0"/>
      <w:pgNumType w:fmt="numberInDash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- 26 -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- 26 -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CAC38"/>
    <w:multiLevelType w:val="singleLevel"/>
    <w:tmpl w:val="57FCAC38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57FF0806"/>
    <w:multiLevelType w:val="singleLevel"/>
    <w:tmpl w:val="57FF080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71BE17"/>
    <w:multiLevelType w:val="singleLevel"/>
    <w:tmpl w:val="5971BE17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971C193"/>
    <w:multiLevelType w:val="singleLevel"/>
    <w:tmpl w:val="5971C193"/>
    <w:lvl w:ilvl="0" w:tentative="0">
      <w:start w:val="2"/>
      <w:numFmt w:val="chineseCounting"/>
      <w:suff w:val="nothing"/>
      <w:lvlText w:val="%1、"/>
      <w:lvlJc w:val="left"/>
    </w:lvl>
  </w:abstractNum>
  <w:abstractNum w:abstractNumId="4">
    <w:nsid w:val="5971C2CF"/>
    <w:multiLevelType w:val="singleLevel"/>
    <w:tmpl w:val="5971C2C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5971DAC2"/>
    <w:multiLevelType w:val="singleLevel"/>
    <w:tmpl w:val="5971DAC2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6">
    <w:nsid w:val="5971DBDD"/>
    <w:multiLevelType w:val="singleLevel"/>
    <w:tmpl w:val="5971DBDD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7">
    <w:nsid w:val="5971DD00"/>
    <w:multiLevelType w:val="singleLevel"/>
    <w:tmpl w:val="5971DD0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>
    <w:nsid w:val="5971E093"/>
    <w:multiLevelType w:val="singleLevel"/>
    <w:tmpl w:val="5971E09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9">
    <w:nsid w:val="5971E2D2"/>
    <w:multiLevelType w:val="singleLevel"/>
    <w:tmpl w:val="5971E2D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0">
    <w:nsid w:val="5971E776"/>
    <w:multiLevelType w:val="singleLevel"/>
    <w:tmpl w:val="5971E77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1">
    <w:nsid w:val="5971EDEF"/>
    <w:multiLevelType w:val="singleLevel"/>
    <w:tmpl w:val="5971EDEF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 w:val="0"/>
  <w:bordersDoNotSurroundFooter w:val="0"/>
  <w:documentProtection w:enforcement="0"/>
  <w:defaultTabStop w:val="420"/>
  <w:drawingGridHorizontalSpacing w:val="21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332"/>
    <w:rsid w:val="00082648"/>
    <w:rsid w:val="000B5A03"/>
    <w:rsid w:val="0010149E"/>
    <w:rsid w:val="001150B0"/>
    <w:rsid w:val="001257AC"/>
    <w:rsid w:val="00172A27"/>
    <w:rsid w:val="002929B4"/>
    <w:rsid w:val="003002EE"/>
    <w:rsid w:val="004E15FF"/>
    <w:rsid w:val="004F322F"/>
    <w:rsid w:val="00523D33"/>
    <w:rsid w:val="00573E05"/>
    <w:rsid w:val="00626D90"/>
    <w:rsid w:val="006F7789"/>
    <w:rsid w:val="00894A72"/>
    <w:rsid w:val="008E126F"/>
    <w:rsid w:val="009108DE"/>
    <w:rsid w:val="00922F7D"/>
    <w:rsid w:val="0096328E"/>
    <w:rsid w:val="009B030F"/>
    <w:rsid w:val="009F5C07"/>
    <w:rsid w:val="00A145DB"/>
    <w:rsid w:val="00B458CF"/>
    <w:rsid w:val="00B67101"/>
    <w:rsid w:val="00C946F3"/>
    <w:rsid w:val="00CD71F9"/>
    <w:rsid w:val="00DD33BE"/>
    <w:rsid w:val="00DF29E2"/>
    <w:rsid w:val="00E01EDC"/>
    <w:rsid w:val="00E108EA"/>
    <w:rsid w:val="00F900E1"/>
    <w:rsid w:val="04453648"/>
    <w:rsid w:val="05DB00B9"/>
    <w:rsid w:val="09BB2134"/>
    <w:rsid w:val="0CA434B9"/>
    <w:rsid w:val="0E4C156E"/>
    <w:rsid w:val="10BD4691"/>
    <w:rsid w:val="11585E8B"/>
    <w:rsid w:val="15492582"/>
    <w:rsid w:val="18F44D57"/>
    <w:rsid w:val="1D415527"/>
    <w:rsid w:val="1E7D3B34"/>
    <w:rsid w:val="22A51050"/>
    <w:rsid w:val="247F132C"/>
    <w:rsid w:val="283D43BA"/>
    <w:rsid w:val="28AF1495"/>
    <w:rsid w:val="29B70F08"/>
    <w:rsid w:val="2BA4769A"/>
    <w:rsid w:val="2CD06EF4"/>
    <w:rsid w:val="2F335194"/>
    <w:rsid w:val="30963758"/>
    <w:rsid w:val="32EF40CE"/>
    <w:rsid w:val="34920D5F"/>
    <w:rsid w:val="35AB7798"/>
    <w:rsid w:val="372974AC"/>
    <w:rsid w:val="37515EC2"/>
    <w:rsid w:val="3949702E"/>
    <w:rsid w:val="3BE408BA"/>
    <w:rsid w:val="3C7F703B"/>
    <w:rsid w:val="3D70189E"/>
    <w:rsid w:val="42271DDB"/>
    <w:rsid w:val="4346642D"/>
    <w:rsid w:val="43910C0D"/>
    <w:rsid w:val="48B52937"/>
    <w:rsid w:val="48EE3EF3"/>
    <w:rsid w:val="4C1E2F28"/>
    <w:rsid w:val="4CFC29CC"/>
    <w:rsid w:val="4D6E1856"/>
    <w:rsid w:val="502C04C1"/>
    <w:rsid w:val="51DE24AB"/>
    <w:rsid w:val="5651051D"/>
    <w:rsid w:val="56EC004A"/>
    <w:rsid w:val="57E961A8"/>
    <w:rsid w:val="581E77CF"/>
    <w:rsid w:val="58B06254"/>
    <w:rsid w:val="5AF25131"/>
    <w:rsid w:val="600176AC"/>
    <w:rsid w:val="65332BB8"/>
    <w:rsid w:val="664A46E0"/>
    <w:rsid w:val="66755D81"/>
    <w:rsid w:val="68A121F7"/>
    <w:rsid w:val="68A9241E"/>
    <w:rsid w:val="6B6D695A"/>
    <w:rsid w:val="6FD41D7F"/>
    <w:rsid w:val="72416639"/>
    <w:rsid w:val="738C1FE2"/>
    <w:rsid w:val="75531EF6"/>
    <w:rsid w:val="75D0003D"/>
    <w:rsid w:val="764F7877"/>
    <w:rsid w:val="7AA141FF"/>
    <w:rsid w:val="7B733D5C"/>
    <w:rsid w:val="7C445B57"/>
    <w:rsid w:val="7D713C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31"/>
    <w:basedOn w:val="4"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7">
    <w:name w:val="font01"/>
    <w:basedOn w:val="4"/>
    <w:qFormat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character" w:customStyle="1" w:styleId="8">
    <w:name w:val="font4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69F228-EB6C-4133-BF3D-0C48DA8800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3325</Words>
  <Characters>3696</Characters>
  <Lines>71</Lines>
  <Paragraphs>20</Paragraphs>
  <ScaleCrop>false</ScaleCrop>
  <LinksUpToDate>false</LinksUpToDate>
  <CharactersWithSpaces>10114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wsj</dc:creator>
  <cp:lastModifiedBy>Administrator</cp:lastModifiedBy>
  <cp:lastPrinted>2017-07-25T02:47:00Z</cp:lastPrinted>
  <dcterms:modified xsi:type="dcterms:W3CDTF">2017-10-21T07:32:15Z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