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sz w:val="32"/>
          <w:szCs w:val="32"/>
          <w:lang w:eastAsia="zh-CN"/>
        </w:rPr>
      </w:pPr>
    </w:p>
    <w:p>
      <w:pPr>
        <w:jc w:val="both"/>
        <w:rPr>
          <w:rFonts w:hint="eastAsia" w:ascii="方正小标宋简体" w:hAnsi="方正小标宋简体" w:eastAsia="方正小标宋简体" w:cs="方正小标宋简体"/>
          <w:sz w:val="32"/>
          <w:szCs w:val="32"/>
          <w:lang w:eastAsia="zh-CN"/>
        </w:rPr>
      </w:pPr>
      <w:bookmarkStart w:id="0" w:name="_GoBack"/>
      <w:bookmarkEnd w:id="0"/>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32"/>
          <w:szCs w:val="32"/>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魏都区司法行政</w:t>
      </w:r>
      <w:r>
        <w:rPr>
          <w:rFonts w:hint="eastAsia" w:ascii="方正小标宋简体" w:hAnsi="方正小标宋简体" w:eastAsia="方正小标宋简体" w:cs="方正小标宋简体"/>
          <w:sz w:val="44"/>
          <w:szCs w:val="44"/>
        </w:rPr>
        <w:t>系统</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年度部门</w:t>
      </w:r>
      <w:r>
        <w:rPr>
          <w:rFonts w:hint="eastAsia" w:ascii="方正小标宋简体" w:hAnsi="方正小标宋简体" w:eastAsia="方正小标宋简体" w:cs="方正小标宋简体"/>
          <w:sz w:val="44"/>
          <w:szCs w:val="44"/>
          <w:lang w:eastAsia="zh-CN"/>
        </w:rPr>
        <w:t>决</w:t>
      </w:r>
      <w:r>
        <w:rPr>
          <w:rFonts w:hint="eastAsia" w:ascii="方正小标宋简体" w:hAnsi="方正小标宋简体" w:eastAsia="方正小标宋简体" w:cs="方正小标宋简体"/>
          <w:sz w:val="44"/>
          <w:szCs w:val="44"/>
        </w:rPr>
        <w:t>算公开情况说明</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魏都区司法行政系统</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魏都区司法系统</w:t>
      </w:r>
      <w:r>
        <w:rPr>
          <w:rFonts w:hint="eastAsia" w:ascii="黑体" w:hAnsi="黑体" w:eastAsia="黑体" w:cs="黑体"/>
          <w:sz w:val="32"/>
          <w:szCs w:val="32"/>
        </w:rPr>
        <w:t>2016年度部门决算表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魏都区司法系统</w:t>
      </w:r>
      <w:r>
        <w:rPr>
          <w:rFonts w:hint="eastAsia" w:ascii="黑体" w:hAnsi="黑体" w:eastAsia="黑体" w:cs="黑体"/>
          <w:sz w:val="32"/>
          <w:szCs w:val="32"/>
        </w:rPr>
        <w:t>2016年度部门决算情况说明</w:t>
      </w:r>
    </w:p>
    <w:p>
      <w:pPr>
        <w:jc w:val="left"/>
        <w:sectPr>
          <w:footerReference r:id="rId4" w:type="default"/>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32"/>
          <w:szCs w:val="32"/>
        </w:rPr>
      </w:pPr>
    </w:p>
    <w:p>
      <w:pPr>
        <w:jc w:val="center"/>
        <w:outlineLvl w:val="0"/>
        <w:sectPr>
          <w:footerReference r:id="rId5" w:type="default"/>
          <w:pgSz w:w="11906" w:h="16838"/>
          <w:pgMar w:top="1440" w:right="1531" w:bottom="1440" w:left="1587" w:header="850" w:footer="992" w:gutter="0"/>
          <w:pgNumType w:fmt="numberInDash" w:start="1"/>
          <w:cols w:space="720" w:num="1"/>
          <w:docGrid w:type="lines" w:linePitch="317"/>
        </w:sectPr>
      </w:pPr>
      <w:r>
        <w:rPr>
          <w:rFonts w:hint="eastAsia" w:ascii="隶书" w:hAnsi="隶书" w:eastAsia="隶书" w:cs="隶书"/>
          <w:sz w:val="48"/>
          <w:szCs w:val="48"/>
        </w:rPr>
        <w:t>第一部分　　</w:t>
      </w:r>
      <w:r>
        <w:rPr>
          <w:rFonts w:hint="eastAsia" w:ascii="隶书" w:hAnsi="隶书" w:eastAsia="隶书" w:cs="隶书"/>
          <w:sz w:val="48"/>
          <w:szCs w:val="48"/>
          <w:lang w:eastAsia="zh-CN"/>
        </w:rPr>
        <w:t>魏都区司法行政系统</w:t>
      </w:r>
      <w:r>
        <w:rPr>
          <w:rFonts w:hint="eastAsia" w:ascii="隶书" w:hAnsi="隶书" w:eastAsia="隶书" w:cs="隶书"/>
          <w:sz w:val="48"/>
          <w:szCs w:val="48"/>
        </w:rPr>
        <w:t>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 w:hAnsi="仿宋" w:eastAsia="仿宋" w:cs="仿宋"/>
          <w:sz w:val="32"/>
          <w:szCs w:val="32"/>
          <w:lang w:val="en-US" w:eastAsia="zh-CN"/>
        </w:rPr>
        <w:t>根据《中共魏都区委魏都区人民政府关于印发&lt;魏都区人民政府职能转变和机构改革实施意见&gt;的通知》（许区发[2015]6号）文件精神，设置区司法局、公证处。区司法局是主管司法行政工作的区政府工作部门，公证处是魏都区司法局的二级机构。</w:t>
      </w:r>
    </w:p>
    <w:p>
      <w:pPr>
        <w:widowControl w:val="0"/>
        <w:numPr>
          <w:numId w:val="0"/>
        </w:numPr>
        <w:wordWrap/>
        <w:spacing w:before="0" w:after="0" w:line="560" w:lineRule="exact"/>
        <w:ind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（二）区司法局和公证处设5个内设机构。</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1、办公室</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拟定全区司法行政工作发展规划并督促落实：对局长办公会、局领导决定事项的政务工作落实情况进行督查督办；负责统计、文秘、信息、机要和档案管理工作。</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2、政工室</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指导全区司法行政系统队伍建设和思想作风、工作作风建设；负责局机关和局属单位机构编制、劳动工资及机关的干部人事工作；负责局机关和局属单位的党群工作；对协管干部进行考核并提出任免交流意见；负责局机关和全区行政系统干部教育培训工作；负责局机关老干部的服务与管理工作，指导局属单位老干部工作；负责局机关和局属单位计划生育管理工作。（政工室规格为副科级）</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3、宣教股</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负责全区司法行政法制新闻宣传报道工作；规划和组织实施法制新闻宣传报道工作；负责全区司法行政系统的对外宣传工作；组织、指导全系统法制宣传报道工作。</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4、司法鉴定及律师公证管理股</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负责司法鉴定机构及司法鉴定人员的登记管理。负责全区司法鉴定机构设立申请的初审，初审合格报送上级主管部门审核。负责全区司法鉴定机构和司法鉴定人员执业情况的监督检查。协助上级主管部门组织司法鉴定人员参加司法鉴定的教育培训。指导、监督律师、公证法律、法规和政策的执行工作；负责全区律师管理工作和律师事务所、律师执业证的年审注册工作；承担全区企事业单位法律顾问的指导、监督工作；负责全区公证机构和公证员年度考核、公证员任命及免职的申报和公证员执业证年度注册工作；组织公证员业务培训和交流，监督、检查公证质量；管理、指导全区公证机构和公证员执业活动。</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5、基层工作股</w:t>
      </w:r>
    </w:p>
    <w:p>
      <w:pPr>
        <w:widowControl w:val="0"/>
        <w:numPr>
          <w:numId w:val="0"/>
        </w:numPr>
        <w:wordWrap/>
        <w:spacing w:before="0" w:after="0" w:line="560" w:lineRule="exact"/>
        <w:ind w:left="0" w:leftChars="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监督全区司法所和人民调解、社区矫正、基层法律服务工作；指导监督全区刑满释放人员和解除劳动教养人员帮教安置工作；负责全区人民调解和基层司法所规范化建设，指导检查民间纠纷排查、调处工作。</w:t>
      </w:r>
    </w:p>
    <w:p>
      <w:pPr>
        <w:widowControl w:val="0"/>
        <w:numPr>
          <w:ilvl w:val="0"/>
          <w:numId w:val="4"/>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承担任务</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1、贯彻落实中央、省、市有关司法机关行政工作方针、政策和法律法规，组织起草全区司法行政工作规范性文件和指导性意见，制定全区司法行政工作的发展规划并组织实施。</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2、拟定全区法制宣传教育和依法治理工作规划并组织实施，管理指导全区各行业法制宣传教育、普法和依法治理工作。</w:t>
      </w:r>
    </w:p>
    <w:p>
      <w:pPr>
        <w:widowControl w:val="0"/>
        <w:numPr>
          <w:numId w:val="0"/>
        </w:numPr>
        <w:wordWrap/>
        <w:spacing w:before="0" w:after="0" w:line="560" w:lineRule="exact"/>
        <w:ind w:left="0" w:leftChars="0"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3、负责指导、监督全区律师工作、公证工作并承担相应责任。</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4、监督管理全区社区矫正工作。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5、监督管理全区法律援助工作。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6、指导、监督全区司法所建设和人民调解、社区矫正、基层法律服务和帮教安置工作。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7、负责全区司法鉴定人和司法鉴定机构的管理工作。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8、指导、监督全区司法行政队伍建设和思想作风、工作作风建设，负责局机关和局属单位的组织、人事、党务工作。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9、参与社会治安综合治理工作。</w:t>
      </w:r>
    </w:p>
    <w:p>
      <w:pPr>
        <w:widowControl w:val="0"/>
        <w:numPr>
          <w:numId w:val="0"/>
        </w:numPr>
        <w:wordWrap/>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10、承办区政府交办的其他事项。</w:t>
      </w:r>
    </w:p>
    <w:p>
      <w:pPr>
        <w:widowControl w:val="0"/>
        <w:numPr>
          <w:numId w:val="0"/>
        </w:numPr>
        <w:wordWrap/>
        <w:spacing w:before="0" w:after="0" w:line="560" w:lineRule="exact"/>
        <w:ind w:left="0" w:leftChars="0" w:right="0" w:firstLine="640"/>
        <w:jc w:val="both"/>
        <w:textAlignment w:val="auto"/>
        <w:outlineLvl w:val="9"/>
        <w:rPr>
          <w:rFonts w:hint="eastAsia" w:ascii="仿宋" w:hAnsi="仿宋" w:eastAsia="仿宋" w:cs="仿宋"/>
          <w:sz w:val="32"/>
          <w:szCs w:val="32"/>
          <w:lang w:val="en-US" w:eastAsia="zh-CN"/>
        </w:rPr>
      </w:pPr>
    </w:p>
    <w:p>
      <w:pPr>
        <w:numPr>
          <w:ilvl w:val="0"/>
          <w:numId w:val="5"/>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魏都区司法行政系统</w:t>
      </w:r>
      <w:r>
        <w:rPr>
          <w:rFonts w:hint="eastAsia" w:ascii="仿宋_GB2312" w:hAnsi="仿宋_GB2312" w:eastAsia="仿宋_GB2312" w:cs="仿宋_GB2312"/>
          <w:sz w:val="32"/>
          <w:szCs w:val="32"/>
        </w:rPr>
        <w:t>2016年度部门决算编制范围的单位包括：</w:t>
      </w:r>
    </w:p>
    <w:p>
      <w:pPr>
        <w:numPr>
          <w:ilvl w:val="0"/>
          <w:numId w:val="6"/>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魏都区司法局</w:t>
      </w:r>
      <w:r>
        <w:rPr>
          <w:rFonts w:hint="eastAsia" w:ascii="仿宋_GB2312" w:hAnsi="仿宋_GB2312" w:eastAsia="仿宋_GB2312" w:cs="仿宋_GB2312"/>
          <w:sz w:val="32"/>
          <w:szCs w:val="32"/>
        </w:rPr>
        <w:t>本级</w:t>
      </w:r>
    </w:p>
    <w:p>
      <w:pPr>
        <w:numPr>
          <w:ilvl w:val="0"/>
          <w:numId w:val="6"/>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魏都区司法局公证处</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lang w:eastAsia="zh-CN"/>
        </w:rPr>
        <w:t>魏都区司法行政系统</w:t>
      </w:r>
      <w:r>
        <w:rPr>
          <w:rFonts w:hint="eastAsia" w:ascii="隶书" w:hAnsi="隶书" w:eastAsia="隶书" w:cs="隶书"/>
          <w:sz w:val="48"/>
          <w:szCs w:val="48"/>
        </w:rPr>
        <w:t>2016年度部门决算表</w:t>
      </w:r>
    </w:p>
    <w:tbl>
      <w:tblPr>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rPr>
          <w:trHeight w:val="315" w:hRule="atLeast"/>
        </w:trPr>
        <w:tc>
          <w:tcPr>
            <w:tcW w:w="3282" w:type="dxa"/>
            <w:gridSpan w:val="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rPr>
          <w:trHeight w:val="315" w:hRule="atLeast"/>
        </w:trPr>
        <w:tc>
          <w:tcPr>
            <w:tcW w:w="3282" w:type="dxa"/>
            <w:gridSpan w:val="3"/>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713.27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717.15</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713.27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717.15</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73.39</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69.51</w:t>
            </w:r>
          </w:p>
        </w:tc>
      </w:tr>
      <w:tr>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sz w:val="16"/>
                <w:szCs w:val="16"/>
              </w:rPr>
            </w:pPr>
          </w:p>
        </w:tc>
      </w:tr>
      <w:tr>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786.66</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786.66</w:t>
            </w:r>
          </w:p>
        </w:tc>
      </w:tr>
      <w:tr>
        <w:trPr>
          <w:trHeight w:val="555" w:hRule="atLeast"/>
        </w:trPr>
        <w:tc>
          <w:tcPr>
            <w:tcW w:w="10350" w:type="dxa"/>
            <w:gridSpan w:val="10"/>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sectPr>
          <w:pgSz w:w="11906" w:h="16838"/>
          <w:pgMar w:top="1440" w:right="1800" w:bottom="1440" w:left="1800" w:header="851" w:footer="992" w:gutter="0"/>
          <w:pgNumType w:fmt="numberInDash"/>
          <w:cols w:space="720" w:num="1"/>
          <w:docGrid w:type="lines" w:linePitch="312"/>
        </w:sectPr>
      </w:pPr>
    </w:p>
    <w:tbl>
      <w:tblPr>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rPr>
          <w:trHeight w:val="285" w:hRule="atLeast"/>
        </w:trPr>
        <w:tc>
          <w:tcPr>
            <w:tcW w:w="1637"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rPr>
          <w:trHeight w:val="270" w:hRule="atLeast"/>
        </w:trPr>
        <w:tc>
          <w:tcPr>
            <w:tcW w:w="1637"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713.27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713.27</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4</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公共安全</w:t>
            </w:r>
            <w:r>
              <w:rPr>
                <w:rFonts w:hint="eastAsia" w:ascii="宋体" w:hAnsi="宋体" w:eastAsia="宋体" w:cs="宋体"/>
                <w:b/>
                <w:color w:val="000000"/>
                <w:kern w:val="0"/>
                <w:sz w:val="16"/>
                <w:szCs w:val="16"/>
              </w:rPr>
              <w:t>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713.27</w:t>
            </w:r>
            <w:r>
              <w:rPr>
                <w:rFonts w:hint="eastAsia" w:ascii="宋体" w:hAnsi="宋体" w:eastAsia="宋体" w:cs="宋体"/>
                <w:b/>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713.27</w:t>
            </w:r>
            <w:r>
              <w:rPr>
                <w:rFonts w:hint="eastAsia" w:ascii="宋体" w:hAnsi="宋体" w:eastAsia="宋体" w:cs="宋体"/>
                <w:b/>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r>
              <w:rPr>
                <w:rFonts w:hint="eastAsia" w:ascii="宋体" w:hAnsi="宋体" w:eastAsia="宋体" w:cs="宋体"/>
                <w:b/>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司法</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713.27</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713.27</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2040602</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235</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235</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2040606</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律师公证管理</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30.62</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30.62</w:t>
            </w:r>
            <w:r>
              <w:rPr>
                <w:rFonts w:hint="eastAsia" w:ascii="宋体" w:hAnsi="宋体" w:eastAsia="宋体" w:cs="宋体"/>
                <w:color w:val="000000"/>
                <w:kern w:val="0"/>
                <w:sz w:val="16"/>
                <w:szCs w:val="16"/>
              </w:rPr>
              <w:t xml:space="preserve"> </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2040607</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法律援助</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26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10337" w:type="dxa"/>
            <w:gridSpan w:val="16"/>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spacing w:line="360" w:lineRule="auto"/>
        <w:jc w:val="center"/>
        <w:sectPr>
          <w:pgSz w:w="11906" w:h="16838"/>
          <w:pgMar w:top="2098" w:right="1531" w:bottom="1984" w:left="1587" w:header="850" w:footer="992" w:gutter="0"/>
          <w:pgNumType w:fmt="numberInDash"/>
          <w:cols w:space="720" w:num="1"/>
          <w:docGrid w:type="lines" w:linePitch="317"/>
        </w:sectPr>
      </w:pPr>
    </w:p>
    <w:tbl>
      <w:tblPr>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rPr>
          <w:trHeight w:val="315" w:hRule="atLeast"/>
        </w:trPr>
        <w:tc>
          <w:tcPr>
            <w:tcW w:w="1482" w:type="dxa"/>
            <w:gridSpan w:val="2"/>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rPr>
          <w:trHeight w:val="315" w:hRule="atLeast"/>
        </w:trPr>
        <w:tc>
          <w:tcPr>
            <w:tcW w:w="1482"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补助支出</w:t>
            </w:r>
          </w:p>
        </w:tc>
      </w:tr>
      <w:tr>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449.89</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公共安全</w:t>
            </w:r>
            <w:r>
              <w:rPr>
                <w:rFonts w:hint="eastAsia" w:ascii="宋体" w:hAnsi="宋体" w:eastAsia="宋体" w:cs="宋体"/>
                <w:b/>
                <w:color w:val="000000"/>
                <w:kern w:val="0"/>
                <w:sz w:val="16"/>
                <w:szCs w:val="16"/>
              </w:rPr>
              <w:t>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449.89</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kern w:val="0"/>
                <w:sz w:val="16"/>
                <w:szCs w:val="16"/>
                <w:lang w:val="en-US" w:eastAsia="zh-CN"/>
              </w:rPr>
              <w:t>20406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eastAsia="zh-CN"/>
              </w:rPr>
              <w:t>司法</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717.15</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449.89</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val="en-US" w:eastAsia="zh-CN"/>
              </w:rPr>
              <w:t>2040601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val="en-US" w:eastAsia="zh-CN"/>
              </w:rPr>
              <w:t>2040602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val="en-US" w:eastAsia="zh-CN"/>
              </w:rPr>
              <w:t>2040606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律师公证管理</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28.24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28.24</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205"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60" w:hRule="atLeast"/>
        </w:trPr>
        <w:tc>
          <w:tcPr>
            <w:tcW w:w="1035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sectPr>
          <w:pgSz w:w="11906" w:h="16838"/>
          <w:pgMar w:top="2098" w:right="1474" w:bottom="1984" w:left="1587" w:header="850" w:footer="992" w:gutter="0"/>
          <w:pgNumType w:fmt="numberInDash"/>
          <w:cols w:space="720" w:num="1"/>
          <w:docGrid w:type="lines" w:linePitch="318"/>
        </w:sectPr>
      </w:pPr>
    </w:p>
    <w:tbl>
      <w:tblPr>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rPr>
          <w:trHeight w:val="179" w:hRule="atLeast"/>
        </w:trPr>
        <w:tc>
          <w:tcPr>
            <w:tcW w:w="2289" w:type="dxa"/>
            <w:gridSpan w:val="2"/>
            <w:vAlign w:val="center"/>
          </w:tcPr>
          <w:p>
            <w:pPr>
              <w:rPr>
                <w:rFonts w:ascii="宋体" w:hAnsi="宋体" w:eastAsia="宋体" w:cs="宋体"/>
                <w:color w:val="000000"/>
                <w:sz w:val="16"/>
                <w:szCs w:val="16"/>
              </w:rPr>
            </w:pP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rPr>
          <w:trHeight w:val="113" w:hRule="atLeast"/>
        </w:trPr>
        <w:tc>
          <w:tcPr>
            <w:tcW w:w="2289"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315" w:type="dxa"/>
            <w:gridSpan w:val="2"/>
            <w:vAlign w:val="center"/>
          </w:tcPr>
          <w:p>
            <w:pPr>
              <w:rPr>
                <w:rFonts w:ascii="宋体" w:hAnsi="宋体" w:eastAsia="宋体" w:cs="宋体"/>
                <w:color w:val="000000"/>
                <w:sz w:val="16"/>
                <w:szCs w:val="16"/>
              </w:rPr>
            </w:pPr>
          </w:p>
        </w:tc>
        <w:tc>
          <w:tcPr>
            <w:tcW w:w="1416" w:type="dxa"/>
            <w:vAlign w:val="center"/>
          </w:tcPr>
          <w:p>
            <w:pPr>
              <w:rPr>
                <w:rFonts w:ascii="宋体" w:hAnsi="宋体" w:eastAsia="宋体" w:cs="宋体"/>
                <w:color w:val="000000"/>
                <w:sz w:val="16"/>
                <w:szCs w:val="16"/>
              </w:rPr>
            </w:pPr>
          </w:p>
        </w:tc>
        <w:tc>
          <w:tcPr>
            <w:tcW w:w="1432" w:type="dxa"/>
            <w:vAlign w:val="center"/>
          </w:tcPr>
          <w:p>
            <w:pPr>
              <w:rPr>
                <w:rFonts w:ascii="宋体" w:hAnsi="宋体" w:eastAsia="宋体" w:cs="宋体"/>
                <w:color w:val="000000"/>
                <w:sz w:val="16"/>
                <w:szCs w:val="16"/>
              </w:rPr>
            </w:pPr>
          </w:p>
        </w:tc>
        <w:tc>
          <w:tcPr>
            <w:tcW w:w="316" w:type="dxa"/>
            <w:vAlign w:val="center"/>
          </w:tcPr>
          <w:p>
            <w:pPr>
              <w:rPr>
                <w:rFonts w:ascii="宋体" w:hAnsi="宋体" w:eastAsia="宋体" w:cs="宋体"/>
                <w:color w:val="000000"/>
                <w:sz w:val="16"/>
                <w:szCs w:val="16"/>
              </w:rPr>
            </w:pPr>
          </w:p>
        </w:tc>
        <w:tc>
          <w:tcPr>
            <w:tcW w:w="999" w:type="dxa"/>
            <w:gridSpan w:val="3"/>
            <w:vAlign w:val="center"/>
          </w:tcPr>
          <w:p>
            <w:pPr>
              <w:jc w:val="right"/>
              <w:rPr>
                <w:rFonts w:ascii="宋体" w:hAnsi="宋体" w:eastAsia="宋体" w:cs="宋体"/>
                <w:color w:val="000000"/>
                <w:sz w:val="16"/>
                <w:szCs w:val="16"/>
              </w:rPr>
            </w:pPr>
          </w:p>
        </w:tc>
        <w:tc>
          <w:tcPr>
            <w:tcW w:w="999" w:type="dxa"/>
            <w:vAlign w:val="center"/>
          </w:tcPr>
          <w:p>
            <w:pPr>
              <w:jc w:val="right"/>
              <w:rPr>
                <w:rFonts w:ascii="宋体" w:hAnsi="宋体" w:eastAsia="宋体" w:cs="宋体"/>
                <w:color w:val="000000"/>
                <w:sz w:val="16"/>
                <w:szCs w:val="16"/>
              </w:rPr>
            </w:pPr>
          </w:p>
        </w:tc>
        <w:tc>
          <w:tcPr>
            <w:tcW w:w="265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rPr>
          <w:trHeight w:val="368"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713.27</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717.15</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717.15</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713.27</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73.39</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69.51</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69.51</w:t>
            </w: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0</w:t>
            </w: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73.39</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786.66</w:t>
            </w:r>
            <w:r>
              <w:rPr>
                <w:rFonts w:hint="eastAsia" w:ascii="宋体" w:hAnsi="宋体" w:eastAsia="宋体" w:cs="宋体"/>
                <w:b/>
                <w:color w:val="000000"/>
                <w:kern w:val="0"/>
                <w:sz w:val="16"/>
                <w:szCs w:val="16"/>
              </w:rPr>
              <w:t xml:space="preserve"> </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786.66</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786.66</w:t>
            </w:r>
            <w:r>
              <w:rPr>
                <w:rFonts w:hint="eastAsia" w:ascii="宋体" w:hAnsi="宋体" w:eastAsia="宋体" w:cs="宋体"/>
                <w:b/>
                <w:color w:val="000000"/>
                <w:kern w:val="0"/>
                <w:sz w:val="16"/>
                <w:szCs w:val="16"/>
              </w:rPr>
              <w:t xml:space="preserve"> </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rPr>
          <w:trHeight w:val="495" w:hRule="atLeast"/>
        </w:trPr>
        <w:tc>
          <w:tcPr>
            <w:tcW w:w="10425"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rPr>
          <w:trHeight w:val="270" w:hRule="atLeast"/>
        </w:trPr>
        <w:tc>
          <w:tcPr>
            <w:tcW w:w="18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449.89</w:t>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eastAsia="zh-CN"/>
              </w:rPr>
              <w:t>公共安全</w:t>
            </w:r>
            <w:r>
              <w:rPr>
                <w:rFonts w:hint="eastAsia" w:ascii="宋体" w:hAnsi="宋体" w:eastAsia="宋体" w:cs="宋体"/>
                <w:b/>
                <w:color w:val="000000"/>
                <w:kern w:val="0"/>
                <w:sz w:val="16"/>
                <w:szCs w:val="16"/>
              </w:rPr>
              <w:t>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717.15</w:t>
            </w:r>
            <w:r>
              <w:rPr>
                <w:rFonts w:hint="eastAsia" w:ascii="宋体" w:hAnsi="宋体" w:eastAsia="宋体" w:cs="宋体"/>
                <w:b/>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449.89</w:t>
            </w:r>
            <w:r>
              <w:rPr>
                <w:rFonts w:hint="eastAsia" w:ascii="宋体" w:hAnsi="宋体" w:eastAsia="宋体" w:cs="宋体"/>
                <w:b/>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r>
              <w:rPr>
                <w:rFonts w:hint="eastAsia" w:ascii="宋体" w:hAnsi="宋体" w:eastAsia="宋体" w:cs="宋体"/>
                <w:b/>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司法</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717.15</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449.89</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421.65</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267.26</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律师公证管理</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28.24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28.24</w:t>
            </w: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600" w:hRule="atLeast"/>
        </w:trPr>
        <w:tc>
          <w:tcPr>
            <w:tcW w:w="10440" w:type="dxa"/>
            <w:gridSpan w:val="8"/>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rPr>
          <w:trHeight w:val="285" w:hRule="atLeast"/>
        </w:trPr>
        <w:tc>
          <w:tcPr>
            <w:tcW w:w="1650" w:type="dxa"/>
            <w:gridSpan w:val="2"/>
            <w:vAlign w:val="center"/>
          </w:tcPr>
          <w:p>
            <w:pPr>
              <w:rPr>
                <w:rFonts w:ascii="宋体" w:hAnsi="宋体" w:eastAsia="宋体" w:cs="宋体"/>
                <w:color w:val="000000"/>
                <w:sz w:val="16"/>
                <w:szCs w:val="16"/>
              </w:rPr>
            </w:pP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rPr>
          <w:trHeight w:val="270" w:hRule="atLeast"/>
        </w:trPr>
        <w:tc>
          <w:tcPr>
            <w:tcW w:w="1650"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794" w:type="dxa"/>
            <w:vAlign w:val="center"/>
          </w:tcPr>
          <w:p>
            <w:pPr>
              <w:rPr>
                <w:rFonts w:ascii="宋体" w:hAnsi="宋体" w:eastAsia="宋体" w:cs="宋体"/>
                <w:color w:val="000000"/>
                <w:sz w:val="16"/>
                <w:szCs w:val="16"/>
              </w:rPr>
            </w:pPr>
          </w:p>
        </w:tc>
        <w:tc>
          <w:tcPr>
            <w:tcW w:w="1620" w:type="dxa"/>
            <w:vAlign w:val="center"/>
          </w:tcPr>
          <w:p>
            <w:pPr>
              <w:rPr>
                <w:rFonts w:ascii="宋体" w:hAnsi="宋体" w:eastAsia="宋体" w:cs="宋体"/>
                <w:color w:val="000000"/>
                <w:sz w:val="16"/>
                <w:szCs w:val="16"/>
              </w:rPr>
            </w:pPr>
          </w:p>
        </w:tc>
        <w:tc>
          <w:tcPr>
            <w:tcW w:w="754" w:type="dxa"/>
            <w:vAlign w:val="center"/>
          </w:tcPr>
          <w:p>
            <w:pPr>
              <w:rPr>
                <w:rFonts w:ascii="宋体" w:hAnsi="宋体" w:eastAsia="宋体" w:cs="宋体"/>
                <w:color w:val="000000"/>
                <w:sz w:val="16"/>
                <w:szCs w:val="16"/>
              </w:rPr>
            </w:pPr>
          </w:p>
        </w:tc>
        <w:tc>
          <w:tcPr>
            <w:tcW w:w="1794" w:type="dxa"/>
            <w:gridSpan w:val="2"/>
            <w:vAlign w:val="center"/>
          </w:tcPr>
          <w:p>
            <w:pPr>
              <w:rPr>
                <w:rFonts w:ascii="宋体" w:hAnsi="宋体" w:eastAsia="宋体" w:cs="宋体"/>
                <w:color w:val="000000"/>
                <w:sz w:val="16"/>
                <w:szCs w:val="16"/>
              </w:rPr>
            </w:pPr>
          </w:p>
        </w:tc>
        <w:tc>
          <w:tcPr>
            <w:tcW w:w="2873"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349.07</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2.91</w:t>
            </w:r>
            <w:r>
              <w:rPr>
                <w:rFonts w:hint="eastAsia" w:ascii="宋体" w:hAnsi="宋体" w:eastAsia="宋体" w:cs="宋体"/>
                <w:b/>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98.97</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0.94</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159.1</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67.11</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10.33</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0.04</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13.56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0.49</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97.92</w:t>
            </w:r>
            <w:r>
              <w:rPr>
                <w:rFonts w:hint="eastAsia" w:ascii="宋体" w:hAnsi="宋体" w:eastAsia="宋体" w:cs="宋体"/>
                <w:b/>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0.20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50.91</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0.43</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0.18</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0.13</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14.64</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31.16</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0.83</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0.78</w:t>
            </w: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0</w:t>
            </w:r>
            <w:r>
              <w:rPr>
                <w:rFonts w:hint="eastAsia" w:ascii="宋体" w:hAnsi="宋体" w:eastAsia="宋体" w:cs="宋体"/>
                <w:color w:val="000000"/>
                <w:kern w:val="0"/>
                <w:sz w:val="16"/>
                <w:szCs w:val="16"/>
              </w:rPr>
              <w:t xml:space="preserve"> </w:t>
            </w:r>
          </w:p>
        </w:tc>
      </w:tr>
      <w:tr>
        <w:trPr>
          <w:trHeight w:val="477" w:hRule="atLeast"/>
        </w:trPr>
        <w:tc>
          <w:tcPr>
            <w:tcW w:w="10485" w:type="dxa"/>
            <w:gridSpan w:val="9"/>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rPr>
          <w:trHeight w:val="285"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rPr>
          <w:trHeight w:val="270" w:hRule="atLeast"/>
        </w:trPr>
        <w:tc>
          <w:tcPr>
            <w:tcW w:w="1783"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99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2016年度决算数</w:t>
            </w:r>
          </w:p>
        </w:tc>
      </w:tr>
      <w:tr>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8.8</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8.5</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6.55</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w:t>
            </w: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6.3</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0.25</w:t>
            </w:r>
          </w:p>
        </w:tc>
      </w:tr>
      <w:tr>
        <w:trPr>
          <w:trHeight w:val="600" w:hRule="atLeast"/>
        </w:trPr>
        <w:tc>
          <w:tcPr>
            <w:tcW w:w="10485" w:type="dxa"/>
            <w:gridSpan w:val="2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tbl>
      <w:tblPr>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rPr>
          <w:trHeight w:val="285"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rPr>
          <w:trHeight w:val="270" w:hRule="atLeast"/>
        </w:trPr>
        <w:tc>
          <w:tcPr>
            <w:tcW w:w="15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w:t>
            </w:r>
            <w:r>
              <w:rPr>
                <w:rFonts w:hint="eastAsia" w:ascii="宋体" w:hAnsi="宋体" w:eastAsia="宋体" w:cs="宋体"/>
                <w:b/>
                <w:color w:val="000000"/>
                <w:kern w:val="0"/>
                <w:sz w:val="16"/>
                <w:szCs w:val="16"/>
                <w:lang w:val="en-US" w:eastAsia="zh-CN"/>
              </w:rPr>
              <w:t>4</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eastAsia="zh-CN"/>
              </w:rPr>
              <w:t>司法</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行政运行</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一般行政管理事务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2040606</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律师公证管理</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r>
      <w:tr>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2040607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6"/>
                <w:szCs w:val="16"/>
                <w:lang w:eastAsia="zh-CN"/>
              </w:rPr>
              <w:t>法律援助</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b/>
                <w:color w:val="000000"/>
                <w:kern w:val="0"/>
                <w:sz w:val="16"/>
                <w:szCs w:val="16"/>
                <w:lang w:val="en-US" w:eastAsia="zh-CN"/>
              </w:rPr>
              <w:t>0</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rPr>
          <w:trHeight w:val="285" w:hRule="atLeast"/>
        </w:trPr>
        <w:tc>
          <w:tcPr>
            <w:tcW w:w="10500"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rPr>
          <w:trHeight w:val="285" w:hRule="atLeast"/>
        </w:trPr>
        <w:tc>
          <w:tcPr>
            <w:tcW w:w="10500" w:type="dxa"/>
            <w:gridSpan w:val="12"/>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（该报表全部数据为零时）说明：xx厅（局）没有政府性基金收入，也没有使用政府性基金安排的支出，故本表无数据。</w:t>
            </w:r>
          </w:p>
        </w:tc>
      </w:tr>
    </w:tbl>
    <w:p>
      <w:pPr>
        <w:spacing w:line="360" w:lineRule="auto"/>
        <w:jc w:val="center"/>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魏都区司法行政系统</w:t>
      </w:r>
    </w:p>
    <w:p>
      <w:pPr>
        <w:jc w:val="center"/>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rPr>
        <w:t>2016年度部门决算情况说明</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713.27</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万元，与2015年相比，收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增加</w:t>
      </w:r>
      <w:r>
        <w:rPr>
          <w:rFonts w:hint="eastAsia" w:ascii="仿宋_GB2312" w:hAnsi="宋体" w:eastAsia="仿宋_GB2312" w:cs="Courier New"/>
          <w:sz w:val="32"/>
          <w:szCs w:val="32"/>
          <w:lang w:val="en-US" w:eastAsia="zh-CN"/>
        </w:rPr>
        <w:t>117.39</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17</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支出增加</w:t>
      </w:r>
      <w:r>
        <w:rPr>
          <w:rFonts w:hint="eastAsia" w:ascii="仿宋_GB2312" w:hAnsi="宋体" w:eastAsia="仿宋_GB2312" w:cs="Courier New"/>
          <w:sz w:val="32"/>
          <w:szCs w:val="32"/>
          <w:lang w:val="en-US" w:eastAsia="zh-CN"/>
        </w:rPr>
        <w:t>163.84万元，增长23</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713.27</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713.27</w:t>
      </w:r>
      <w:r>
        <w:rPr>
          <w:rFonts w:hint="eastAsia" w:ascii="仿宋_GB2312" w:hAnsi="Times New Roman" w:eastAsia="仿宋_GB2312"/>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449.89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63</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267.26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37</w:t>
      </w:r>
      <w:r>
        <w:rPr>
          <w:rFonts w:hint="eastAsia" w:ascii="仿宋_GB2312" w:hAnsi="宋体" w:eastAsia="仿宋_GB2312" w:cs="Courier New"/>
          <w:sz w:val="32"/>
          <w:szCs w:val="32"/>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总决算</w:t>
      </w:r>
      <w:r>
        <w:rPr>
          <w:rFonts w:hint="eastAsia" w:ascii="仿宋_GB2312" w:hAnsi="宋体" w:eastAsia="仿宋_GB2312" w:cs="Courier New"/>
          <w:sz w:val="32"/>
          <w:szCs w:val="32"/>
          <w:lang w:val="en-US" w:eastAsia="zh-CN"/>
        </w:rPr>
        <w:t>713.27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与2015年相比，财政拨款收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增加</w:t>
      </w:r>
      <w:r>
        <w:rPr>
          <w:rFonts w:hint="eastAsia" w:ascii="仿宋_GB2312" w:hAnsi="宋体" w:eastAsia="仿宋_GB2312" w:cs="Courier New"/>
          <w:sz w:val="32"/>
          <w:szCs w:val="32"/>
          <w:lang w:val="en-US" w:eastAsia="zh-CN"/>
        </w:rPr>
        <w:t>117.39</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17</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2016年财政拨款</w:t>
      </w:r>
      <w:r>
        <w:rPr>
          <w:rFonts w:hint="eastAsia" w:ascii="仿宋_GB2312" w:hAnsi="宋体" w:eastAsia="仿宋_GB2312" w:cs="Courier New"/>
          <w:sz w:val="32"/>
          <w:szCs w:val="32"/>
          <w:lang w:eastAsia="zh-CN"/>
        </w:rPr>
        <w:t>支出</w:t>
      </w:r>
      <w:r>
        <w:rPr>
          <w:rFonts w:hint="eastAsia" w:ascii="仿宋_GB2312" w:hAnsi="宋体" w:eastAsia="仿宋_GB2312" w:cs="Courier New"/>
          <w:sz w:val="32"/>
          <w:szCs w:val="32"/>
        </w:rPr>
        <w:t>总决算</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与2015年相比，</w:t>
      </w:r>
      <w:r>
        <w:rPr>
          <w:rFonts w:hint="eastAsia" w:ascii="仿宋_GB2312" w:hAnsi="宋体" w:eastAsia="仿宋_GB2312" w:cs="Courier New"/>
          <w:sz w:val="32"/>
          <w:szCs w:val="32"/>
          <w:lang w:eastAsia="zh-CN"/>
        </w:rPr>
        <w:t>支出增加</w:t>
      </w:r>
      <w:r>
        <w:rPr>
          <w:rFonts w:hint="eastAsia" w:ascii="仿宋_GB2312" w:hAnsi="宋体" w:eastAsia="仿宋_GB2312" w:cs="Courier New"/>
          <w:sz w:val="32"/>
          <w:szCs w:val="32"/>
          <w:lang w:val="en-US" w:eastAsia="zh-CN"/>
        </w:rPr>
        <w:t>163.84万元，增长23</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一般公共预算财政拨款支出决算情况说明</w:t>
      </w:r>
    </w:p>
    <w:p>
      <w:pPr>
        <w:numPr>
          <w:ilvl w:val="0"/>
          <w:numId w:val="8"/>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%。与2015年相比，一般公共预算财政拨款支出增加</w:t>
      </w:r>
      <w:r>
        <w:rPr>
          <w:rFonts w:hint="eastAsia" w:ascii="仿宋_GB2312" w:hAnsi="宋体" w:eastAsia="仿宋_GB2312" w:cs="Courier New"/>
          <w:sz w:val="32"/>
          <w:szCs w:val="32"/>
          <w:lang w:val="en-US" w:eastAsia="zh-CN"/>
        </w:rPr>
        <w:t>163.84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23</w:t>
      </w:r>
      <w:r>
        <w:rPr>
          <w:rFonts w:hint="eastAsia" w:ascii="仿宋_GB2312" w:hAnsi="宋体" w:eastAsia="仿宋_GB2312" w:cs="Courier New"/>
          <w:sz w:val="32"/>
          <w:szCs w:val="32"/>
        </w:rPr>
        <w:t>%。</w:t>
      </w:r>
    </w:p>
    <w:p>
      <w:pPr>
        <w:numPr>
          <w:ilvl w:val="0"/>
          <w:numId w:val="8"/>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spacing w:line="336"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lang w:eastAsia="zh-CN"/>
        </w:rPr>
        <w:t>公共安全支出</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8"/>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2016年度一般公共预算财政拨款支出年初预算为</w:t>
      </w:r>
      <w:r>
        <w:rPr>
          <w:rFonts w:hint="eastAsia" w:ascii="仿宋_GB2312" w:hAnsi="宋体" w:eastAsia="仿宋_GB2312" w:cs="Courier New"/>
          <w:sz w:val="32"/>
          <w:szCs w:val="32"/>
          <w:lang w:val="en-US" w:eastAsia="zh-CN"/>
        </w:rPr>
        <w:t>619.25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717.15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，完成年初预算的</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%。决算数大于预算数的主要原因：一是</w:t>
      </w:r>
      <w:r>
        <w:rPr>
          <w:rFonts w:hint="eastAsia" w:ascii="仿宋_GB2312" w:hAnsi="宋体" w:eastAsia="仿宋_GB2312" w:cs="Courier New"/>
          <w:sz w:val="32"/>
          <w:szCs w:val="32"/>
          <w:lang w:eastAsia="zh-CN"/>
        </w:rPr>
        <w:t>人员工资的增长；二是各项业务以及工作量的增大</w:t>
      </w:r>
      <w:r>
        <w:rPr>
          <w:rFonts w:hint="eastAsia" w:ascii="仿宋_GB2312" w:hAnsi="宋体" w:eastAsia="仿宋_GB2312" w:cs="Courier New"/>
          <w:sz w:val="32"/>
          <w:szCs w:val="32"/>
        </w:rPr>
        <w:t>。其中：</w:t>
      </w:r>
    </w:p>
    <w:p>
      <w:pPr>
        <w:numPr>
          <w:ilvl w:val="0"/>
          <w:numId w:val="9"/>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eastAsia="zh-CN"/>
        </w:rPr>
        <w:t>公共安全支出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司法</w:t>
      </w:r>
      <w:r>
        <w:rPr>
          <w:rFonts w:hint="eastAsia" w:ascii="仿宋_GB2312" w:hAnsi="宋体" w:eastAsia="仿宋_GB2312" w:cs="Courier New"/>
          <w:b/>
          <w:bCs/>
          <w:sz w:val="32"/>
          <w:szCs w:val="32"/>
        </w:rPr>
        <w:t>（款）行政运行（项）。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392.25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449.89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，完成年初预算的</w:t>
      </w:r>
      <w:r>
        <w:rPr>
          <w:rFonts w:hint="eastAsia" w:ascii="仿宋_GB2312" w:hAnsi="宋体" w:eastAsia="仿宋_GB2312" w:cs="Courier New"/>
          <w:sz w:val="32"/>
          <w:szCs w:val="32"/>
          <w:lang w:val="en-US" w:eastAsia="zh-CN"/>
        </w:rPr>
        <w:t>115</w:t>
      </w:r>
      <w:r>
        <w:rPr>
          <w:rFonts w:hint="eastAsia" w:ascii="仿宋_GB2312" w:hAnsi="宋体" w:eastAsia="仿宋_GB2312" w:cs="Courier New"/>
          <w:sz w:val="32"/>
          <w:szCs w:val="32"/>
        </w:rPr>
        <w:t>%。决算数大于预算数的主要原因是</w:t>
      </w:r>
      <w:r>
        <w:rPr>
          <w:rFonts w:hint="eastAsia" w:ascii="仿宋_GB2312" w:hAnsi="宋体" w:eastAsia="仿宋_GB2312" w:cs="Courier New"/>
          <w:sz w:val="32"/>
          <w:szCs w:val="32"/>
          <w:lang w:eastAsia="zh-CN"/>
        </w:rPr>
        <w:t>人员工资的增长</w:t>
      </w:r>
      <w:r>
        <w:rPr>
          <w:rFonts w:hint="eastAsia" w:ascii="仿宋_GB2312" w:hAnsi="宋体" w:eastAsia="仿宋_GB2312" w:cs="Courier New"/>
          <w:sz w:val="32"/>
          <w:szCs w:val="32"/>
        </w:rPr>
        <w:t>。</w:t>
      </w:r>
    </w:p>
    <w:p>
      <w:pPr>
        <w:numPr>
          <w:ilvl w:val="0"/>
          <w:numId w:val="9"/>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lang w:eastAsia="zh-CN"/>
        </w:rPr>
        <w:t>公共安全支出</w:t>
      </w:r>
      <w:r>
        <w:rPr>
          <w:rFonts w:hint="eastAsia" w:ascii="仿宋_GB2312" w:hAnsi="宋体" w:eastAsia="仿宋_GB2312" w:cs="Courier New"/>
          <w:b/>
          <w:bCs/>
          <w:sz w:val="32"/>
          <w:szCs w:val="32"/>
        </w:rPr>
        <w:t>（类）</w:t>
      </w:r>
      <w:r>
        <w:rPr>
          <w:rFonts w:hint="eastAsia" w:ascii="仿宋_GB2312" w:hAnsi="宋体" w:eastAsia="仿宋_GB2312" w:cs="Courier New"/>
          <w:b/>
          <w:bCs/>
          <w:sz w:val="32"/>
          <w:szCs w:val="32"/>
          <w:lang w:eastAsia="zh-CN"/>
        </w:rPr>
        <w:t>司法</w:t>
      </w:r>
      <w:r>
        <w:rPr>
          <w:rFonts w:hint="eastAsia" w:ascii="仿宋_GB2312" w:hAnsi="宋体" w:eastAsia="仿宋_GB2312" w:cs="Courier New"/>
          <w:b/>
          <w:bCs/>
          <w:sz w:val="32"/>
          <w:szCs w:val="32"/>
        </w:rPr>
        <w:t>（款）一般行政管理事务（项）。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227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267.26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，完成年初预算的</w:t>
      </w:r>
      <w:r>
        <w:rPr>
          <w:rFonts w:hint="eastAsia" w:ascii="仿宋_GB2312" w:hAnsi="宋体" w:eastAsia="仿宋_GB2312" w:cs="Courier New"/>
          <w:sz w:val="32"/>
          <w:szCs w:val="32"/>
          <w:lang w:val="en-US" w:eastAsia="zh-CN"/>
        </w:rPr>
        <w:t>118</w:t>
      </w:r>
      <w:r>
        <w:rPr>
          <w:rFonts w:hint="eastAsia" w:ascii="仿宋_GB2312" w:hAnsi="宋体" w:eastAsia="仿宋_GB2312" w:cs="Courier New"/>
          <w:sz w:val="32"/>
          <w:szCs w:val="32"/>
        </w:rPr>
        <w:t>%。决算数大于预算数的主要原因是</w:t>
      </w:r>
      <w:r>
        <w:rPr>
          <w:rFonts w:hint="eastAsia" w:ascii="仿宋_GB2312" w:hAnsi="宋体" w:eastAsia="仿宋_GB2312" w:cs="Courier New"/>
          <w:sz w:val="32"/>
          <w:szCs w:val="32"/>
          <w:lang w:eastAsia="zh-CN"/>
        </w:rPr>
        <w:t>司法行政业务工作量的增大</w:t>
      </w:r>
      <w:r>
        <w:rPr>
          <w:rFonts w:hint="eastAsia" w:ascii="仿宋_GB2312" w:hAnsi="宋体" w:eastAsia="仿宋_GB2312" w:cs="Courier New"/>
          <w:sz w:val="32"/>
          <w:szCs w:val="32"/>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一般公共预算财政拨款基本支出决算情况说明</w:t>
      </w:r>
    </w:p>
    <w:p>
      <w:pPr>
        <w:spacing w:line="336"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w:t>
      </w:r>
      <w:r>
        <w:rPr>
          <w:rFonts w:hint="eastAsia" w:ascii="仿宋_GB2312" w:hAnsi="宋体" w:eastAsia="仿宋_GB2312" w:cs="Courier New"/>
          <w:sz w:val="32"/>
          <w:szCs w:val="32"/>
          <w:lang w:val="en-US" w:eastAsia="zh-CN"/>
        </w:rPr>
        <w:t>449.89</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446.99</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奖金、其他社会保障缴费、</w:t>
      </w:r>
      <w:r>
        <w:rPr>
          <w:rFonts w:hint="eastAsia" w:ascii="仿宋_GB2312" w:hAnsi="宋体" w:eastAsia="仿宋_GB2312" w:cs="Courier New"/>
          <w:sz w:val="32"/>
          <w:szCs w:val="32"/>
        </w:rPr>
        <w:t>伙食补助费、绩效工资</w:t>
      </w:r>
      <w:r>
        <w:rPr>
          <w:rFonts w:hint="eastAsia" w:ascii="仿宋_GB2312" w:hAnsi="宋体" w:eastAsia="仿宋_GB2312" w:cs="Courier New"/>
          <w:sz w:val="32"/>
          <w:szCs w:val="32"/>
          <w:lang w:eastAsia="zh-CN"/>
        </w:rPr>
        <w:t>、机关事业单位基本养老保险缴费、职业年金缴费、</w:t>
      </w:r>
      <w:r>
        <w:rPr>
          <w:rFonts w:hint="eastAsia" w:ascii="仿宋_GB2312" w:eastAsia="仿宋_GB2312"/>
          <w:sz w:val="32"/>
          <w:szCs w:val="32"/>
        </w:rPr>
        <w:t>其他工资福利支出、离休费、退休费、退职（役）费、抚恤金、生活补助、</w:t>
      </w:r>
      <w:r>
        <w:rPr>
          <w:rFonts w:hint="eastAsia" w:ascii="仿宋_GB2312" w:eastAsia="仿宋_GB2312"/>
          <w:sz w:val="32"/>
          <w:szCs w:val="32"/>
          <w:lang w:eastAsia="zh-CN"/>
        </w:rPr>
        <w:t>救济费、</w:t>
      </w:r>
      <w:r>
        <w:rPr>
          <w:rFonts w:hint="eastAsia" w:ascii="仿宋_GB2312" w:eastAsia="仿宋_GB2312"/>
          <w:sz w:val="32"/>
          <w:szCs w:val="32"/>
        </w:rPr>
        <w:t>医疗费、助学金、奖励金、</w:t>
      </w:r>
      <w:r>
        <w:rPr>
          <w:rFonts w:hint="eastAsia" w:ascii="仿宋_GB2312" w:eastAsia="仿宋_GB2312"/>
          <w:sz w:val="32"/>
          <w:szCs w:val="32"/>
          <w:lang w:eastAsia="zh-CN"/>
        </w:rPr>
        <w:t>生产补贴、</w:t>
      </w:r>
      <w:r>
        <w:rPr>
          <w:rFonts w:hint="eastAsia" w:ascii="仿宋_GB2312" w:eastAsia="仿宋_GB2312"/>
          <w:sz w:val="32"/>
          <w:szCs w:val="32"/>
        </w:rPr>
        <w:t>住房公积金、提租补贴、购房补贴、</w:t>
      </w:r>
      <w:r>
        <w:rPr>
          <w:rFonts w:hint="eastAsia" w:ascii="仿宋_GB2312" w:eastAsia="仿宋_GB2312"/>
          <w:sz w:val="32"/>
          <w:szCs w:val="32"/>
          <w:lang w:eastAsia="zh-CN"/>
        </w:rPr>
        <w:t>采暖补贴、物业服务补贴、</w:t>
      </w:r>
      <w:r>
        <w:rPr>
          <w:rFonts w:hint="eastAsia" w:ascii="仿宋_GB2312" w:eastAsia="仿宋_GB2312"/>
          <w:sz w:val="32"/>
          <w:szCs w:val="32"/>
        </w:rPr>
        <w:t>其他对个人和家庭的补助支出；</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2.91</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w:t>
      </w:r>
      <w:r>
        <w:rPr>
          <w:rFonts w:hint="eastAsia" w:ascii="仿宋_GB2312" w:eastAsia="仿宋_GB2312"/>
          <w:sz w:val="32"/>
          <w:szCs w:val="32"/>
        </w:rPr>
        <w:t>办公费、印刷费、咨询费、手续费、水费、电费、邮电费、取暖费、物业管理费、差旅费、因公出国（境）费、维修(护)费、租赁费、会议费、培训费、公务接待费、专用材料费、</w:t>
      </w:r>
      <w:r>
        <w:rPr>
          <w:rFonts w:hint="eastAsia" w:ascii="仿宋_GB2312" w:eastAsia="仿宋_GB2312"/>
          <w:sz w:val="32"/>
          <w:szCs w:val="32"/>
          <w:lang w:eastAsia="zh-CN"/>
        </w:rPr>
        <w:t>被装购置费、专用燃料费、</w:t>
      </w:r>
      <w:r>
        <w:rPr>
          <w:rFonts w:hint="eastAsia" w:ascii="仿宋_GB2312" w:eastAsia="仿宋_GB2312"/>
          <w:sz w:val="32"/>
          <w:szCs w:val="32"/>
        </w:rPr>
        <w:t>劳务费、委托业务费、工会经费、福利费、公务用车</w:t>
      </w:r>
      <w:r>
        <w:rPr>
          <w:rFonts w:hint="eastAsia" w:ascii="仿宋_GB2312" w:eastAsia="仿宋_GB2312"/>
          <w:sz w:val="32"/>
          <w:szCs w:val="32"/>
          <w:lang w:eastAsia="zh-CN"/>
        </w:rPr>
        <w:t>运行</w:t>
      </w:r>
      <w:r>
        <w:rPr>
          <w:rFonts w:hint="eastAsia" w:ascii="仿宋_GB2312" w:eastAsia="仿宋_GB2312"/>
          <w:sz w:val="32"/>
          <w:szCs w:val="32"/>
        </w:rPr>
        <w:t>维护费、</w:t>
      </w:r>
      <w:r>
        <w:rPr>
          <w:rFonts w:hint="eastAsia" w:ascii="仿宋_GB2312" w:eastAsia="仿宋_GB2312"/>
          <w:sz w:val="32"/>
          <w:szCs w:val="32"/>
          <w:lang w:eastAsia="zh-CN"/>
        </w:rPr>
        <w:t>其他交通费用、税金及附加费用、其他商品和服务支出、房屋建筑物构建、</w:t>
      </w:r>
      <w:r>
        <w:rPr>
          <w:rFonts w:hint="eastAsia" w:ascii="仿宋_GB2312" w:eastAsia="仿宋_GB2312"/>
          <w:sz w:val="32"/>
          <w:szCs w:val="32"/>
        </w:rPr>
        <w:t>办公设备购置、专用设备购置、</w:t>
      </w:r>
      <w:r>
        <w:rPr>
          <w:rFonts w:hint="eastAsia" w:ascii="仿宋_GB2312" w:eastAsia="仿宋_GB2312"/>
          <w:sz w:val="32"/>
          <w:szCs w:val="32"/>
          <w:lang w:eastAsia="zh-CN"/>
        </w:rPr>
        <w:t>基础设施建设、</w:t>
      </w:r>
      <w:r>
        <w:rPr>
          <w:rFonts w:hint="eastAsia" w:ascii="仿宋_GB2312" w:eastAsia="仿宋_GB2312"/>
          <w:sz w:val="32"/>
          <w:szCs w:val="32"/>
        </w:rPr>
        <w:t>大型修缮、信息网络及软件购置更新、</w:t>
      </w:r>
      <w:r>
        <w:rPr>
          <w:rFonts w:hint="eastAsia" w:ascii="仿宋_GB2312" w:eastAsia="仿宋_GB2312"/>
          <w:sz w:val="32"/>
          <w:szCs w:val="32"/>
          <w:lang w:eastAsia="zh-CN"/>
        </w:rPr>
        <w:t>物资储备、土地补偿、安置补助、地上附着物和青苗补偿、拆迁补偿、公务用车购置、其他交通工具购置、产权参股、</w:t>
      </w:r>
      <w:r>
        <w:rPr>
          <w:rFonts w:hint="eastAsia" w:ascii="仿宋_GB2312" w:eastAsia="仿宋_GB2312"/>
          <w:sz w:val="32"/>
          <w:szCs w:val="32"/>
        </w:rPr>
        <w:t xml:space="preserve">其他资本性支出。 </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关于本系统</w:t>
      </w:r>
      <w:r>
        <w:rPr>
          <w:rFonts w:hint="eastAsia" w:ascii="黑体" w:hAnsi="黑体" w:eastAsia="黑体"/>
          <w:sz w:val="32"/>
          <w:szCs w:val="32"/>
        </w:rPr>
        <w:t>一般公共预算财政拨款“三公”经费支出决算情况说明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spacing w:line="336"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w:t>
      </w:r>
      <w:r>
        <w:rPr>
          <w:rFonts w:hint="eastAsia" w:ascii="仿宋_GB2312" w:hAnsi="宋体" w:eastAsia="仿宋_GB2312" w:cs="Courier New"/>
          <w:sz w:val="32"/>
          <w:szCs w:val="32"/>
          <w:lang w:val="en-US" w:eastAsia="zh-CN"/>
        </w:rPr>
        <w:t>8.8</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6.55</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75</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6.3</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72</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0.25</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%。2016年度“三公”经费支出决算数小于预算数的主要原因是</w:t>
      </w:r>
      <w:r>
        <w:rPr>
          <w:rFonts w:hint="eastAsia" w:ascii="仿宋_GB2312" w:eastAsia="仿宋_GB2312"/>
          <w:sz w:val="32"/>
          <w:szCs w:val="32"/>
          <w:lang w:val="en-US" w:eastAsia="zh-CN"/>
        </w:rPr>
        <w:t>按照中央八项规定以及厉行节约的各项要求</w:t>
      </w:r>
      <w:r>
        <w:rPr>
          <w:rFonts w:hint="eastAsia" w:ascii="仿宋_GB2312" w:eastAsia="仿宋_GB2312"/>
          <w:sz w:val="32"/>
          <w:szCs w:val="32"/>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严格控制三公经费的开支。</w:t>
      </w:r>
      <w:r>
        <w:rPr>
          <w:rFonts w:hint="eastAsia" w:ascii="仿宋_GB2312" w:eastAsia="仿宋_GB2312"/>
          <w:sz w:val="32"/>
          <w:szCs w:val="32"/>
        </w:rPr>
        <w:t xml:space="preserve">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2016年度“三公”经费财政拨款支出决算数比2015年增加</w:t>
      </w:r>
      <w:r>
        <w:rPr>
          <w:rFonts w:hint="eastAsia" w:ascii="仿宋_GB2312" w:hAnsi="宋体" w:eastAsia="仿宋_GB2312" w:cs="Courier New"/>
          <w:sz w:val="32"/>
          <w:szCs w:val="32"/>
          <w:lang w:val="en-US" w:eastAsia="zh-CN"/>
        </w:rPr>
        <w:t>1.62</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35</w:t>
      </w:r>
      <w:r>
        <w:rPr>
          <w:rFonts w:hint="eastAsia" w:ascii="仿宋_GB2312" w:hAnsi="宋体" w:eastAsia="仿宋_GB2312" w:cs="Courier New"/>
          <w:sz w:val="32"/>
          <w:szCs w:val="32"/>
        </w:rPr>
        <w:t>%，其中：因公出国（境）费支出决算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%；公务用车购置及运行费支出决算增加</w:t>
      </w:r>
      <w:r>
        <w:rPr>
          <w:rFonts w:hint="eastAsia" w:ascii="仿宋_GB2312" w:hAnsi="宋体" w:eastAsia="仿宋_GB2312" w:cs="Courier New"/>
          <w:sz w:val="32"/>
          <w:szCs w:val="32"/>
          <w:lang w:val="en-US" w:eastAsia="zh-CN"/>
        </w:rPr>
        <w:t>3.62</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135</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1.7</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87</w:t>
      </w:r>
      <w:r>
        <w:rPr>
          <w:rFonts w:hint="eastAsia" w:ascii="仿宋_GB2312" w:hAnsi="宋体" w:eastAsia="仿宋_GB2312" w:cs="Courier New"/>
          <w:sz w:val="32"/>
          <w:szCs w:val="32"/>
        </w:rPr>
        <w:t>%。因公出国（境）费支出增加（减少）的主要原因是</w:t>
      </w:r>
      <w:r>
        <w:rPr>
          <w:rFonts w:hint="eastAsia" w:ascii="仿宋_GB2312" w:hAnsi="宋体" w:eastAsia="仿宋_GB2312" w:cs="Courier New"/>
          <w:sz w:val="32"/>
          <w:szCs w:val="32"/>
          <w:lang w:eastAsia="zh-CN"/>
        </w:rPr>
        <w:t>没有因</w:t>
      </w:r>
      <w:r>
        <w:rPr>
          <w:rFonts w:hint="eastAsia" w:ascii="仿宋_GB2312" w:hAnsi="宋体" w:eastAsia="仿宋_GB2312" w:cs="Courier New"/>
          <w:sz w:val="32"/>
          <w:szCs w:val="32"/>
        </w:rPr>
        <w:t>公出国（境）费</w:t>
      </w:r>
      <w:r>
        <w:rPr>
          <w:rFonts w:hint="eastAsia" w:ascii="仿宋_GB2312" w:hAnsi="宋体" w:eastAsia="仿宋_GB2312" w:cs="Courier New"/>
          <w:sz w:val="32"/>
          <w:szCs w:val="32"/>
          <w:lang w:eastAsia="zh-CN"/>
        </w:rPr>
        <w:t>用支出</w:t>
      </w:r>
      <w:r>
        <w:rPr>
          <w:rFonts w:hint="eastAsia" w:ascii="仿宋_GB2312" w:hAnsi="宋体" w:eastAsia="仿宋_GB2312" w:cs="Courier New"/>
          <w:sz w:val="32"/>
          <w:szCs w:val="32"/>
        </w:rPr>
        <w:t>；公务用车购置及运行费支出增加主要原因是</w:t>
      </w:r>
      <w:r>
        <w:rPr>
          <w:rFonts w:hint="eastAsia" w:ascii="仿宋_GB2312" w:hAnsi="宋体" w:eastAsia="仿宋_GB2312" w:cs="Courier New"/>
          <w:sz w:val="32"/>
          <w:szCs w:val="32"/>
          <w:lang w:eastAsia="zh-CN"/>
        </w:rPr>
        <w:t>司法行政业务工作量的增加</w:t>
      </w:r>
      <w:r>
        <w:rPr>
          <w:rFonts w:hint="eastAsia" w:ascii="仿宋_GB2312" w:hAnsi="宋体" w:eastAsia="仿宋_GB2312" w:cs="Courier New"/>
          <w:sz w:val="32"/>
          <w:szCs w:val="32"/>
        </w:rPr>
        <w:t>；公务接待费支出减少的主要原因是</w:t>
      </w:r>
      <w:r>
        <w:rPr>
          <w:rFonts w:hint="default" w:ascii="仿宋" w:hAnsi="仿宋" w:eastAsia="仿宋" w:cs="仿宋"/>
          <w:sz w:val="32"/>
          <w:szCs w:val="32"/>
        </w:rPr>
        <w:t>根</w:t>
      </w:r>
      <w:r>
        <w:rPr>
          <w:rFonts w:hint="default" w:ascii="仿宋" w:hAnsi="仿宋" w:eastAsia="仿宋" w:cs="仿宋"/>
          <w:sz w:val="32"/>
          <w:szCs w:val="32"/>
          <w:lang w:eastAsia="zh-CN"/>
        </w:rPr>
        <w:t>据中央八项规定以及厉行节约等相关规定</w:t>
      </w:r>
      <w:r>
        <w:rPr>
          <w:rFonts w:hint="eastAsia" w:ascii="仿宋" w:hAnsi="仿宋" w:eastAsia="仿宋" w:cs="仿宋"/>
          <w:sz w:val="32"/>
          <w:szCs w:val="32"/>
          <w:lang w:eastAsia="zh-CN"/>
        </w:rPr>
        <w:t>，</w:t>
      </w:r>
      <w:r>
        <w:rPr>
          <w:rFonts w:hint="default" w:ascii="仿宋" w:hAnsi="仿宋" w:eastAsia="仿宋" w:cs="仿宋"/>
          <w:sz w:val="32"/>
          <w:szCs w:val="32"/>
          <w:lang w:eastAsia="zh-CN"/>
        </w:rPr>
        <w:t>认真遵守</w:t>
      </w:r>
      <w:r>
        <w:rPr>
          <w:rFonts w:hint="eastAsia" w:ascii="仿宋" w:hAnsi="仿宋" w:eastAsia="仿宋" w:cs="仿宋"/>
          <w:sz w:val="32"/>
          <w:szCs w:val="32"/>
          <w:lang w:eastAsia="zh-CN"/>
        </w:rPr>
        <w:t>公务接待要求</w:t>
      </w:r>
      <w:r>
        <w:rPr>
          <w:rFonts w:hint="default" w:ascii="仿宋" w:hAnsi="仿宋" w:eastAsia="仿宋" w:cs="仿宋"/>
          <w:sz w:val="32"/>
          <w:szCs w:val="32"/>
          <w:lang w:eastAsia="zh-CN"/>
        </w:rPr>
        <w:t>，</w:t>
      </w:r>
      <w:r>
        <w:rPr>
          <w:rFonts w:hint="eastAsia" w:ascii="仿宋" w:hAnsi="仿宋" w:eastAsia="仿宋" w:cs="仿宋"/>
          <w:sz w:val="32"/>
          <w:szCs w:val="32"/>
          <w:lang w:eastAsia="zh-CN"/>
        </w:rPr>
        <w:t>全面压缩公务接待费用支出</w:t>
      </w:r>
      <w:r>
        <w:rPr>
          <w:rFonts w:hint="eastAsia" w:ascii="仿宋_GB2312" w:hAnsi="宋体" w:eastAsia="仿宋_GB2312" w:cs="Courier New"/>
          <w:sz w:val="32"/>
          <w:szCs w:val="32"/>
        </w:rPr>
        <w:t>。</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6.3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96</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0.25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%。具体情况如下：</w:t>
      </w:r>
    </w:p>
    <w:p>
      <w:pPr>
        <w:numPr>
          <w:ilvl w:val="0"/>
          <w:numId w:val="11"/>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万元。全年因公出国（境）团组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人次。开支内容包括：</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r>
        <w:rPr>
          <w:rFonts w:hint="eastAsia" w:ascii="仿宋_GB2312" w:hAnsi="宋体" w:eastAsia="仿宋_GB2312" w:cs="Courier New"/>
          <w:b/>
          <w:bCs/>
          <w:sz w:val="32"/>
          <w:szCs w:val="32"/>
        </w:rPr>
        <w:t>会议</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万元，主要用于参加以下国际会议</w:t>
      </w:r>
      <w:r>
        <w:rPr>
          <w:rFonts w:hint="eastAsia" w:ascii="仿宋_GB2312" w:hAnsi="宋体" w:eastAsia="仿宋_GB2312" w:cs="Courier New"/>
          <w:sz w:val="32"/>
          <w:szCs w:val="32"/>
          <w:lang w:eastAsia="zh-CN"/>
        </w:rPr>
        <w:t>无。</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万元，主要参加谈判和磋商</w:t>
      </w:r>
      <w:r>
        <w:rPr>
          <w:rFonts w:hint="eastAsia" w:ascii="仿宋_GB2312" w:hAnsi="宋体" w:eastAsia="仿宋_GB2312" w:cs="Courier New"/>
          <w:sz w:val="32"/>
          <w:szCs w:val="32"/>
          <w:lang w:eastAsia="zh-CN"/>
        </w:rPr>
        <w:t>无</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万元，提高财政管理水平而举办的公共财政支出结构比较研究、社会保障政策等</w:t>
      </w:r>
      <w:r>
        <w:rPr>
          <w:rFonts w:hint="eastAsia" w:ascii="仿宋_GB2312" w:hAnsi="宋体" w:eastAsia="仿宋_GB2312" w:cs="Courier New"/>
          <w:sz w:val="32"/>
          <w:szCs w:val="32"/>
          <w:lang w:eastAsia="zh-CN"/>
        </w:rPr>
        <w:t>支出无</w:t>
      </w:r>
      <w:r>
        <w:rPr>
          <w:rFonts w:hint="eastAsia" w:ascii="仿宋_GB2312" w:hAnsi="宋体" w:eastAsia="仿宋_GB2312" w:cs="Courier New"/>
          <w:sz w:val="32"/>
          <w:szCs w:val="32"/>
        </w:rPr>
        <w:t>。</w:t>
      </w:r>
    </w:p>
    <w:p>
      <w:pPr>
        <w:numPr>
          <w:ilvl w:val="0"/>
          <w:numId w:val="11"/>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6.3</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6.3</w:t>
      </w:r>
      <w:r>
        <w:rPr>
          <w:rFonts w:hint="eastAsia" w:ascii="仿宋_GB2312" w:hAnsi="宋体" w:eastAsia="仿宋_GB2312" w:cs="Courier New"/>
          <w:sz w:val="32"/>
          <w:szCs w:val="32"/>
        </w:rPr>
        <w:t>万元。主要用于</w:t>
      </w:r>
      <w:r>
        <w:rPr>
          <w:rFonts w:hint="eastAsia" w:ascii="仿宋_GB2312" w:eastAsia="仿宋_GB2312"/>
          <w:sz w:val="32"/>
          <w:szCs w:val="32"/>
        </w:rPr>
        <w:t>公务用车燃料费、维修费、过路过桥费、保险费等支出</w:t>
      </w: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eastAsia="zh-CN"/>
        </w:rPr>
        <w:t>魏都区司法局</w:t>
      </w:r>
      <w:r>
        <w:rPr>
          <w:rFonts w:hint="eastAsia" w:ascii="仿宋_GB2312" w:hAnsi="宋体" w:eastAsia="仿宋_GB2312" w:cs="Courier New"/>
          <w:sz w:val="32"/>
          <w:szCs w:val="32"/>
        </w:rPr>
        <w:t>单位开支财政拨款的</w:t>
      </w:r>
      <w:r>
        <w:rPr>
          <w:rFonts w:hint="eastAsia" w:ascii="仿宋_GB2312" w:hAnsi="宋体" w:eastAsia="仿宋_GB2312" w:cs="Courier New"/>
          <w:sz w:val="32"/>
          <w:szCs w:val="32"/>
          <w:lang w:eastAsia="zh-CN"/>
        </w:rPr>
        <w:t>执法执勤用车</w:t>
      </w:r>
      <w:r>
        <w:rPr>
          <w:rFonts w:hint="eastAsia" w:ascii="仿宋_GB2312" w:hAnsi="宋体" w:eastAsia="仿宋_GB2312" w:cs="Courier New"/>
          <w:sz w:val="32"/>
          <w:szCs w:val="32"/>
        </w:rPr>
        <w:t>保有量为</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p>
    <w:p>
      <w:pPr>
        <w:numPr>
          <w:ilvl w:val="0"/>
          <w:numId w:val="11"/>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公务接待费支出</w:t>
      </w:r>
      <w:r>
        <w:rPr>
          <w:rFonts w:hint="eastAsia" w:ascii="仿宋_GB2312" w:hAnsi="宋体" w:eastAsia="仿宋_GB2312" w:cs="Courier New"/>
          <w:b/>
          <w:bCs/>
          <w:sz w:val="32"/>
          <w:szCs w:val="32"/>
          <w:lang w:val="en-US" w:eastAsia="zh-CN"/>
        </w:rPr>
        <w:t>0.25</w:t>
      </w:r>
      <w:r>
        <w:rPr>
          <w:rFonts w:hint="eastAsia" w:ascii="仿宋_GB2312" w:hAnsi="宋体" w:eastAsia="仿宋_GB2312" w:cs="Courier New"/>
          <w:b/>
          <w:bCs/>
          <w:sz w:val="32"/>
          <w:szCs w:val="32"/>
        </w:rPr>
        <w:t>万元。</w:t>
      </w:r>
      <w:r>
        <w:rPr>
          <w:rFonts w:hint="eastAsia" w:ascii="仿宋_GB2312" w:hAnsi="宋体" w:eastAsia="仿宋_GB2312" w:cs="Courier New"/>
          <w:sz w:val="32"/>
          <w:szCs w:val="32"/>
        </w:rPr>
        <w:t>主要用于</w:t>
      </w:r>
      <w:r>
        <w:rPr>
          <w:rFonts w:hint="eastAsia"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eastAsia="zh-CN"/>
        </w:rPr>
        <w:t>各类</w:t>
      </w:r>
      <w:r>
        <w:rPr>
          <w:rFonts w:hint="eastAsia" w:ascii="仿宋" w:hAnsi="仿宋" w:eastAsia="仿宋" w:cs="仿宋"/>
          <w:sz w:val="32"/>
          <w:szCs w:val="32"/>
        </w:rPr>
        <w:t>公务接待费支出</w:t>
      </w:r>
      <w:r>
        <w:rPr>
          <w:rFonts w:hint="eastAsia" w:ascii="仿宋" w:hAnsi="仿宋" w:eastAsia="仿宋" w:cs="仿宋"/>
          <w:sz w:val="32"/>
          <w:szCs w:val="32"/>
          <w:lang w:eastAsia="zh-CN"/>
        </w:rPr>
        <w:t>，</w:t>
      </w:r>
      <w:r>
        <w:rPr>
          <w:rFonts w:hint="eastAsia" w:ascii="仿宋" w:hAnsi="仿宋" w:eastAsia="仿宋"/>
          <w:sz w:val="32"/>
          <w:lang w:eastAsia="zh-CN"/>
        </w:rPr>
        <w:t>共接待</w:t>
      </w:r>
      <w:r>
        <w:rPr>
          <w:rFonts w:hint="eastAsia" w:ascii="仿宋" w:hAnsi="仿宋" w:eastAsia="仿宋"/>
          <w:sz w:val="32"/>
          <w:lang w:val="en-US" w:eastAsia="zh-CN"/>
        </w:rPr>
        <w:t>8批次、62人次。</w:t>
      </w:r>
      <w:r>
        <w:rPr>
          <w:rFonts w:hint="eastAsia" w:ascii="仿宋_GB2312" w:hAnsi="宋体" w:eastAsia="仿宋_GB2312" w:cs="Courier New"/>
          <w:sz w:val="32"/>
          <w:szCs w:val="32"/>
        </w:rPr>
        <w:t>2016年度共接待国内来访团组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个、来访人员</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人次（不包括陪同人员）。</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本系统</w:t>
      </w:r>
      <w:r>
        <w:rPr>
          <w:rFonts w:hint="eastAsia" w:ascii="黑体" w:hAnsi="黑体" w:eastAsia="黑体"/>
          <w:sz w:val="32"/>
          <w:szCs w:val="32"/>
        </w:rPr>
        <w:t>预算绩效情况说明</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numPr>
          <w:numId w:val="0"/>
        </w:numPr>
        <w:kinsoku w:val="0"/>
        <w:overflowPunct w:val="0"/>
        <w:autoSpaceDE w:val="0"/>
        <w:autoSpaceDN w:val="0"/>
        <w:adjustRightInd w:val="0"/>
        <w:snapToGrid w:val="0"/>
        <w:spacing w:line="360" w:lineRule="auto"/>
        <w:rPr>
          <w:rFonts w:ascii="楷体_GB2312" w:hAnsi="楷体_GB2312" w:eastAsia="楷体_GB2312" w:cs="楷体_GB2312"/>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魏都区司法系统未</w:t>
      </w:r>
      <w:r>
        <w:rPr>
          <w:rFonts w:hint="eastAsia" w:ascii="仿宋_GB2312" w:hAnsi="宋体" w:eastAsia="仿宋_GB2312" w:cs="Courier New"/>
          <w:sz w:val="32"/>
          <w:szCs w:val="32"/>
        </w:rPr>
        <w:t>对2016年度一般公共预算项目支出开展绩效自评。</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仿宋_GB2312" w:hAnsi="宋体" w:eastAsia="仿宋_GB2312" w:cs="Courier New"/>
          <w:sz w:val="32"/>
          <w:szCs w:val="32"/>
          <w:lang w:eastAsia="zh-CN"/>
        </w:rPr>
        <w:t>魏都区司法系统未</w:t>
      </w:r>
      <w:r>
        <w:rPr>
          <w:rFonts w:hint="eastAsia" w:ascii="仿宋_GB2312" w:hAnsi="宋体" w:eastAsia="仿宋_GB2312" w:cs="Courier New"/>
          <w:sz w:val="32"/>
          <w:szCs w:val="32"/>
        </w:rPr>
        <w:t>在2016年度部门决算中增加项目绩效评价结果。</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本系统</w:t>
      </w:r>
      <w:r>
        <w:rPr>
          <w:rFonts w:hint="eastAsia" w:ascii="黑体" w:hAnsi="黑体" w:eastAsia="黑体"/>
          <w:sz w:val="32"/>
          <w:szCs w:val="32"/>
        </w:rPr>
        <w:t>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7"/>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3"/>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2016年度机关运行经费支出</w:t>
      </w:r>
      <w:r>
        <w:rPr>
          <w:rFonts w:hint="eastAsia" w:ascii="仿宋_GB2312" w:hAnsi="宋体" w:eastAsia="仿宋_GB2312" w:cs="Courier New"/>
          <w:sz w:val="32"/>
          <w:szCs w:val="32"/>
          <w:lang w:val="en-US" w:eastAsia="zh-CN"/>
        </w:rPr>
        <w:t>24.78</w:t>
      </w:r>
      <w:r>
        <w:rPr>
          <w:rFonts w:hint="eastAsia" w:ascii="仿宋_GB2312" w:hAnsi="宋体" w:eastAsia="仿宋_GB2312" w:cs="Courier New"/>
          <w:sz w:val="32"/>
          <w:szCs w:val="32"/>
        </w:rPr>
        <w:t>万元，比2015年增</w:t>
      </w:r>
      <w:r>
        <w:rPr>
          <w:rFonts w:hint="eastAsia" w:ascii="仿宋_GB2312" w:hAnsi="宋体" w:eastAsia="仿宋_GB2312" w:cs="Courier New"/>
          <w:sz w:val="32"/>
          <w:szCs w:val="32"/>
          <w:lang w:val="en-US" w:eastAsia="zh-CN"/>
        </w:rPr>
        <w:t>加2.04</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8</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13"/>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2016年度政府采购支出总额</w:t>
      </w:r>
      <w:r>
        <w:rPr>
          <w:rFonts w:hint="eastAsia" w:ascii="仿宋_GB2312" w:hAnsi="宋体" w:eastAsia="仿宋_GB2312" w:cs="Courier New"/>
          <w:sz w:val="32"/>
          <w:szCs w:val="32"/>
          <w:lang w:val="en-US" w:eastAsia="zh-CN"/>
        </w:rPr>
        <w:t>91.32</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28.52</w:t>
      </w:r>
      <w:r>
        <w:rPr>
          <w:rFonts w:hint="eastAsia" w:ascii="仿宋_GB2312" w:hAnsi="宋体" w:eastAsia="仿宋_GB2312" w:cs="Courier New"/>
          <w:sz w:val="32"/>
          <w:szCs w:val="32"/>
        </w:rPr>
        <w:t>万元，政府采购工程支出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万元，政府采购服务支出</w:t>
      </w:r>
      <w:r>
        <w:rPr>
          <w:rFonts w:hint="eastAsia" w:ascii="仿宋_GB2312" w:hAnsi="宋体" w:eastAsia="仿宋_GB2312" w:cs="Courier New"/>
          <w:sz w:val="32"/>
          <w:szCs w:val="32"/>
          <w:lang w:val="en-US" w:eastAsia="zh-CN"/>
        </w:rPr>
        <w:t>62.8</w:t>
      </w:r>
      <w:r>
        <w:rPr>
          <w:rFonts w:hint="eastAsia" w:ascii="仿宋_GB2312" w:hAnsi="宋体" w:eastAsia="仿宋_GB2312" w:cs="Courier New"/>
          <w:sz w:val="32"/>
          <w:szCs w:val="32"/>
        </w:rPr>
        <w:t>万元。授予中小企业合同金额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%，其中：授予小微企业合同金额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万元，占政府采购支出总额的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13"/>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w:t>
      </w:r>
      <w:r>
        <w:rPr>
          <w:rFonts w:hint="eastAsia" w:ascii="仿宋_GB2312" w:hAnsi="宋体" w:eastAsia="仿宋_GB2312" w:cs="Courier New"/>
          <w:sz w:val="32"/>
          <w:szCs w:val="32"/>
          <w:lang w:val="en-US" w:eastAsia="zh-CN"/>
        </w:rPr>
        <w:t>魏都区司法局</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辆、一般执法执勤用车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辆、特种专业技术用车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辆，其他用车</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辆；单价50万元以上通用设备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420" w:firstLineChars="200"/>
        <w:sectPr>
          <w:pgSz w:w="11906" w:h="16838"/>
          <w:pgMar w:top="1440" w:right="1531" w:bottom="1440" w:left="1587" w:header="850" w:footer="992" w:gutter="0"/>
          <w:pgNumType w:fmt="numberInDash"/>
          <w:cols w:space="720" w:num="1"/>
          <w:docGrid w:type="lines" w:linePitch="317"/>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sectPr>
          <w:pgSz w:w="11906" w:h="16838"/>
          <w:pgMar w:top="1440" w:right="1531" w:bottom="1440" w:left="1587" w:header="850" w:footer="992" w:gutter="0"/>
          <w:pgNumType w:fmt="numberInDash"/>
          <w:cols w:space="720" w:num="1"/>
          <w:docGrid w:type="lines" w:linePitch="317"/>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eastAsia="zh-CN"/>
        </w:rPr>
        <w:t>区</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lang w:eastAsia="zh-CN"/>
        </w:rPr>
        <w:t>八</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eastAsia="zh-CN"/>
        </w:rPr>
        <w:t>区</w:t>
      </w:r>
      <w:r>
        <w:rPr>
          <w:rFonts w:hint="eastAsia" w:ascii="仿宋_GB2312" w:hAnsi="宋体" w:eastAsia="仿宋_GB2312" w:cs="Courier New"/>
          <w:sz w:val="32"/>
          <w:szCs w:val="32"/>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方正小标宋简体">
    <w:altName w:val="宋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
    <w:altName w:val="楷体_GB2312"/>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080E0000" w:usb2="00000000" w:usb3="00000000" w:csb0="00040001"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隶书">
    <w:altName w:val="宋体"/>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 w:name="叶根友毛笔行书2.0版">
    <w:altName w:val="宋体"/>
    <w:panose1 w:val="02010601030101010101"/>
    <w:charset w:val="86"/>
    <w:family w:val="auto"/>
    <w:pitch w:val="default"/>
    <w:sig w:usb0="00000001" w:usb1="080E0000" w:usb2="00000000" w:usb3="00000000" w:csb0="00040000" w:csb1="00000000"/>
  </w:font>
  <w:font w:name="方正隶变_GBK">
    <w:altName w:val="宋体"/>
    <w:panose1 w:val="02000000000000000000"/>
    <w:charset w:val="86"/>
    <w:family w:val="auto"/>
    <w:pitch w:val="default"/>
    <w:sig w:usb0="800002BF" w:usb1="38C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1"/>
      <w:numFmt w:val="decimal"/>
      <w:suff w:val="nothing"/>
      <w:lvlText w:val="%1．"/>
      <w:lvlJc w:val="left"/>
      <w:pPr>
        <w:ind w:left="0" w:firstLine="400"/>
      </w:pPr>
      <w:rPr>
        <w:rFonts w:hint="default"/>
      </w:rPr>
    </w:lvl>
  </w:abstractNum>
  <w:abstractNum w:abstractNumId="8">
    <w:nsid w:val="00000008"/>
    <w:multiLevelType w:val="singleLevel"/>
    <w:tmpl w:val="00000008"/>
    <w:lvl w:ilvl="0" w:tentative="1">
      <w:start w:val="2"/>
      <w:numFmt w:val="chineseCounting"/>
      <w:suff w:val="nothing"/>
      <w:lvlText w:val="%1、"/>
      <w:lvlJc w:val="left"/>
    </w:lvl>
  </w:abstractNum>
  <w:abstractNum w:abstractNumId="12">
    <w:nsid w:val="0000000C"/>
    <w:multiLevelType w:val="singleLevel"/>
    <w:tmpl w:val="0000000C"/>
    <w:lvl w:ilvl="0" w:tentative="1">
      <w:start w:val="1"/>
      <w:numFmt w:val="chineseCounting"/>
      <w:suff w:val="nothing"/>
      <w:lvlText w:val="（%1）"/>
      <w:lvlJc w:val="left"/>
      <w:pPr>
        <w:ind w:left="0" w:firstLine="420"/>
      </w:pPr>
      <w:rPr>
        <w:rFonts w:hint="eastAsia"/>
      </w:rPr>
    </w:lvl>
  </w:abstractNum>
  <w:abstractNum w:abstractNumId="13">
    <w:nsid w:val="0000000D"/>
    <w:multiLevelType w:val="singleLevel"/>
    <w:tmpl w:val="0000000D"/>
    <w:lvl w:ilvl="0" w:tentative="1">
      <w:start w:val="1"/>
      <w:numFmt w:val="chineseCounting"/>
      <w:suff w:val="nothing"/>
      <w:lvlText w:val="（%1）"/>
      <w:lvlJc w:val="left"/>
      <w:pPr>
        <w:ind w:left="0" w:firstLine="420"/>
      </w:pPr>
      <w:rPr>
        <w:rFonts w:hint="eastAsia"/>
      </w:rPr>
    </w:lvl>
  </w:abstractNum>
  <w:abstractNum w:abstractNumId="14">
    <w:nsid w:val="0000000E"/>
    <w:multiLevelType w:val="singleLevel"/>
    <w:tmpl w:val="0000000E"/>
    <w:lvl w:ilvl="0" w:tentative="1">
      <w:start w:val="1"/>
      <w:numFmt w:val="chineseCounting"/>
      <w:suff w:val="nothing"/>
      <w:lvlText w:val="%1、"/>
      <w:lvlJc w:val="left"/>
    </w:lvl>
  </w:abstractNum>
  <w:abstractNum w:abstractNumId="15">
    <w:nsid w:val="0000000F"/>
    <w:multiLevelType w:val="singleLevel"/>
    <w:tmpl w:val="0000000F"/>
    <w:lvl w:ilvl="0" w:tentative="1">
      <w:start w:val="1"/>
      <w:numFmt w:val="chineseCounting"/>
      <w:suff w:val="nothing"/>
      <w:lvlText w:val="%1、"/>
      <w:lvlJc w:val="left"/>
      <w:pPr>
        <w:ind w:left="0" w:firstLine="420"/>
      </w:pPr>
      <w:rPr>
        <w:rFonts w:hint="eastAsia"/>
      </w:rPr>
    </w:lvl>
  </w:abstractNum>
  <w:abstractNum w:abstractNumId="16">
    <w:nsid w:val="00000010"/>
    <w:multiLevelType w:val="singleLevel"/>
    <w:tmpl w:val="00000010"/>
    <w:lvl w:ilvl="0" w:tentative="1">
      <w:start w:val="3"/>
      <w:numFmt w:val="chineseCounting"/>
      <w:suff w:val="nothing"/>
      <w:lvlText w:val="（%1）"/>
      <w:lvlJc w:val="left"/>
    </w:lvl>
  </w:abstractNum>
  <w:abstractNum w:abstractNumId="17">
    <w:nsid w:val="00000011"/>
    <w:multiLevelType w:val="singleLevel"/>
    <w:tmpl w:val="00000011"/>
    <w:lvl w:ilvl="0" w:tentative="1">
      <w:start w:val="1"/>
      <w:numFmt w:val="chineseCounting"/>
      <w:suff w:val="nothing"/>
      <w:lvlText w:val="%1、"/>
      <w:lvlJc w:val="left"/>
      <w:pPr>
        <w:ind w:left="0" w:firstLine="420"/>
      </w:pPr>
      <w:rPr>
        <w:rFonts w:hint="eastAsia"/>
      </w:rPr>
    </w:lvl>
  </w:abstractNum>
  <w:abstractNum w:abstractNumId="18">
    <w:nsid w:val="00000012"/>
    <w:multiLevelType w:val="singleLevel"/>
    <w:tmpl w:val="00000012"/>
    <w:lvl w:ilvl="0" w:tentative="1">
      <w:start w:val="1"/>
      <w:numFmt w:val="chineseCounting"/>
      <w:suff w:val="nothing"/>
      <w:lvlText w:val="（%1）"/>
      <w:lvlJc w:val="left"/>
      <w:pPr>
        <w:ind w:left="0" w:firstLine="420"/>
      </w:pPr>
      <w:rPr>
        <w:rFonts w:hint="eastAsia"/>
      </w:rPr>
    </w:lvl>
  </w:abstractNum>
  <w:abstractNum w:abstractNumId="19">
    <w:nsid w:val="00000013"/>
    <w:multiLevelType w:val="singleLevel"/>
    <w:tmpl w:val="00000013"/>
    <w:lvl w:ilvl="0" w:tentative="1">
      <w:start w:val="1"/>
      <w:numFmt w:val="decimal"/>
      <w:suff w:val="nothing"/>
      <w:lvlText w:val="%1．"/>
      <w:lvlJc w:val="left"/>
      <w:pPr>
        <w:ind w:left="0" w:firstLine="400"/>
      </w:pPr>
      <w:rPr>
        <w:rFonts w:hint="default"/>
      </w:rPr>
    </w:lvl>
  </w:abstractNum>
  <w:abstractNum w:abstractNumId="20">
    <w:nsid w:val="00000014"/>
    <w:multiLevelType w:val="multilevel"/>
    <w:tmpl w:val="00000014"/>
    <w:lvl w:ilvl="0" w:tentative="1">
      <w:start w:val="1"/>
      <w:numFmt w:val="decimal"/>
      <w:suff w:val="nothing"/>
      <w:lvlText w:val="%1．"/>
      <w:lvlJc w:val="left"/>
      <w:pPr>
        <w:ind w:left="0" w:firstLine="400"/>
      </w:pPr>
      <w:rPr>
        <w:rFonts w:hint="default"/>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21">
    <w:nsid w:val="00000015"/>
    <w:multiLevelType w:val="singleLevel"/>
    <w:tmpl w:val="00000015"/>
    <w:lvl w:ilvl="0" w:tentative="1">
      <w:start w:val="1"/>
      <w:numFmt w:val="chineseCounting"/>
      <w:suff w:val="nothing"/>
      <w:lvlText w:val="（%1）"/>
      <w:lvlJc w:val="left"/>
      <w:pPr>
        <w:ind w:left="0" w:firstLine="420"/>
      </w:pPr>
      <w:rPr>
        <w:rFonts w:hint="eastAsia"/>
      </w:rPr>
    </w:lvl>
  </w:abstractNum>
  <w:abstractNum w:abstractNumId="22">
    <w:nsid w:val="00000016"/>
    <w:multiLevelType w:val="singleLevel"/>
    <w:tmpl w:val="00000016"/>
    <w:lvl w:ilvl="0" w:tentative="1">
      <w:start w:val="1"/>
      <w:numFmt w:val="chineseCounting"/>
      <w:suff w:val="nothing"/>
      <w:lvlText w:val="（%1）"/>
      <w:lvlJc w:val="left"/>
      <w:pPr>
        <w:ind w:left="0" w:firstLine="420"/>
      </w:pPr>
      <w:rPr>
        <w:rFonts w:hint="eastAsia"/>
      </w:rPr>
    </w:lvl>
  </w:abstractNum>
  <w:num w:numId="1">
    <w:abstractNumId w:val="14"/>
  </w:num>
  <w:num w:numId="2">
    <w:abstractNumId w:val="15"/>
  </w:num>
  <w:num w:numId="3">
    <w:abstractNumId w:val="21"/>
  </w:num>
  <w:num w:numId="4">
    <w:abstractNumId w:val="16"/>
  </w:num>
  <w:num w:numId="5">
    <w:abstractNumId w:val="8"/>
  </w:num>
  <w:num w:numId="6">
    <w:abstractNumId w:val="4"/>
  </w:num>
  <w:num w:numId="7">
    <w:abstractNumId w:val="17"/>
  </w:num>
  <w:num w:numId="8">
    <w:abstractNumId w:val="12"/>
  </w:num>
  <w:num w:numId="9">
    <w:abstractNumId w:val="19"/>
  </w:num>
  <w:num w:numId="10">
    <w:abstractNumId w:val="18"/>
  </w:num>
  <w:num w:numId="11">
    <w:abstractNumId w:val="20"/>
  </w:num>
  <w:num w:numId="12">
    <w:abstractNumId w:val="2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5">
    <w:name w:val="font31"/>
    <w:basedOn w:val="4"/>
    <w:rPr>
      <w:rFonts w:ascii="Arial" w:hAnsi="Arial" w:cs="Arial"/>
      <w:color w:val="000000"/>
      <w:sz w:val="16"/>
      <w:szCs w:val="16"/>
      <w:u w:val="none"/>
    </w:rPr>
  </w:style>
  <w:style w:type="character" w:customStyle="1" w:styleId="6">
    <w:name w:val="font01"/>
    <w:basedOn w:val="4"/>
    <w:rPr>
      <w:rFonts w:hint="default" w:ascii="Arial" w:hAnsi="Arial" w:cs="Arial"/>
      <w:color w:val="000000"/>
      <w:sz w:val="16"/>
      <w:szCs w:val="16"/>
      <w:u w:val="none"/>
    </w:rPr>
  </w:style>
  <w:style w:type="character" w:customStyle="1" w:styleId="7">
    <w:name w:val="font41"/>
    <w:basedOn w:val="4"/>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1512</Words>
  <Characters>8622</Characters>
  <Lines>71</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wsj</dc:creator>
  <cp:lastPrinted>2017-07-26T02:47:00Z</cp:lastPrinted>
  <dcterms:modified xsi:type="dcterms:W3CDTF">2017-10-13T19:59:26Z</dcterms:modified>
  <dc:title>我在线上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