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val="0"/>
        <w:spacing w:before="0" w:after="0" w:line="560" w:lineRule="exact"/>
        <w:ind w:right="0"/>
        <w:jc w:val="center"/>
        <w:outlineLvl w:val="9"/>
        <w:rPr>
          <w:rFonts w:hint="eastAsia" w:ascii="仿宋_GB2312" w:hAnsi="仿宋_GB2312" w:eastAsia="仿宋_GB2312" w:cs="仿宋_GB2312"/>
          <w:color w:val="auto"/>
          <w:sz w:val="32"/>
          <w:szCs w:val="32"/>
          <w:lang w:val="en-US" w:eastAsia="zh-CN"/>
        </w:rP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459" w:lineRule="atLeast"/>
        <w:ind w:firstLine="718" w:firstLineChars="342"/>
        <w:jc w:val="center"/>
        <w:rPr>
          <w:rFonts w:hint="eastAsia"/>
        </w:rPr>
      </w:pPr>
    </w:p>
    <w:p>
      <w:pPr>
        <w:widowControl w:val="0"/>
        <w:snapToGrid w:val="0"/>
        <w:spacing w:line="459" w:lineRule="atLeast"/>
        <w:ind w:firstLine="718" w:firstLineChars="342"/>
        <w:jc w:val="center"/>
        <w:rPr>
          <w:rFonts w:hint="eastAsia"/>
        </w:rPr>
      </w:pPr>
    </w:p>
    <w:p>
      <w:pPr>
        <w:widowControl w:val="0"/>
        <w:snapToGrid w:val="0"/>
        <w:spacing w:line="459" w:lineRule="atLeast"/>
        <w:jc w:val="center"/>
        <w:rPr>
          <w:rFonts w:hint="eastAsia" w:ascii="仿宋_GB2312" w:eastAsia="仿宋_GB2312"/>
          <w:sz w:val="31"/>
        </w:rPr>
      </w:pPr>
      <w:r>
        <w:rPr>
          <w:rFonts w:hint="eastAsia" w:ascii="仿宋_GB2312" w:eastAsia="仿宋_GB2312"/>
          <w:sz w:val="31"/>
        </w:rPr>
        <w:t>许魏发改〔20</w:t>
      </w:r>
      <w:r>
        <w:rPr>
          <w:rFonts w:hint="eastAsia" w:ascii="仿宋_GB2312" w:eastAsia="仿宋_GB2312"/>
          <w:sz w:val="31"/>
          <w:lang w:val="en-US" w:eastAsia="zh-CN"/>
        </w:rPr>
        <w:t>24</w:t>
      </w:r>
      <w:r>
        <w:rPr>
          <w:rFonts w:hint="eastAsia" w:ascii="仿宋_GB2312" w:eastAsia="仿宋_GB2312"/>
          <w:sz w:val="31"/>
        </w:rPr>
        <w:t>〕</w:t>
      </w:r>
      <w:r>
        <w:rPr>
          <w:rFonts w:hint="eastAsia" w:ascii="仿宋_GB2312" w:eastAsia="仿宋_GB2312"/>
          <w:sz w:val="31"/>
          <w:lang w:val="en-US" w:eastAsia="zh-CN"/>
        </w:rPr>
        <w:t>51</w:t>
      </w:r>
      <w:r>
        <w:rPr>
          <w:rFonts w:hint="eastAsia" w:ascii="仿宋_GB2312" w:eastAsia="仿宋_GB2312"/>
          <w:sz w:val="31"/>
        </w:rPr>
        <w:t>号</w:t>
      </w:r>
    </w:p>
    <w:p>
      <w:pPr>
        <w:widowControl w:val="0"/>
        <w:snapToGrid w:val="0"/>
        <w:spacing w:line="459" w:lineRule="atLeast"/>
        <w:jc w:val="center"/>
        <w:rPr>
          <w:rFonts w:hint="eastAsia" w:ascii="仿宋_GB2312" w:eastAsia="仿宋_GB2312"/>
          <w:sz w:val="31"/>
        </w:rPr>
      </w:pPr>
    </w:p>
    <w:p>
      <w:pPr>
        <w:widowControl w:val="0"/>
        <w:snapToGrid w:val="0"/>
        <w:spacing w:line="459" w:lineRule="atLeas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b w:val="0"/>
          <w:bCs/>
          <w:spacing w:val="0"/>
          <w:sz w:val="44"/>
          <w:szCs w:val="44"/>
          <w:lang w:val="en-US" w:eastAsia="zh-CN"/>
        </w:rPr>
        <w:t>关于对许昌市魏都区新兴路及工农路等路段灾后排水设施修复项目可行性研究报告的批复</w:t>
      </w:r>
    </w:p>
    <w:p>
      <w:pPr>
        <w:widowControl w:val="0"/>
        <w:wordWrap/>
        <w:adjustRightInd/>
        <w:snapToGrid w:val="0"/>
        <w:spacing w:before="0" w:after="0" w:line="560" w:lineRule="exact"/>
        <w:ind w:left="0" w:leftChars="0" w:right="0"/>
        <w:jc w:val="left"/>
        <w:outlineLvl w:val="9"/>
        <w:rPr>
          <w:rFonts w:hint="eastAsia" w:ascii="仿宋_GB2312" w:hAnsi="仿宋_GB2312" w:eastAsia="仿宋_GB2312" w:cs="仿宋_GB2312"/>
          <w:b w:val="0"/>
          <w:bCs w:val="0"/>
          <w:snapToGrid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540" w:lineRule="exact"/>
        <w:ind w:left="0" w:leftChars="0" w:right="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napToGrid w:val="0"/>
          <w:spacing w:val="0"/>
          <w:sz w:val="32"/>
          <w:szCs w:val="32"/>
          <w:lang w:val="en-US" w:eastAsia="zh-CN"/>
        </w:rPr>
        <w:t>许昌市魏都区水利局</w:t>
      </w:r>
      <w:r>
        <w:rPr>
          <w:rFonts w:hint="eastAsia" w:ascii="仿宋_GB2312" w:hAnsi="仿宋_GB2312" w:eastAsia="仿宋_GB2312" w:cs="仿宋_GB2312"/>
          <w:b w:val="0"/>
          <w:bCs w:val="0"/>
          <w:snapToGrid w:val="0"/>
          <w:spacing w:val="0"/>
          <w:sz w:val="32"/>
          <w:szCs w:val="32"/>
        </w:rPr>
        <w:t>：</w:t>
      </w:r>
    </w:p>
    <w:p>
      <w:pPr>
        <w:keepNext w:val="0"/>
        <w:keepLines w:val="0"/>
        <w:pageBreakBefore w:val="0"/>
        <w:widowControl w:val="0"/>
        <w:kinsoku/>
        <w:wordWrap/>
        <w:overflowPunct/>
        <w:topLinePunct w:val="0"/>
        <w:autoSpaceDE/>
        <w:autoSpaceDN/>
        <w:bidi w:val="0"/>
        <w:adjustRightInd/>
        <w:snapToGrid w:val="0"/>
        <w:spacing w:before="0" w:after="0" w:line="540" w:lineRule="exact"/>
        <w:ind w:left="0" w:leftChars="0" w:right="0" w:firstLine="640" w:firstLineChars="200"/>
        <w:jc w:val="left"/>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报来许昌市魏都区新兴路及工农路等路段灾后排水设施修复项目立项的请示</w:t>
      </w:r>
      <w:r>
        <w:rPr>
          <w:rFonts w:hint="eastAsia" w:ascii="仿宋_GB2312" w:hAnsi="仿宋_GB2312" w:eastAsia="仿宋_GB2312" w:cs="仿宋_GB2312"/>
          <w:b w:val="0"/>
          <w:bCs w:val="0"/>
          <w:color w:val="auto"/>
          <w:sz w:val="32"/>
          <w:szCs w:val="32"/>
          <w:lang w:val="en-US" w:eastAsia="zh-CN"/>
        </w:rPr>
        <w:t>及有关材料已收悉。经研究，</w:t>
      </w:r>
      <w:r>
        <w:rPr>
          <w:rFonts w:hint="eastAsia" w:ascii="仿宋_GB2312" w:hAnsi="仿宋_GB2312" w:eastAsia="仿宋_GB2312" w:cs="仿宋_GB2312"/>
          <w:b w:val="0"/>
          <w:bCs w:val="0"/>
          <w:i w:val="0"/>
          <w:caps w:val="0"/>
          <w:color w:val="auto"/>
          <w:spacing w:val="0"/>
          <w:sz w:val="32"/>
          <w:szCs w:val="32"/>
          <w:shd w:val="clear" w:color="auto" w:fill="FFFFFF"/>
        </w:rPr>
        <w:t>批复如下</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before="0" w:after="0" w:line="540" w:lineRule="exact"/>
        <w:ind w:left="0" w:leftChars="0" w:right="0" w:firstLine="640" w:firstLineChars="200"/>
        <w:jc w:val="left"/>
        <w:outlineLvl w:val="9"/>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0"/>
          <w:sz w:val="32"/>
          <w:szCs w:val="32"/>
          <w:lang w:val="en-US" w:eastAsia="zh-CN"/>
        </w:rPr>
        <w:t>一、</w:t>
      </w:r>
      <w:r>
        <w:rPr>
          <w:rFonts w:hint="eastAsia" w:ascii="仿宋_GB2312" w:hAnsi="仿宋_GB2312" w:eastAsia="仿宋_GB2312" w:cs="仿宋_GB2312"/>
          <w:b w:val="0"/>
          <w:bCs w:val="0"/>
          <w:spacing w:val="0"/>
          <w:sz w:val="32"/>
          <w:szCs w:val="32"/>
          <w:lang w:eastAsia="zh-CN"/>
        </w:rPr>
        <w:t>同意</w:t>
      </w:r>
      <w:r>
        <w:rPr>
          <w:rFonts w:hint="eastAsia" w:ascii="仿宋_GB2312" w:hAnsi="仿宋_GB2312" w:eastAsia="仿宋_GB2312" w:cs="仿宋_GB2312"/>
          <w:b w:val="0"/>
          <w:bCs w:val="0"/>
          <w:spacing w:val="0"/>
          <w:sz w:val="32"/>
          <w:szCs w:val="32"/>
          <w:lang w:val="en-US" w:eastAsia="zh-CN"/>
        </w:rPr>
        <w:t>实施</w:t>
      </w:r>
      <w:r>
        <w:rPr>
          <w:rFonts w:hint="eastAsia" w:ascii="仿宋_GB2312" w:hAnsi="仿宋_GB2312" w:eastAsia="仿宋_GB2312" w:cs="仿宋_GB2312"/>
          <w:b w:val="0"/>
          <w:bCs w:val="0"/>
          <w:color w:val="auto"/>
          <w:sz w:val="32"/>
          <w:szCs w:val="32"/>
          <w:lang w:val="en-US" w:eastAsia="zh-CN"/>
        </w:rPr>
        <w:t>许昌市魏都区新兴路及工农路等路段灾后排水设施修复项目</w:t>
      </w:r>
      <w:r>
        <w:rPr>
          <w:rFonts w:hint="eastAsia" w:ascii="仿宋_GB2312" w:hAnsi="仿宋_GB2312" w:eastAsia="仿宋_GB2312" w:cs="仿宋_GB2312"/>
          <w:b w:val="0"/>
          <w:bCs w:val="0"/>
          <w:spacing w:val="0"/>
          <w:sz w:val="32"/>
          <w:szCs w:val="32"/>
          <w:lang w:val="en-US" w:eastAsia="zh-CN"/>
        </w:rPr>
        <w:t>，</w:t>
      </w:r>
      <w:r>
        <w:rPr>
          <w:rFonts w:hint="eastAsia" w:ascii="仿宋_GB2312" w:hAnsi="仿宋_GB2312" w:eastAsia="仿宋_GB2312" w:cs="仿宋_GB2312"/>
          <w:b w:val="0"/>
          <w:bCs w:val="0"/>
          <w:spacing w:val="-6"/>
          <w:sz w:val="32"/>
          <w:szCs w:val="32"/>
          <w:lang w:val="en-US" w:eastAsia="zh-CN"/>
        </w:rPr>
        <w:t>原则</w:t>
      </w:r>
      <w:r>
        <w:rPr>
          <w:rFonts w:hint="eastAsia" w:ascii="仿宋_GB2312" w:hAnsi="仿宋_GB2312" w:eastAsia="仿宋_GB2312" w:cs="仿宋_GB2312"/>
          <w:b w:val="0"/>
          <w:bCs w:val="0"/>
          <w:spacing w:val="-6"/>
          <w:sz w:val="32"/>
          <w:szCs w:val="32"/>
          <w:lang w:eastAsia="zh-CN"/>
        </w:rPr>
        <w:t>同意洛阳城市建设勘察设计院有限公司</w:t>
      </w:r>
      <w:r>
        <w:rPr>
          <w:rFonts w:hint="eastAsia" w:ascii="仿宋_GB2312" w:hAnsi="仿宋_GB2312" w:eastAsia="仿宋_GB2312" w:cs="仿宋_GB2312"/>
          <w:b w:val="0"/>
          <w:bCs w:val="0"/>
          <w:spacing w:val="-6"/>
          <w:sz w:val="32"/>
          <w:szCs w:val="32"/>
          <w:lang w:val="en-US" w:eastAsia="zh-CN"/>
        </w:rPr>
        <w:t>编制的</w:t>
      </w:r>
      <w:r>
        <w:rPr>
          <w:rFonts w:hint="eastAsia" w:ascii="仿宋_GB2312" w:hAnsi="仿宋_GB2312" w:eastAsia="仿宋_GB2312" w:cs="仿宋_GB2312"/>
          <w:b w:val="0"/>
          <w:bCs w:val="0"/>
          <w:spacing w:val="-6"/>
          <w:sz w:val="32"/>
          <w:szCs w:val="32"/>
        </w:rPr>
        <w:t>项目</w:t>
      </w:r>
      <w:r>
        <w:rPr>
          <w:rFonts w:hint="eastAsia" w:ascii="仿宋_GB2312" w:hAnsi="仿宋_GB2312" w:eastAsia="仿宋_GB2312" w:cs="仿宋_GB2312"/>
          <w:b w:val="0"/>
          <w:bCs w:val="0"/>
          <w:spacing w:val="-6"/>
          <w:sz w:val="32"/>
          <w:szCs w:val="32"/>
          <w:lang w:val="en-US" w:eastAsia="zh-CN"/>
        </w:rPr>
        <w:t>可行性研究报告的基本内容</w:t>
      </w:r>
      <w:r>
        <w:rPr>
          <w:rFonts w:hint="eastAsia" w:ascii="仿宋_GB2312" w:hAnsi="仿宋_GB2312" w:eastAsia="仿宋_GB2312" w:cs="仿宋_GB2312"/>
          <w:b w:val="0"/>
          <w:bCs w:val="0"/>
          <w:spacing w:val="-6"/>
          <w:sz w:val="32"/>
          <w:szCs w:val="32"/>
        </w:rPr>
        <w:t>。</w:t>
      </w: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pacing w:val="0"/>
          <w:sz w:val="32"/>
          <w:szCs w:val="32"/>
          <w:lang w:val="en-US" w:eastAsia="zh-CN"/>
        </w:rPr>
        <w:t>二、</w:t>
      </w:r>
      <w:r>
        <w:rPr>
          <w:rFonts w:hint="eastAsia" w:ascii="仿宋_GB2312" w:hAnsi="仿宋_GB2312" w:eastAsia="仿宋_GB2312" w:cs="仿宋_GB2312"/>
          <w:b w:val="0"/>
          <w:bCs w:val="0"/>
          <w:spacing w:val="0"/>
          <w:sz w:val="32"/>
          <w:szCs w:val="32"/>
        </w:rPr>
        <w:t>项目建设地点位于</w:t>
      </w:r>
      <w:r>
        <w:rPr>
          <w:rFonts w:hint="eastAsia" w:ascii="仿宋_GB2312" w:hAnsi="仿宋_GB2312" w:eastAsia="仿宋_GB2312" w:cs="仿宋_GB2312"/>
          <w:b w:val="0"/>
          <w:bCs w:val="0"/>
          <w:spacing w:val="0"/>
          <w:sz w:val="32"/>
          <w:szCs w:val="32"/>
          <w:lang w:eastAsia="zh-CN"/>
        </w:rPr>
        <w:t>许昌市魏都区</w:t>
      </w:r>
      <w:r>
        <w:rPr>
          <w:rFonts w:hint="eastAsia" w:ascii="仿宋_GB2312" w:hAnsi="仿宋_GB2312" w:eastAsia="仿宋_GB2312" w:cs="仿宋_GB2312"/>
          <w:b w:val="0"/>
          <w:bCs w:val="0"/>
          <w:spacing w:val="0"/>
          <w:sz w:val="32"/>
          <w:szCs w:val="32"/>
          <w:lang w:val="en-US" w:eastAsia="zh-CN"/>
        </w:rPr>
        <w:t>新兴路（毓秀路-清潩河入河口）段</w:t>
      </w:r>
      <w:r>
        <w:rPr>
          <w:rFonts w:hint="eastAsia" w:ascii="仿宋_GB2312" w:hAnsi="仿宋_GB2312" w:eastAsia="仿宋_GB2312" w:cs="仿宋_GB2312"/>
          <w:b w:val="0"/>
          <w:bCs w:val="0"/>
          <w:spacing w:val="0"/>
          <w:sz w:val="32"/>
          <w:szCs w:val="32"/>
          <w:lang w:eastAsia="zh-CN"/>
        </w:rPr>
        <w:t>、工农路（新兴路-许由路）段。</w:t>
      </w: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三、</w:t>
      </w:r>
      <w:r>
        <w:rPr>
          <w:rFonts w:hint="eastAsia" w:ascii="仿宋_GB2312" w:hAnsi="仿宋_GB2312" w:eastAsia="仿宋_GB2312" w:cs="仿宋_GB2312"/>
          <w:b w:val="0"/>
          <w:bCs w:val="0"/>
          <w:spacing w:val="0"/>
          <w:sz w:val="32"/>
          <w:szCs w:val="32"/>
        </w:rPr>
        <w:t>项目建设内容及规模</w:t>
      </w: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本项目根据积水内涝情况须重建破损的雨水管道、塌陷的路面，完善积水片区的雨水系统等，主要为：</w:t>
      </w: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1、新兴路（毓秀路-清潩河入河口）段新建雨水管网主干管480米，新建闸门井一座，新建出水口一座，并同时调整沿线雨水口及雨水连管；拆除原有雨水主干管380米，拆除闸门井一座，拆除出水口一座，破除路面并恢复1200平方米，拆除绿化带并恢复1500米。</w:t>
      </w: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w:t>
      </w:r>
      <w:r>
        <w:rPr>
          <w:rFonts w:hint="eastAsia" w:ascii="仿宋_GB2312" w:hAnsi="仿宋_GB2312" w:eastAsia="仿宋_GB2312" w:cs="仿宋_GB2312"/>
          <w:b w:val="0"/>
          <w:bCs w:val="0"/>
          <w:spacing w:val="0"/>
          <w:sz w:val="32"/>
          <w:szCs w:val="32"/>
          <w:lang w:eastAsia="zh-CN"/>
        </w:rPr>
        <w:t>工农路（新兴路-许由路）段</w:t>
      </w:r>
      <w:r>
        <w:rPr>
          <w:rFonts w:hint="eastAsia" w:ascii="仿宋_GB2312" w:hAnsi="仿宋_GB2312" w:eastAsia="仿宋_GB2312" w:cs="仿宋_GB2312"/>
          <w:b w:val="0"/>
          <w:bCs w:val="0"/>
          <w:spacing w:val="0"/>
          <w:sz w:val="32"/>
          <w:szCs w:val="32"/>
          <w:lang w:val="en-US" w:eastAsia="zh-CN"/>
        </w:rPr>
        <w:t>新建雨水主干管1810米，新建雨水连管790米，新建闸门井一座，新建出水口一座；拆除调整雨水连管500米，拆除原有雨水井60座，破除路面并恢复5500平方米。</w:t>
      </w: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spacing w:val="0"/>
          <w:sz w:val="32"/>
          <w:szCs w:val="32"/>
          <w:lang w:val="en-US" w:eastAsia="zh-CN"/>
        </w:rPr>
        <w:t>四、</w:t>
      </w:r>
      <w:r>
        <w:rPr>
          <w:rFonts w:hint="eastAsia" w:ascii="仿宋_GB2312" w:hAnsi="仿宋_GB2312" w:eastAsia="仿宋_GB2312" w:cs="仿宋_GB2312"/>
          <w:b w:val="0"/>
          <w:bCs w:val="0"/>
          <w:spacing w:val="0"/>
          <w:sz w:val="32"/>
          <w:szCs w:val="32"/>
        </w:rPr>
        <w:t>项目</w:t>
      </w:r>
      <w:r>
        <w:rPr>
          <w:rFonts w:hint="eastAsia" w:ascii="仿宋_GB2312" w:hAnsi="仿宋_GB2312" w:eastAsia="仿宋_GB2312" w:cs="仿宋_GB2312"/>
          <w:b w:val="0"/>
          <w:bCs w:val="0"/>
          <w:sz w:val="32"/>
          <w:szCs w:val="32"/>
          <w:lang w:val="en-US" w:eastAsia="zh-CN"/>
        </w:rPr>
        <w:t>计划总投资</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1015.1万元。其中，工程费用894.1万元，工程建设其他费用90.39万元，工程预备费29.53万元，铺底流动资金1.08万元。</w:t>
      </w:r>
      <w:bookmarkStart w:id="0" w:name="_GoBack"/>
      <w:r>
        <w:rPr>
          <w:rFonts w:hint="eastAsia" w:ascii="仿宋_GB2312" w:hAnsi="仿宋_GB2312" w:eastAsia="仿宋_GB2312" w:cs="仿宋_GB2312"/>
          <w:color w:val="000000"/>
          <w:sz w:val="32"/>
          <w:szCs w:val="32"/>
          <w:lang w:val="en-US" w:eastAsia="zh-CN"/>
        </w:rPr>
        <w:t>项目建设所需资金来源为区财政投资、申请中央预算内投资等。</w:t>
      </w:r>
      <w:bookmarkEnd w:id="0"/>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五、</w:t>
      </w:r>
      <w:r>
        <w:rPr>
          <w:rFonts w:hint="eastAsia" w:ascii="仿宋_GB2312" w:hAnsi="仿宋_GB2312" w:eastAsia="仿宋_GB2312" w:cs="仿宋_GB2312"/>
          <w:b w:val="0"/>
          <w:bCs w:val="0"/>
          <w:spacing w:val="0"/>
          <w:sz w:val="32"/>
          <w:szCs w:val="32"/>
        </w:rPr>
        <w:t>请项目单位严格遵守环保、节能、消防、安全、卫生、以工代赈等有关规定，组织好工程实施。</w:t>
      </w: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六、</w:t>
      </w:r>
      <w:r>
        <w:rPr>
          <w:rFonts w:hint="eastAsia" w:ascii="仿宋_GB2312" w:hAnsi="仿宋_GB2312" w:eastAsia="仿宋_GB2312" w:cs="仿宋_GB2312"/>
          <w:b w:val="0"/>
          <w:bCs w:val="0"/>
          <w:spacing w:val="0"/>
          <w:sz w:val="32"/>
          <w:szCs w:val="32"/>
          <w:lang w:val="en-US" w:eastAsia="zh-CN"/>
        </w:rPr>
        <w:t>同意</w:t>
      </w:r>
      <w:r>
        <w:rPr>
          <w:rFonts w:hint="eastAsia" w:ascii="仿宋_GB2312" w:hAnsi="仿宋_GB2312" w:eastAsia="仿宋_GB2312" w:cs="仿宋_GB2312"/>
          <w:b w:val="0"/>
          <w:bCs w:val="0"/>
          <w:snapToGrid w:val="0"/>
          <w:spacing w:val="0"/>
          <w:sz w:val="32"/>
          <w:szCs w:val="32"/>
          <w:lang w:val="en-US" w:eastAsia="zh-CN"/>
        </w:rPr>
        <w:t>许昌市魏都区水利局按照招投标文件规定</w:t>
      </w:r>
      <w:r>
        <w:rPr>
          <w:rFonts w:hint="eastAsia" w:ascii="仿宋_GB2312" w:hAnsi="仿宋_GB2312" w:eastAsia="仿宋_GB2312" w:cs="仿宋_GB2312"/>
          <w:b w:val="0"/>
          <w:bCs w:val="0"/>
          <w:spacing w:val="0"/>
          <w:sz w:val="32"/>
          <w:szCs w:val="32"/>
        </w:rPr>
        <w:t>在勘察、设计、施工、监理</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重要材料及设备采购</w:t>
      </w:r>
      <w:r>
        <w:rPr>
          <w:rFonts w:hint="eastAsia" w:ascii="仿宋_GB2312" w:hAnsi="仿宋_GB2312" w:eastAsia="仿宋_GB2312" w:cs="仿宋_GB2312"/>
          <w:b w:val="0"/>
          <w:bCs w:val="0"/>
          <w:spacing w:val="0"/>
          <w:sz w:val="32"/>
          <w:szCs w:val="32"/>
        </w:rPr>
        <w:t>等环节委托有资质的招标代理机构</w:t>
      </w:r>
      <w:r>
        <w:rPr>
          <w:rFonts w:hint="eastAsia" w:ascii="仿宋_GB2312" w:hAnsi="仿宋_GB2312" w:eastAsia="仿宋_GB2312" w:cs="仿宋_GB2312"/>
          <w:b w:val="0"/>
          <w:bCs w:val="0"/>
          <w:spacing w:val="0"/>
          <w:sz w:val="32"/>
          <w:szCs w:val="32"/>
          <w:lang w:val="en-US" w:eastAsia="zh-CN"/>
        </w:rPr>
        <w:t>组织</w:t>
      </w:r>
      <w:r>
        <w:rPr>
          <w:rFonts w:hint="eastAsia" w:ascii="仿宋_GB2312" w:hAnsi="仿宋_GB2312" w:eastAsia="仿宋_GB2312" w:cs="仿宋_GB2312"/>
          <w:b w:val="0"/>
          <w:bCs w:val="0"/>
          <w:spacing w:val="0"/>
          <w:sz w:val="32"/>
          <w:szCs w:val="32"/>
        </w:rPr>
        <w:t>招标，</w:t>
      </w:r>
      <w:r>
        <w:rPr>
          <w:rFonts w:hint="eastAsia" w:ascii="仿宋_GB2312" w:hAnsi="仿宋_GB2312" w:eastAsia="仿宋_GB2312" w:cs="仿宋_GB2312"/>
          <w:b w:val="0"/>
          <w:bCs w:val="0"/>
          <w:spacing w:val="0"/>
          <w:sz w:val="32"/>
          <w:szCs w:val="32"/>
          <w:lang w:val="en-US" w:eastAsia="zh-CN"/>
        </w:rPr>
        <w:t>并依法</w:t>
      </w:r>
      <w:r>
        <w:rPr>
          <w:rFonts w:hint="eastAsia" w:ascii="仿宋_GB2312" w:hAnsi="仿宋_GB2312" w:eastAsia="仿宋_GB2312" w:cs="仿宋_GB2312"/>
          <w:b w:val="0"/>
          <w:bCs w:val="0"/>
          <w:spacing w:val="0"/>
          <w:sz w:val="32"/>
          <w:szCs w:val="32"/>
        </w:rPr>
        <w:t>发布</w:t>
      </w:r>
      <w:r>
        <w:rPr>
          <w:rFonts w:hint="eastAsia" w:ascii="仿宋_GB2312" w:hAnsi="仿宋_GB2312" w:eastAsia="仿宋_GB2312" w:cs="仿宋_GB2312"/>
          <w:b w:val="0"/>
          <w:bCs w:val="0"/>
          <w:spacing w:val="0"/>
          <w:sz w:val="32"/>
          <w:szCs w:val="32"/>
          <w:lang w:val="en-US" w:eastAsia="zh-CN"/>
        </w:rPr>
        <w:t>同时</w:t>
      </w:r>
      <w:r>
        <w:rPr>
          <w:rFonts w:hint="eastAsia" w:ascii="仿宋_GB2312" w:hAnsi="仿宋_GB2312" w:eastAsia="仿宋_GB2312" w:cs="仿宋_GB2312"/>
          <w:b w:val="0"/>
          <w:bCs w:val="0"/>
          <w:spacing w:val="0"/>
          <w:sz w:val="32"/>
          <w:szCs w:val="32"/>
        </w:rPr>
        <w:t>向有关行政监督部门做好招标文件备案和招标情况报告工作。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请据此批复开展下步工作，完善规划、环评、节能等相关手续。编制工程初步设计及概算，按程序报有关部门核定。</w:t>
      </w: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1"/>
        <w:jc w:val="both"/>
        <w:textAlignment w:val="bottom"/>
        <w:outlineLvl w:val="9"/>
        <w:rPr>
          <w:rFonts w:hint="eastAsia" w:ascii="仿宋_GB2312" w:hAnsi="仿宋_GB2312" w:eastAsia="仿宋_GB2312" w:cs="仿宋_GB2312"/>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1"/>
        <w:jc w:val="both"/>
        <w:textAlignment w:val="bottom"/>
        <w:outlineLvl w:val="9"/>
        <w:rPr>
          <w:rFonts w:hint="eastAsia" w:ascii="仿宋_GB2312" w:hAnsi="仿宋_GB2312" w:eastAsia="仿宋_GB2312" w:cs="仿宋_GB2312"/>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840" w:rightChars="400" w:firstLine="641" w:firstLineChars="0"/>
        <w:jc w:val="right"/>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2024年8月5日</w:t>
      </w:r>
    </w:p>
    <w:sectPr>
      <w:footerReference r:id="rId5" w:type="default"/>
      <w:pgSz w:w="11906" w:h="16838"/>
      <w:pgMar w:top="1701" w:right="1474" w:bottom="1701" w:left="1474" w:header="851" w:footer="992"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Calibri" w:eastAsia="宋体" w:cs="黑体"/>
        <w:color w:val="000000"/>
        <w:spacing w:val="0"/>
        <w:w w:val="100"/>
        <w:sz w:val="18"/>
        <w:szCs w:val="22"/>
        <w:u w:val="none" w:color="000000"/>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Fonts w:hint="eastAsia" w:eastAsia="宋体"/>
                    <w:lang w:eastAsia="zh-CN"/>
                  </w:rPr>
                </w:pPr>
                <w:r>
                  <w:rPr>
                    <w:rFonts w:hint="eastAsia"/>
                    <w:sz w:val="24"/>
                    <w:szCs w:val="36"/>
                    <w:lang w:val="en-US" w:eastAsia="zh-CN"/>
                  </w:rPr>
                  <w:t xml:space="preserve">－ </w:t>
                </w:r>
                <w:r>
                  <w:rPr>
                    <w:rFonts w:hint="eastAsia" w:ascii="宋体" w:hAnsi="宋体" w:eastAsia="宋体" w:cs="宋体"/>
                    <w:sz w:val="32"/>
                    <w:szCs w:val="44"/>
                    <w:lang w:eastAsia="zh-CN"/>
                  </w:rPr>
                  <w:fldChar w:fldCharType="begin"/>
                </w:r>
                <w:r>
                  <w:rPr>
                    <w:rFonts w:hint="eastAsia" w:ascii="宋体" w:hAnsi="宋体" w:eastAsia="宋体" w:cs="宋体"/>
                    <w:sz w:val="32"/>
                    <w:szCs w:val="44"/>
                    <w:lang w:eastAsia="zh-CN"/>
                  </w:rPr>
                  <w:instrText xml:space="preserve"> PAGE  \* MERGEFORMAT </w:instrText>
                </w:r>
                <w:r>
                  <w:rPr>
                    <w:rFonts w:hint="eastAsia" w:ascii="宋体" w:hAnsi="宋体" w:eastAsia="宋体" w:cs="宋体"/>
                    <w:sz w:val="32"/>
                    <w:szCs w:val="44"/>
                    <w:lang w:eastAsia="zh-CN"/>
                  </w:rPr>
                  <w:fldChar w:fldCharType="separate"/>
                </w:r>
                <w:r>
                  <w:rPr>
                    <w:rFonts w:hint="eastAsia" w:ascii="宋体" w:hAnsi="宋体" w:eastAsia="宋体" w:cs="宋体"/>
                    <w:sz w:val="32"/>
                    <w:szCs w:val="44"/>
                    <w:lang w:eastAsia="zh-CN"/>
                  </w:rPr>
                  <w:t>1</w:t>
                </w:r>
                <w:r>
                  <w:rPr>
                    <w:rFonts w:hint="eastAsia" w:ascii="宋体" w:hAnsi="宋体" w:eastAsia="宋体" w:cs="宋体"/>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2A815EB"/>
    <w:rsid w:val="0A4B01E4"/>
    <w:rsid w:val="0B9F3EC2"/>
    <w:rsid w:val="16183009"/>
    <w:rsid w:val="16F615E1"/>
    <w:rsid w:val="19C75CDA"/>
    <w:rsid w:val="221E0366"/>
    <w:rsid w:val="22AA5791"/>
    <w:rsid w:val="2624088D"/>
    <w:rsid w:val="2764581C"/>
    <w:rsid w:val="3480791D"/>
    <w:rsid w:val="37E2489C"/>
    <w:rsid w:val="3AB537A4"/>
    <w:rsid w:val="3C476B9C"/>
    <w:rsid w:val="3D8A539D"/>
    <w:rsid w:val="3E2A5C68"/>
    <w:rsid w:val="3FEA3F7D"/>
    <w:rsid w:val="41972C3C"/>
    <w:rsid w:val="43CB4D86"/>
    <w:rsid w:val="494E5765"/>
    <w:rsid w:val="4AF94890"/>
    <w:rsid w:val="570E25BE"/>
    <w:rsid w:val="5BE537D4"/>
    <w:rsid w:val="67DE20B9"/>
    <w:rsid w:val="6A153793"/>
    <w:rsid w:val="6FEF06E1"/>
    <w:rsid w:val="71D42520"/>
    <w:rsid w:val="744B4216"/>
    <w:rsid w:val="746E0A10"/>
    <w:rsid w:val="75267B11"/>
    <w:rsid w:val="7A3D4230"/>
    <w:rsid w:val="7CDD65C2"/>
    <w:rsid w:val="7F9568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578" w:lineRule="atLeast"/>
      <w:ind w:left="0" w:right="0" w:firstLine="0"/>
      <w:jc w:val="both"/>
      <w:textAlignment w:val="baseline"/>
    </w:pPr>
    <w:rPr>
      <w:rFonts w:ascii="Times New Roman" w:hAnsi="Calibri" w:eastAsia="宋体" w:cs="黑体"/>
      <w:color w:val="000000"/>
      <w:spacing w:val="0"/>
      <w:w w:val="100"/>
      <w:sz w:val="21"/>
      <w:szCs w:val="22"/>
      <w:u w:val="none" w:color="000000"/>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vank</dc:creator>
  <cp:lastModifiedBy>Administrator</cp:lastModifiedBy>
  <cp:lastPrinted>2024-08-09T03:14:58Z</cp:lastPrinted>
  <dcterms:modified xsi:type="dcterms:W3CDTF">2024-08-09T03:16:35Z</dcterms:modified>
  <dc:title>vank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003C2D371DFD4F809BF1844A76A4F53A</vt:lpwstr>
  </property>
</Properties>
</file>