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36</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关于对许昌市建设路小学安全隐患整改和基础建设提升项目可行性研究报告的批复</w:t>
      </w:r>
    </w:p>
    <w:p>
      <w:pPr>
        <w:widowControl w:val="0"/>
        <w:wordWrap/>
        <w:adjustRightInd/>
        <w:snapToGrid w:val="0"/>
        <w:spacing w:before="0" w:after="0" w:line="560" w:lineRule="exact"/>
        <w:ind w:left="0" w:leftChars="0" w:right="0"/>
        <w:jc w:val="left"/>
        <w:outlineLvl w:val="9"/>
        <w:rPr>
          <w:rFonts w:hint="eastAsia" w:ascii="仿宋_GB2312" w:hAnsi="仿宋_GB2312" w:eastAsia="仿宋_GB2312" w:cs="仿宋_GB2312"/>
          <w:b w:val="0"/>
          <w:bCs w:val="0"/>
          <w:snapToGrid w:val="0"/>
          <w:spacing w:val="0"/>
          <w:sz w:val="32"/>
          <w:szCs w:val="32"/>
          <w:lang w:val="en-US" w:eastAsia="zh-CN"/>
        </w:rPr>
      </w:pPr>
    </w:p>
    <w:p>
      <w:pPr>
        <w:widowControl w:val="0"/>
        <w:wordWrap/>
        <w:adjustRightInd/>
        <w:snapToGrid w:val="0"/>
        <w:spacing w:before="0" w:after="0" w:line="560" w:lineRule="exact"/>
        <w:ind w:left="0" w:leftChars="0" w:right="0"/>
        <w:jc w:val="left"/>
        <w:outlineLvl w:val="9"/>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许昌市建设路小学：</w:t>
      </w:r>
    </w:p>
    <w:p>
      <w:pPr>
        <w:pStyle w:val="5"/>
        <w:wordWrap/>
        <w:adjustRightInd/>
        <w:spacing w:before="0" w:after="0" w:line="560" w:lineRule="exact"/>
        <w:ind w:left="0" w:leftChars="0" w:right="0" w:firstLine="560"/>
        <w:outlineLvl w:val="9"/>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报来许昌市建设路小学安全隐患整改和基础建设提升项目立项的请示及有关材料已收悉。经研究，批复如下：</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color w:val="auto"/>
          <w:sz w:val="32"/>
          <w:szCs w:val="32"/>
          <w:lang w:val="en-US" w:eastAsia="zh-CN"/>
        </w:rPr>
        <w:t>同意实施许昌市建设路小学安全隐患整改和基础建设提升项目，原则同意中韵联合集团股份有限公司编制的项目可行性研究报告的基本内容。</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二、项目名称与建设地点</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本项目位于许昌市许继大道与五一路交叉口东北角，建设路小学校园内。</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三、项目建设内容及规模</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本项目为许昌市建设路小学安全隐患整改和基础建设提升项目，建设内容包括教学楼屋面琉璃瓦清除改造工程293.63 ㎡、楼道铺设PVC 塑胶地板 775.00㎡、楼道顶棚修补粉刷2175.36 ㎡、楼道连廊封闭63.07</w:t>
      </w:r>
      <w:bookmarkStart w:id="0" w:name="_GoBack"/>
      <w:bookmarkEnd w:id="0"/>
      <w:r>
        <w:rPr>
          <w:rFonts w:hint="eastAsia" w:ascii="仿宋_GB2312" w:hAnsi="仿宋_GB2312" w:eastAsia="仿宋_GB2312" w:cs="仿宋_GB2312"/>
          <w:color w:val="auto"/>
          <w:sz w:val="32"/>
          <w:szCs w:val="32"/>
          <w:lang w:val="en-US" w:eastAsia="zh-CN"/>
        </w:rPr>
        <w:t>㎡。</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四、本项目总投资34.75万元，其中工程费用29.5万元，工程建设其他费用3.6万元，基本预备费1.65万元，项目所需资金由魏都区财政教育专项资金支付。</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五、请项目单位严格遵守环保、节能、消防、安全、卫生、以工代赈等有关规定，组织好工程实施。</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同意许昌市建设路小学安全隐患整改和基础建设提升项目按照招投标文件规定在勘察、设计、施工、监理、重要材料及设备采购等环节委托有资质的招标代理机构组织招标，并依法发布同时向有关行政监督部门做好招标文件备案和招标情况报告工作。</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请据此批复开展下步工作，完善规划、环评、节能等相关手续。编制工程初步设计及概算，按程序报有关部门核定。</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七、此文件有效期为两年，在有效期内项目未开工，需继续实施的，请在有效期截止之日前三十日，向我委提出延期申请，经我委同意后，方可实施。</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魏都区发展和改革委员会</w:t>
      </w:r>
    </w:p>
    <w:p>
      <w:pPr>
        <w:wordWrap/>
        <w:adjustRightInd/>
        <w:spacing w:before="0" w:after="0" w:line="560" w:lineRule="exact"/>
        <w:ind w:left="0" w:leftChars="0" w:right="0" w:firstLine="560"/>
        <w:outlineLvl w:val="9"/>
      </w:pPr>
      <w:r>
        <w:rPr>
          <w:rFonts w:hint="eastAsia" w:ascii="仿宋_GB2312" w:hAnsi="仿宋_GB2312" w:eastAsia="仿宋_GB2312" w:cs="仿宋_GB2312"/>
          <w:color w:val="auto"/>
          <w:sz w:val="32"/>
          <w:szCs w:val="32"/>
          <w:lang w:val="en-US" w:eastAsia="zh-CN"/>
        </w:rPr>
        <w:t xml:space="preserve">                              2024年5月24</w:t>
      </w:r>
      <w:r>
        <w:rPr>
          <w:rFonts w:hint="eastAsia" w:ascii="仿宋_GB2312" w:hAnsi="仿宋_GB2312" w:eastAsia="仿宋_GB2312" w:cs="仿宋_GB2312"/>
          <w:sz w:val="32"/>
          <w:szCs w:val="32"/>
          <w:lang w:eastAsia="zh-CN"/>
        </w:rPr>
        <w:t>日</w:t>
      </w:r>
    </w:p>
    <w:sectPr>
      <w:footerReference r:id="rId4" w:type="default"/>
      <w:pgSz w:w="11906" w:h="16838"/>
      <w:pgMar w:top="1701" w:right="1474" w:bottom="1701" w:left="1474"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font-weight : 400">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Arial Narrow">
    <w:altName w:val="Arial"/>
    <w:panose1 w:val="020B0606020202030204"/>
    <w:charset w:val="00"/>
    <w:family w:val="auto"/>
    <w:pitch w:val="default"/>
    <w:sig w:usb0="00000287" w:usb1="000008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Calibri" w:eastAsia="宋体" w:cs="黑体"/>
        <w:color w:val="000000"/>
        <w:spacing w:val="0"/>
        <w:w w:val="100"/>
        <w:sz w:val="18"/>
        <w:szCs w:val="22"/>
        <w:u w:val="none" w:color="000000"/>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宋体" w:hAnsi="宋体" w:eastAsia="宋体" w:cs="宋体"/>
                    <w:sz w:val="32"/>
                    <w:szCs w:val="44"/>
                    <w:lang w:eastAsia="zh-CN"/>
                  </w:rPr>
                  <w:fldChar w:fldCharType="begin"/>
                </w:r>
                <w:r>
                  <w:rPr>
                    <w:rFonts w:hint="eastAsia" w:ascii="宋体" w:hAnsi="宋体" w:eastAsia="宋体" w:cs="宋体"/>
                    <w:sz w:val="32"/>
                    <w:szCs w:val="44"/>
                    <w:lang w:eastAsia="zh-CN"/>
                  </w:rPr>
                  <w:instrText xml:space="preserve"> PAGE  \* MERGEFORMAT </w:instrText>
                </w:r>
                <w:r>
                  <w:rPr>
                    <w:rFonts w:hint="eastAsia" w:ascii="宋体" w:hAnsi="宋体" w:eastAsia="宋体" w:cs="宋体"/>
                    <w:sz w:val="32"/>
                    <w:szCs w:val="44"/>
                    <w:lang w:eastAsia="zh-CN"/>
                  </w:rPr>
                  <w:fldChar w:fldCharType="separate"/>
                </w:r>
                <w:r>
                  <w:rPr>
                    <w:rFonts w:hint="eastAsia" w:ascii="宋体" w:hAnsi="宋体" w:eastAsia="宋体" w:cs="宋体"/>
                    <w:sz w:val="32"/>
                    <w:szCs w:val="44"/>
                    <w:lang w:eastAsia="zh-CN"/>
                  </w:rPr>
                  <w:t>1</w:t>
                </w:r>
                <w:r>
                  <w:rPr>
                    <w:rFonts w:hint="eastAsia" w:ascii="宋体" w:hAnsi="宋体" w:eastAsia="宋体" w:cs="宋体"/>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spacing w:before="0" w:after="0" w:line="578" w:lineRule="atLeast"/>
      <w:ind w:left="0" w:right="0" w:firstLine="0"/>
      <w:jc w:val="both"/>
      <w:textAlignment w:val="baseline"/>
    </w:pPr>
    <w:rPr>
      <w:rFonts w:ascii="Times New Roman" w:hAnsi="Calibri" w:eastAsia="宋体" w:cs="黑体"/>
      <w:color w:val="000000"/>
      <w:spacing w:val="0"/>
      <w:w w:val="100"/>
      <w:sz w:val="21"/>
      <w:szCs w:val="22"/>
      <w:u w:val="none" w:color="000000"/>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样式 样式 样式 正文py + 首行缩进:  2 字符 + 首行缩进:  0.99 厘米 + 首行缩进:  0.99 厘米"/>
    <w:rPr>
      <w:rFonts w:cs="宋体"/>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vank</dc:creator>
  <cp:lastPrinted>2023-03-06T10:28:00Z</cp:lastPrinted>
  <dcterms:modified xsi:type="dcterms:W3CDTF">2024-05-24T15:35:27Z</dcterms:modified>
  <dc:title>vank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