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42</w:t>
      </w:r>
      <w:bookmarkStart w:id="0" w:name="_GoBack"/>
      <w:bookmarkEnd w:id="0"/>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关于对许昌市魏都区曹魏古城旅游区设备更新提升项目可行性研究报告的批复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许昌市魏都区文旅文创中心</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报来许昌市魏都区曹魏古城旅游区设备更新提升项目立项的请示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color w:val="auto"/>
          <w:sz w:val="32"/>
          <w:szCs w:val="32"/>
          <w:lang w:val="en-US" w:eastAsia="zh-CN"/>
        </w:rPr>
        <w:t>许昌市魏都区曹魏古城旅游区设备更新提升项目</w:t>
      </w:r>
      <w:r>
        <w:rPr>
          <w:rFonts w:hint="eastAsia" w:ascii="仿宋_GB2312" w:hAnsi="仿宋_GB2312" w:eastAsia="仿宋_GB2312" w:cs="仿宋_GB2312"/>
          <w:b w:val="0"/>
          <w:bCs w:val="0"/>
          <w:color w:val="auto"/>
          <w:sz w:val="32"/>
          <w:szCs w:val="32"/>
          <w:lang w:val="en-US" w:eastAsia="zh-CN"/>
        </w:rPr>
        <w:t>，原则同意京秀工程咨询有限公司编制的项目可行性研究报告的基本内容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许昌市魏都区曹魏古城区域内。</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许昌市魏都区曹魏古城旅游区设备更新合计14项。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（1）安防设备更新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包括景区400W像素高清智能枪机、关键区域客流统计摄像机、景区400W像素高清双摄智能球机、关键区域智能结构化分析摄像机、景区高点AR智能全景拼接球机、慢直播推流球机、慢直播网络硬盘录像机等；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（2）广播设备更新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广播管理主机、音频输出终端等；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（3）紧急报警替换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紧急报警柱、紧急报警管理主机等；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（4）停车场导览设备替换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道闸、出入口控制终端等；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（5）安防配套传输设备替换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8口千兆接入交换机、24口千兆汇聚交换机、核心交换机等；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（6）游客中心LED替换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游客中心主屏、游客中心副屏、停车场户外LED大屏、LED壁挂支架、LED控制器、LED配电柜等；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（7）安防配套存储设备替换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景区音视频云存储终端、音视频云存储运维终端、云存储传输单元、智能巡检AI引擎、云存储管理平台、存储终端接入管理、云存储接入点位管理、存储池管控等；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（8）监控中心显示单元设备替换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监控中心0.88超薄LCD显示墙、一体化机柜支架、综合视频解码引擎、信息发布盒等；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（9）机房备用电源替换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UPS主机、UPS电池箱、阀控铅酸电池、UPS接线排等；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（10）机房管理平台系统设备替换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平台管理服务器(云计算)、人脸分析终端(景区寻人专用)、网络监控键盘、智慧景区管理平台-系统管理、智慧景区管理平台-门户工作台、智慧景区管理平台-移动APP等；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（11）基础设备及传输设备替换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办公电脑、办公核心交换机、办公汇聚交换机等；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（12）智慧票务系统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智慧票务系统(硬件+软件)等；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（13）管理平台配套系统提升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六类配线架(24口)、理线架、ODF架、光缆、网线(室外)、网线、电源线、管、联通FTTO设备等；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（14）舞台灯光及扩声系统清单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sz w:val="32"/>
          <w:szCs w:val="32"/>
          <w:lang w:val="en-US" w:eastAsia="zh-CN"/>
        </w:rPr>
        <w:t>电脑灯控台、摇头电脑灯、LED投影灯、23W全彩激光灯、30W全彩激光灯、8W全彩激光灯、LED条形灯、辅材；全频户外线阵列扬声器1、双18“户外超低频扬声器、全天候柱状扬声器、无线手持话筒、辅材等。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3612.66万元。项目建设所需资金为地方财政资金。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许昌市魏都区文旅文创中心按照招投标文件规定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2024年6月13日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7453"/>
    <w:rsid w:val="007C4486"/>
    <w:rsid w:val="00E94382"/>
    <w:rsid w:val="015312AA"/>
    <w:rsid w:val="01582266"/>
    <w:rsid w:val="01C47CF3"/>
    <w:rsid w:val="039560B1"/>
    <w:rsid w:val="03C71124"/>
    <w:rsid w:val="04410263"/>
    <w:rsid w:val="048501D0"/>
    <w:rsid w:val="0510665E"/>
    <w:rsid w:val="052D3E82"/>
    <w:rsid w:val="05384F87"/>
    <w:rsid w:val="05C86D0B"/>
    <w:rsid w:val="07100621"/>
    <w:rsid w:val="07BA68BC"/>
    <w:rsid w:val="08242C5A"/>
    <w:rsid w:val="08FE2131"/>
    <w:rsid w:val="0A4E27F2"/>
    <w:rsid w:val="0B8F0FB0"/>
    <w:rsid w:val="0B9743F0"/>
    <w:rsid w:val="0BDA6C08"/>
    <w:rsid w:val="0C2376DC"/>
    <w:rsid w:val="0EB36C3A"/>
    <w:rsid w:val="0F241926"/>
    <w:rsid w:val="0F69251F"/>
    <w:rsid w:val="106B1DE4"/>
    <w:rsid w:val="10C96CE7"/>
    <w:rsid w:val="115B1323"/>
    <w:rsid w:val="11773920"/>
    <w:rsid w:val="12241DDA"/>
    <w:rsid w:val="123A2D82"/>
    <w:rsid w:val="133A27C8"/>
    <w:rsid w:val="13E376AF"/>
    <w:rsid w:val="13EC0B77"/>
    <w:rsid w:val="142F2DDA"/>
    <w:rsid w:val="146F0DFE"/>
    <w:rsid w:val="1556350C"/>
    <w:rsid w:val="16CE27A9"/>
    <w:rsid w:val="17274944"/>
    <w:rsid w:val="1783194F"/>
    <w:rsid w:val="17946AD9"/>
    <w:rsid w:val="17D6146D"/>
    <w:rsid w:val="185F6D12"/>
    <w:rsid w:val="18776A66"/>
    <w:rsid w:val="18D63BB9"/>
    <w:rsid w:val="198A3936"/>
    <w:rsid w:val="1AFA436D"/>
    <w:rsid w:val="1B3151FE"/>
    <w:rsid w:val="1BAF6B05"/>
    <w:rsid w:val="1BE955C7"/>
    <w:rsid w:val="1C1129D3"/>
    <w:rsid w:val="1C5E45B2"/>
    <w:rsid w:val="1F59631E"/>
    <w:rsid w:val="1F816188"/>
    <w:rsid w:val="204E6F74"/>
    <w:rsid w:val="20843F59"/>
    <w:rsid w:val="20C6164E"/>
    <w:rsid w:val="20F93AB9"/>
    <w:rsid w:val="211B2031"/>
    <w:rsid w:val="214322D8"/>
    <w:rsid w:val="21584100"/>
    <w:rsid w:val="21701C94"/>
    <w:rsid w:val="2170369D"/>
    <w:rsid w:val="219357C5"/>
    <w:rsid w:val="21FC4A83"/>
    <w:rsid w:val="230C7214"/>
    <w:rsid w:val="232C6859"/>
    <w:rsid w:val="239916D4"/>
    <w:rsid w:val="23B171AB"/>
    <w:rsid w:val="24293B9D"/>
    <w:rsid w:val="2581038C"/>
    <w:rsid w:val="25BA64A5"/>
    <w:rsid w:val="25C07301"/>
    <w:rsid w:val="268D200C"/>
    <w:rsid w:val="26917DC2"/>
    <w:rsid w:val="27EE4BCD"/>
    <w:rsid w:val="28131937"/>
    <w:rsid w:val="287D54A2"/>
    <w:rsid w:val="28D14296"/>
    <w:rsid w:val="2933520E"/>
    <w:rsid w:val="2A1F3552"/>
    <w:rsid w:val="2A4B375A"/>
    <w:rsid w:val="2AA366D6"/>
    <w:rsid w:val="2B0C70C9"/>
    <w:rsid w:val="2BAE508C"/>
    <w:rsid w:val="2BCB7CF6"/>
    <w:rsid w:val="2C355D6E"/>
    <w:rsid w:val="2C4174D5"/>
    <w:rsid w:val="2D0E5425"/>
    <w:rsid w:val="2D4B0D53"/>
    <w:rsid w:val="2DA232CA"/>
    <w:rsid w:val="2DD66DCB"/>
    <w:rsid w:val="2E8B7425"/>
    <w:rsid w:val="2EE16684"/>
    <w:rsid w:val="2EE25A02"/>
    <w:rsid w:val="2F0B4DD5"/>
    <w:rsid w:val="2F445A17"/>
    <w:rsid w:val="2FFA79B8"/>
    <w:rsid w:val="300C3454"/>
    <w:rsid w:val="30734186"/>
    <w:rsid w:val="3141241E"/>
    <w:rsid w:val="3143321D"/>
    <w:rsid w:val="32B42134"/>
    <w:rsid w:val="338F552F"/>
    <w:rsid w:val="33AA66D3"/>
    <w:rsid w:val="33D67027"/>
    <w:rsid w:val="33DC717B"/>
    <w:rsid w:val="342A4354"/>
    <w:rsid w:val="343967F9"/>
    <w:rsid w:val="34497B49"/>
    <w:rsid w:val="35C34CEE"/>
    <w:rsid w:val="35CC3B02"/>
    <w:rsid w:val="36270CCE"/>
    <w:rsid w:val="365D3C96"/>
    <w:rsid w:val="36801E8C"/>
    <w:rsid w:val="36BE3413"/>
    <w:rsid w:val="370B314C"/>
    <w:rsid w:val="37175B16"/>
    <w:rsid w:val="387E2D8D"/>
    <w:rsid w:val="391250F6"/>
    <w:rsid w:val="391765F8"/>
    <w:rsid w:val="392A450F"/>
    <w:rsid w:val="3988295B"/>
    <w:rsid w:val="39CE2CD4"/>
    <w:rsid w:val="3A9E7716"/>
    <w:rsid w:val="3B5A50B3"/>
    <w:rsid w:val="3C205893"/>
    <w:rsid w:val="3C356D07"/>
    <w:rsid w:val="3C554BB4"/>
    <w:rsid w:val="3C8B2027"/>
    <w:rsid w:val="3C9F32D2"/>
    <w:rsid w:val="3CDB45C0"/>
    <w:rsid w:val="3D015930"/>
    <w:rsid w:val="3D514C12"/>
    <w:rsid w:val="3D7E2120"/>
    <w:rsid w:val="3D9C7512"/>
    <w:rsid w:val="3E691934"/>
    <w:rsid w:val="3F655193"/>
    <w:rsid w:val="3FD77328"/>
    <w:rsid w:val="4097398F"/>
    <w:rsid w:val="40C27034"/>
    <w:rsid w:val="414E5D31"/>
    <w:rsid w:val="41734499"/>
    <w:rsid w:val="423845CC"/>
    <w:rsid w:val="431F7815"/>
    <w:rsid w:val="43BB576C"/>
    <w:rsid w:val="447041E2"/>
    <w:rsid w:val="44BB0797"/>
    <w:rsid w:val="44C0546B"/>
    <w:rsid w:val="45C200A6"/>
    <w:rsid w:val="45CB5918"/>
    <w:rsid w:val="466F6683"/>
    <w:rsid w:val="479B5637"/>
    <w:rsid w:val="48DB117D"/>
    <w:rsid w:val="48DC4B38"/>
    <w:rsid w:val="49952BFB"/>
    <w:rsid w:val="4A245CEA"/>
    <w:rsid w:val="4A8B31A4"/>
    <w:rsid w:val="4AA84606"/>
    <w:rsid w:val="4AD776B8"/>
    <w:rsid w:val="4B240B94"/>
    <w:rsid w:val="4B3936D2"/>
    <w:rsid w:val="4B625472"/>
    <w:rsid w:val="4BC23B87"/>
    <w:rsid w:val="4D9E13BF"/>
    <w:rsid w:val="4E7937FC"/>
    <w:rsid w:val="4F076411"/>
    <w:rsid w:val="4F7565EE"/>
    <w:rsid w:val="4FA85A3F"/>
    <w:rsid w:val="4FC12673"/>
    <w:rsid w:val="4FF744FE"/>
    <w:rsid w:val="50E1621B"/>
    <w:rsid w:val="514E7607"/>
    <w:rsid w:val="516F333C"/>
    <w:rsid w:val="518B417F"/>
    <w:rsid w:val="519120E7"/>
    <w:rsid w:val="519C415B"/>
    <w:rsid w:val="52715BAF"/>
    <w:rsid w:val="52A051E8"/>
    <w:rsid w:val="5332672B"/>
    <w:rsid w:val="53AC4EE6"/>
    <w:rsid w:val="54433F77"/>
    <w:rsid w:val="54800EE8"/>
    <w:rsid w:val="54DD70BC"/>
    <w:rsid w:val="553648C7"/>
    <w:rsid w:val="55595031"/>
    <w:rsid w:val="55D53E38"/>
    <w:rsid w:val="5660410C"/>
    <w:rsid w:val="57AD341C"/>
    <w:rsid w:val="57D337E3"/>
    <w:rsid w:val="58532A31"/>
    <w:rsid w:val="5919401E"/>
    <w:rsid w:val="5946724B"/>
    <w:rsid w:val="5ACA5E95"/>
    <w:rsid w:val="5B2A5015"/>
    <w:rsid w:val="5B2B1605"/>
    <w:rsid w:val="5B2D5E88"/>
    <w:rsid w:val="5B323CDF"/>
    <w:rsid w:val="5C06475D"/>
    <w:rsid w:val="5DD75341"/>
    <w:rsid w:val="5E390A01"/>
    <w:rsid w:val="5E6917CC"/>
    <w:rsid w:val="5F0B56F7"/>
    <w:rsid w:val="5F5510AE"/>
    <w:rsid w:val="5F855433"/>
    <w:rsid w:val="607366D8"/>
    <w:rsid w:val="62C25DC1"/>
    <w:rsid w:val="63531A67"/>
    <w:rsid w:val="63CB4BD5"/>
    <w:rsid w:val="64F54A34"/>
    <w:rsid w:val="65C62655"/>
    <w:rsid w:val="65D12305"/>
    <w:rsid w:val="65F06417"/>
    <w:rsid w:val="66253BCC"/>
    <w:rsid w:val="66477817"/>
    <w:rsid w:val="67400E0D"/>
    <w:rsid w:val="676D4A4E"/>
    <w:rsid w:val="67AB6BCA"/>
    <w:rsid w:val="67CB2379"/>
    <w:rsid w:val="67F86206"/>
    <w:rsid w:val="686C169D"/>
    <w:rsid w:val="68785DD0"/>
    <w:rsid w:val="68EE79FA"/>
    <w:rsid w:val="69DF727B"/>
    <w:rsid w:val="69F501EC"/>
    <w:rsid w:val="6ADA3FAD"/>
    <w:rsid w:val="6BBE587D"/>
    <w:rsid w:val="6BC42954"/>
    <w:rsid w:val="6BD22CDA"/>
    <w:rsid w:val="6CA5024B"/>
    <w:rsid w:val="6CB47930"/>
    <w:rsid w:val="6DEB54C0"/>
    <w:rsid w:val="6EEF3967"/>
    <w:rsid w:val="6F022403"/>
    <w:rsid w:val="6F213890"/>
    <w:rsid w:val="6F2F3D35"/>
    <w:rsid w:val="6F6949A1"/>
    <w:rsid w:val="6FAD572A"/>
    <w:rsid w:val="6FD3738D"/>
    <w:rsid w:val="70E43A9A"/>
    <w:rsid w:val="71285068"/>
    <w:rsid w:val="71600BAE"/>
    <w:rsid w:val="71831F8E"/>
    <w:rsid w:val="71B65952"/>
    <w:rsid w:val="71EE4C72"/>
    <w:rsid w:val="72960D08"/>
    <w:rsid w:val="731F1B91"/>
    <w:rsid w:val="7380345E"/>
    <w:rsid w:val="738E0DB3"/>
    <w:rsid w:val="73CE36E7"/>
    <w:rsid w:val="741C5020"/>
    <w:rsid w:val="743620E5"/>
    <w:rsid w:val="748129B0"/>
    <w:rsid w:val="749E42A2"/>
    <w:rsid w:val="750D18B7"/>
    <w:rsid w:val="75923051"/>
    <w:rsid w:val="75BF3FCB"/>
    <w:rsid w:val="765A1E3A"/>
    <w:rsid w:val="775E2B4B"/>
    <w:rsid w:val="77C91904"/>
    <w:rsid w:val="78264E9C"/>
    <w:rsid w:val="784B7BCB"/>
    <w:rsid w:val="78692EDA"/>
    <w:rsid w:val="78B729A6"/>
    <w:rsid w:val="793B72B1"/>
    <w:rsid w:val="79926E07"/>
    <w:rsid w:val="799A37DA"/>
    <w:rsid w:val="7A230824"/>
    <w:rsid w:val="7ACB6AE2"/>
    <w:rsid w:val="7B3439EB"/>
    <w:rsid w:val="7BC16634"/>
    <w:rsid w:val="7D854EF8"/>
    <w:rsid w:val="7D9B22E6"/>
    <w:rsid w:val="7DC018B8"/>
    <w:rsid w:val="7E4D1904"/>
    <w:rsid w:val="7EC225A2"/>
    <w:rsid w:val="7EF2488C"/>
    <w:rsid w:val="7F3B5E12"/>
    <w:rsid w:val="7F551314"/>
    <w:rsid w:val="7F862F7E"/>
    <w:rsid w:val="7FF46CCB"/>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2024-06-13T08:00:52Z</cp:lastPrinted>
  <dcterms:modified xsi:type="dcterms:W3CDTF">2024-06-13T08:00:55Z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2A94D96FF30E4DF8A5DE0FF1592C3301</vt:lpwstr>
  </property>
</Properties>
</file>