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i w:val="0"/>
          <w:caps w:val="0"/>
          <w:color w:val="auto"/>
          <w:spacing w:val="0"/>
          <w:sz w:val="44"/>
          <w:szCs w:val="44"/>
          <w:shd w:val="clear" w:fill="FFFFFF"/>
        </w:rPr>
      </w:pPr>
      <w:r>
        <w:rPr>
          <w:rFonts w:hint="eastAsia" w:ascii="方正小标宋简体" w:hAnsi="方正小标宋简体" w:eastAsia="方正小标宋简体" w:cs="方正小标宋简体"/>
          <w:b/>
          <w:i w:val="0"/>
          <w:caps w:val="0"/>
          <w:color w:val="auto"/>
          <w:spacing w:val="0"/>
          <w:sz w:val="44"/>
          <w:szCs w:val="44"/>
          <w:shd w:val="clear" w:fill="FFFFFF"/>
          <w:lang w:val="en-US" w:eastAsia="zh-CN"/>
        </w:rPr>
        <w:t>魏都</w:t>
      </w:r>
      <w:r>
        <w:rPr>
          <w:rFonts w:hint="eastAsia" w:ascii="方正小标宋简体" w:hAnsi="方正小标宋简体" w:eastAsia="方正小标宋简体" w:cs="方正小标宋简体"/>
          <w:b/>
          <w:i w:val="0"/>
          <w:caps w:val="0"/>
          <w:color w:val="auto"/>
          <w:spacing w:val="0"/>
          <w:sz w:val="44"/>
          <w:szCs w:val="44"/>
          <w:shd w:val="clear" w:fill="FFFFFF"/>
        </w:rPr>
        <w:t>区司法局关于印发公共法律服务领域基层政务公开标准指引的通知</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5"/>
        <w:jc w:val="left"/>
        <w:textAlignment w:val="auto"/>
        <w:rPr>
          <w:rFonts w:hint="eastAsia" w:ascii="仿宋_GB2312" w:hAnsi="仿宋_GB2312" w:eastAsia="仿宋_GB2312" w:cs="仿宋_GB2312"/>
          <w:color w:val="auto"/>
          <w:sz w:val="32"/>
          <w:szCs w:val="32"/>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 w:eastAsia="仿宋_GB2312" w:cs="仿宋_GB2312"/>
          <w:b w:val="0"/>
          <w:i w:val="0"/>
          <w:caps w:val="0"/>
          <w:color w:val="auto"/>
          <w:spacing w:val="0"/>
          <w:kern w:val="0"/>
          <w:sz w:val="32"/>
          <w:szCs w:val="32"/>
          <w:shd w:val="clear" w:fill="FFFFFF"/>
          <w:lang w:val="en-US" w:eastAsia="zh-CN" w:bidi="ar"/>
        </w:rPr>
      </w:pPr>
      <w:r>
        <w:rPr>
          <w:rFonts w:hint="eastAsia" w:ascii="仿宋_GB2312" w:hAnsi="仿宋" w:eastAsia="仿宋_GB2312" w:cs="仿宋_GB2312"/>
          <w:b w:val="0"/>
          <w:i w:val="0"/>
          <w:caps w:val="0"/>
          <w:color w:val="auto"/>
          <w:spacing w:val="0"/>
          <w:kern w:val="0"/>
          <w:sz w:val="32"/>
          <w:szCs w:val="32"/>
          <w:shd w:val="clear" w:fill="FFFFFF"/>
          <w:lang w:val="en-US" w:eastAsia="zh-CN" w:bidi="ar"/>
        </w:rPr>
        <w:t>为全面贯彻落实党中央、国务院、省政府、市政府关于政务公开工作和公共法律服务体系建设的部署要求，根据中办、国办《关于全面推进政务公开工作的意见》《国务院办公厅关于印发开展基层政务公开标准化规范化试点工作方案的通知》(国办发﹝2017﹞42号)和国办信息公开办《关于做好各试点领域基层政务公开标准指引制定等有关工作的通知》(国办公开办函﹝2019﹞1号)、省政府办公厅《河南省人民政府办公厅关于全面推进基层政务公开标准化规范化工作的通知》(豫政办〔2020〕5号)、《许昌市人民政府办公室关于印发许昌市全面推进基层政务公开标准化规范化工作实施方案的通知》（许政办〔2020〕18号）、《魏都区人民政府办公室关于印发魏都区全面推进基层政务公开标准化规范化工作实施方案的通知》（许魏政办〔2020〕18号）文件要求，结合我区司法行政系统公共法律服务领域基层政务公开工作实际，制定本标准指引。</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3" w:firstLineChars="200"/>
        <w:textAlignment w:val="auto"/>
        <w:rPr>
          <w:rFonts w:hint="default" w:ascii="黑体" w:hAnsi="黑体" w:eastAsia="黑体" w:cs="黑体"/>
          <w:color w:val="auto"/>
          <w:sz w:val="32"/>
          <w:szCs w:val="32"/>
          <w:lang w:val="en-US" w:eastAsia="zh-CN"/>
        </w:rPr>
      </w:pPr>
      <w:r>
        <w:rPr>
          <w:rStyle w:val="9"/>
          <w:rFonts w:hint="eastAsia" w:ascii="黑体" w:hAnsi="黑体" w:eastAsia="黑体" w:cs="黑体"/>
          <w:color w:val="auto"/>
          <w:sz w:val="32"/>
          <w:szCs w:val="32"/>
        </w:rPr>
        <w:t>一、</w:t>
      </w:r>
      <w:r>
        <w:rPr>
          <w:rStyle w:val="9"/>
          <w:rFonts w:hint="eastAsia" w:ascii="黑体" w:hAnsi="黑体" w:eastAsia="黑体" w:cs="黑体"/>
          <w:color w:val="auto"/>
          <w:sz w:val="32"/>
          <w:szCs w:val="32"/>
          <w:lang w:val="en-US" w:eastAsia="zh-CN"/>
        </w:rPr>
        <w:t>总体要求</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3"/>
        <w:jc w:val="left"/>
        <w:textAlignment w:val="auto"/>
        <w:rPr>
          <w:rFonts w:ascii="仿宋_GB2312" w:eastAsia="仿宋_GB2312" w:cs="仿宋_GB2312"/>
          <w:i w:val="0"/>
          <w:caps w:val="0"/>
          <w:color w:val="auto"/>
          <w:spacing w:val="0"/>
          <w:sz w:val="21"/>
          <w:szCs w:val="21"/>
        </w:rPr>
      </w:pPr>
      <w:r>
        <w:rPr>
          <w:rFonts w:hint="eastAsia" w:ascii="楷体" w:hAnsi="楷体" w:eastAsia="楷体" w:cs="楷体"/>
          <w:b/>
          <w:i w:val="0"/>
          <w:caps w:val="0"/>
          <w:color w:val="auto"/>
          <w:spacing w:val="0"/>
          <w:kern w:val="0"/>
          <w:sz w:val="32"/>
          <w:szCs w:val="32"/>
          <w:shd w:val="clear" w:fill="FFFFFF"/>
          <w:lang w:val="en-US" w:eastAsia="zh-CN" w:bidi="ar"/>
        </w:rPr>
        <w:t>（一）指导思想。</w:t>
      </w:r>
      <w:r>
        <w:rPr>
          <w:rFonts w:hint="eastAsia" w:ascii="仿宋_GB2312" w:hAnsi="仿宋" w:eastAsia="仿宋_GB2312" w:cs="仿宋_GB2312"/>
          <w:i w:val="0"/>
          <w:caps w:val="0"/>
          <w:color w:val="auto"/>
          <w:spacing w:val="0"/>
          <w:kern w:val="0"/>
          <w:sz w:val="32"/>
          <w:szCs w:val="32"/>
          <w:shd w:val="clear" w:fill="FFFFFF"/>
          <w:lang w:val="en-US" w:eastAsia="zh-CN" w:bidi="ar"/>
        </w:rPr>
        <w:t>坚持以习近平新时代中国特色社会主义思想为指导，深入贯彻落实党的十九大和十九届二中、三中、四中、五中全会精神，深入推进依法行政，全面落实党中央、国务院有关决策部署和《中华人民共和国信息公开条例》，加快推进公共法律服务体系建设，全面推进公共法律服务领域基层政务公开，坚持以公开为常态、不公开为例外的原则，最大限度提高社会舆论监督，推进决策公开、执行公开、管理公开、服务公开、结果公开。</w:t>
      </w:r>
      <w:r>
        <w:rPr>
          <w:rFonts w:hint="eastAsia" w:ascii="仿宋" w:hAnsi="仿宋" w:eastAsia="仿宋" w:cs="仿宋"/>
          <w:i w:val="0"/>
          <w:caps w:val="0"/>
          <w:color w:val="auto"/>
          <w:spacing w:val="0"/>
          <w:kern w:val="0"/>
          <w:sz w:val="32"/>
          <w:szCs w:val="32"/>
          <w:shd w:val="clear" w:fill="FFFFFF"/>
          <w:lang w:val="en-US" w:eastAsia="zh-CN" w:bidi="ar"/>
        </w:rPr>
        <w:t>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3"/>
        <w:jc w:val="left"/>
        <w:textAlignment w:val="auto"/>
        <w:rPr>
          <w:rFonts w:hint="eastAsia" w:ascii="仿宋_GB2312" w:eastAsia="仿宋_GB2312" w:cs="仿宋_GB2312"/>
          <w:i w:val="0"/>
          <w:caps w:val="0"/>
          <w:color w:val="auto"/>
          <w:spacing w:val="0"/>
          <w:sz w:val="21"/>
          <w:szCs w:val="21"/>
        </w:rPr>
      </w:pPr>
      <w:r>
        <w:rPr>
          <w:rFonts w:hint="eastAsia" w:ascii="楷体" w:hAnsi="楷体" w:eastAsia="楷体" w:cs="楷体"/>
          <w:b/>
          <w:i w:val="0"/>
          <w:caps w:val="0"/>
          <w:color w:val="auto"/>
          <w:spacing w:val="0"/>
          <w:kern w:val="0"/>
          <w:sz w:val="32"/>
          <w:szCs w:val="32"/>
          <w:shd w:val="clear" w:fill="FFFFFF"/>
          <w:lang w:val="en-US" w:eastAsia="zh-CN" w:bidi="ar"/>
        </w:rPr>
        <w:t>（二）重要意义。</w:t>
      </w:r>
      <w:r>
        <w:rPr>
          <w:rFonts w:hint="eastAsia" w:ascii="仿宋_GB2312" w:hAnsi="仿宋" w:eastAsia="仿宋_GB2312" w:cs="仿宋_GB2312"/>
          <w:i w:val="0"/>
          <w:caps w:val="0"/>
          <w:color w:val="auto"/>
          <w:spacing w:val="0"/>
          <w:kern w:val="0"/>
          <w:sz w:val="32"/>
          <w:szCs w:val="32"/>
          <w:shd w:val="clear" w:fill="FFFFFF"/>
          <w:lang w:val="en-US" w:eastAsia="zh-CN" w:bidi="ar"/>
        </w:rPr>
        <w:t>公开透明是法治政府的基本特征。深入推进公共法律服务领域基层政务公开的标准化规范化，是全面推进司法行政系统政务公开的基础性工作，是立足基层实际、细化公开内容、规范公开流程、完善公开方式的必然要求，是加快推进公共法律服务体系建设的重要举措，对于建设法治政府、服务型政府，增强政府公信力执行力，推进社会治理现代化，保障人民群众知情权、参与权、表达权、监督权具有重要意义。</w:t>
      </w:r>
      <w:r>
        <w:rPr>
          <w:rFonts w:hint="eastAsia" w:ascii="仿宋" w:hAnsi="仿宋" w:eastAsia="仿宋" w:cs="仿宋"/>
          <w:i w:val="0"/>
          <w:caps w:val="0"/>
          <w:color w:val="auto"/>
          <w:spacing w:val="0"/>
          <w:kern w:val="0"/>
          <w:sz w:val="32"/>
          <w:szCs w:val="32"/>
          <w:shd w:val="clear" w:fill="FFFFFF"/>
          <w:lang w:val="en-US" w:eastAsia="zh-CN" w:bidi="ar"/>
        </w:rPr>
        <w:t> </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5"/>
        <w:jc w:val="left"/>
        <w:textAlignment w:val="auto"/>
        <w:rPr>
          <w:rFonts w:hint="eastAsia" w:ascii="仿宋_GB2312" w:hAnsi="仿宋_GB2312" w:eastAsia="仿宋_GB2312" w:cs="仿宋_GB2312"/>
          <w:color w:val="auto"/>
          <w:sz w:val="32"/>
          <w:szCs w:val="32"/>
        </w:rPr>
      </w:pPr>
      <w:r>
        <w:rPr>
          <w:rStyle w:val="9"/>
          <w:rFonts w:hint="eastAsia" w:ascii="黑体" w:hAnsi="黑体" w:eastAsia="黑体" w:cs="黑体"/>
          <w:color w:val="auto"/>
          <w:sz w:val="32"/>
          <w:szCs w:val="32"/>
        </w:rPr>
        <w:t>二、适用范围</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rPr>
          <w:rStyle w:val="9"/>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本指引适用于</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司法局、各</w:t>
      </w:r>
      <w:r>
        <w:rPr>
          <w:rFonts w:hint="eastAsia" w:ascii="仿宋_GB2312" w:hAnsi="仿宋_GB2312" w:eastAsia="仿宋_GB2312" w:cs="仿宋_GB2312"/>
          <w:color w:val="auto"/>
          <w:sz w:val="32"/>
          <w:szCs w:val="32"/>
          <w:lang w:val="en-US" w:eastAsia="zh-CN"/>
        </w:rPr>
        <w:t>基层</w:t>
      </w:r>
      <w:r>
        <w:rPr>
          <w:rFonts w:hint="eastAsia" w:ascii="仿宋_GB2312" w:hAnsi="仿宋_GB2312" w:eastAsia="仿宋_GB2312" w:cs="仿宋_GB2312"/>
          <w:color w:val="auto"/>
          <w:sz w:val="32"/>
          <w:szCs w:val="32"/>
        </w:rPr>
        <w:t>司法所，</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法律援助中心、</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公共法律服务中心、</w:t>
      </w:r>
      <w:r>
        <w:rPr>
          <w:rFonts w:hint="eastAsia" w:ascii="仿宋_GB2312" w:hAnsi="仿宋_GB2312" w:eastAsia="仿宋_GB2312" w:cs="仿宋_GB2312"/>
          <w:color w:val="auto"/>
          <w:sz w:val="32"/>
          <w:szCs w:val="32"/>
          <w:lang w:val="en-US" w:eastAsia="zh-CN"/>
        </w:rPr>
        <w:t>街道</w:t>
      </w:r>
      <w:r>
        <w:rPr>
          <w:rFonts w:hint="eastAsia" w:ascii="仿宋_GB2312" w:hAnsi="仿宋_GB2312" w:eastAsia="仿宋_GB2312" w:cs="仿宋_GB2312"/>
          <w:color w:val="auto"/>
          <w:sz w:val="32"/>
          <w:szCs w:val="32"/>
        </w:rPr>
        <w:t>公共法律服务工作站的公共法律服务领域基层政务公开工作。</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5"/>
        <w:textAlignment w:val="auto"/>
        <w:rPr>
          <w:rFonts w:hint="eastAsia" w:ascii="仿宋_GB2312" w:hAnsi="仿宋_GB2312" w:eastAsia="仿宋_GB2312" w:cs="仿宋_GB2312"/>
          <w:color w:val="auto"/>
          <w:sz w:val="32"/>
          <w:szCs w:val="32"/>
        </w:rPr>
      </w:pPr>
      <w:r>
        <w:rPr>
          <w:rStyle w:val="9"/>
          <w:rFonts w:hint="eastAsia" w:ascii="黑体" w:hAnsi="黑体" w:eastAsia="黑体" w:cs="黑体"/>
          <w:color w:val="auto"/>
          <w:sz w:val="32"/>
          <w:szCs w:val="32"/>
          <w:lang w:val="en-US" w:eastAsia="zh-CN"/>
        </w:rPr>
        <w:t>三、</w:t>
      </w:r>
      <w:r>
        <w:rPr>
          <w:rStyle w:val="9"/>
          <w:rFonts w:hint="eastAsia" w:ascii="黑体" w:hAnsi="黑体" w:eastAsia="黑体" w:cs="黑体"/>
          <w:color w:val="auto"/>
          <w:sz w:val="32"/>
          <w:szCs w:val="32"/>
        </w:rPr>
        <w:t>公开目录和事项标准</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5"/>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依据公共法律服务领域基层权责清单和公共服务事项清单，公共法律服务领域基层政务公开事项一级事项</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项，包括法治宣传教育、律师、法律援助、基层法律服务、人民调解、法律查询、法律咨询、公共法律服务平台等，二级事项1</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项</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 xml:space="preserve"> </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5"/>
        <w:jc w:val="left"/>
        <w:textAlignment w:val="auto"/>
        <w:rPr>
          <w:rStyle w:val="9"/>
          <w:rFonts w:hint="eastAsia" w:ascii="黑体" w:hAnsi="黑体" w:eastAsia="黑体" w:cs="黑体"/>
          <w:color w:val="auto"/>
          <w:sz w:val="32"/>
          <w:szCs w:val="32"/>
          <w:lang w:eastAsia="zh-CN"/>
        </w:rPr>
      </w:pPr>
      <w:r>
        <w:rPr>
          <w:rStyle w:val="9"/>
          <w:rFonts w:hint="eastAsia" w:ascii="黑体" w:hAnsi="黑体" w:eastAsia="黑体" w:cs="黑体"/>
          <w:color w:val="auto"/>
          <w:sz w:val="32"/>
          <w:szCs w:val="32"/>
          <w:lang w:val="en-US" w:eastAsia="zh-CN"/>
        </w:rPr>
        <w:t>四</w:t>
      </w:r>
      <w:r>
        <w:rPr>
          <w:rStyle w:val="9"/>
          <w:rFonts w:hint="eastAsia" w:ascii="黑体" w:hAnsi="黑体" w:eastAsia="黑体" w:cs="黑体"/>
          <w:color w:val="auto"/>
          <w:sz w:val="32"/>
          <w:szCs w:val="32"/>
        </w:rPr>
        <w:t>、</w:t>
      </w:r>
      <w:r>
        <w:rPr>
          <w:rStyle w:val="9"/>
          <w:rFonts w:hint="eastAsia" w:ascii="黑体" w:hAnsi="黑体" w:eastAsia="黑体" w:cs="黑体"/>
          <w:color w:val="auto"/>
          <w:sz w:val="32"/>
          <w:szCs w:val="32"/>
          <w:lang w:val="en-US" w:eastAsia="zh-CN"/>
        </w:rPr>
        <w:t>流程规范</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jc w:val="left"/>
        <w:textAlignment w:val="auto"/>
        <w:rPr>
          <w:rFonts w:ascii="仿宋_GB2312" w:eastAsia="仿宋_GB2312" w:cs="仿宋_GB2312"/>
          <w:i w:val="0"/>
          <w:caps w:val="0"/>
          <w:color w:val="auto"/>
          <w:spacing w:val="0"/>
          <w:sz w:val="21"/>
          <w:szCs w:val="21"/>
        </w:rPr>
      </w:pPr>
      <w:r>
        <w:rPr>
          <w:rFonts w:hint="eastAsia" w:ascii="仿宋_GB2312" w:hAnsi="仿宋" w:eastAsia="仿宋_GB2312" w:cs="仿宋_GB2312"/>
          <w:i w:val="0"/>
          <w:caps w:val="0"/>
          <w:color w:val="auto"/>
          <w:spacing w:val="0"/>
          <w:kern w:val="0"/>
          <w:sz w:val="32"/>
          <w:szCs w:val="32"/>
          <w:shd w:val="clear" w:fill="FFFFFF"/>
          <w:lang w:val="en-US" w:eastAsia="zh-CN" w:bidi="ar"/>
        </w:rPr>
        <w:t>要切实加强公共法律服务领域基层政务公开工作，全面推进决策公开、执行公开、管理公开、服务公开、结果公开，最大限度方便企业和群众办事，打通基层司法行政机关和公共法律服务机构服务人民群众的</w:t>
      </w:r>
      <w:r>
        <w:rPr>
          <w:rFonts w:hint="eastAsia" w:ascii="仿宋" w:hAnsi="仿宋" w:eastAsia="仿宋" w:cs="仿宋"/>
          <w:i w:val="0"/>
          <w:caps w:val="0"/>
          <w:color w:val="auto"/>
          <w:spacing w:val="0"/>
          <w:kern w:val="0"/>
          <w:sz w:val="32"/>
          <w:szCs w:val="32"/>
          <w:shd w:val="clear" w:fill="FFFFFF"/>
          <w:lang w:val="en-US" w:eastAsia="zh-CN" w:bidi="ar"/>
        </w:rPr>
        <w:t>“最后一公里”。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各基层司法所、区法律援助中心、区公共法律服务中心、各街道公共法律服务工作站要按照《国务院办公厅关于全面推进政务公开工作的意见的实施细则》(国办发〔2016〕80号)规定，按照“五公开”工作要求，加强公共法律服务领域公开属性源头管理、主动公开、政策解读、回应关切、公众参与等工作，推动发布、解读、回应有序衔接。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各基层司法所、区法律援助中心、</w:t>
      </w:r>
      <w:bookmarkStart w:id="0" w:name="_GoBack"/>
      <w:bookmarkEnd w:id="0"/>
      <w:r>
        <w:rPr>
          <w:rFonts w:hint="eastAsia" w:ascii="仿宋_GB2312" w:hAnsi="仿宋_GB2312" w:eastAsia="仿宋_GB2312" w:cs="仿宋_GB2312"/>
          <w:color w:val="auto"/>
          <w:kern w:val="0"/>
          <w:sz w:val="32"/>
          <w:szCs w:val="32"/>
          <w:lang w:val="en-US" w:eastAsia="zh-CN" w:bidi="ar"/>
        </w:rPr>
        <w:t>区公共法律服务中心、各街道公共法律服务工作站制定政务公开标准目录，应当以表格的形式(具体可参照附件)，明确公开的事项、内容、依据、时限、主体、渠道和载体、对象、方式、层级等，并动态更新，严格执行。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贯彻执行过程中遇到的情况和问题，请联系司法局办公室。</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5"/>
        <w:textAlignment w:val="auto"/>
        <w:rPr>
          <w:rFonts w:hint="eastAsia" w:ascii="仿宋_GB2312" w:hAnsi="仿宋_GB2312" w:eastAsia="仿宋_GB2312" w:cs="仿宋_GB2312"/>
          <w:color w:val="auto"/>
          <w:sz w:val="32"/>
          <w:szCs w:val="32"/>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5"/>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方正小标宋简体" w:hAnsi="方正小标宋简体" w:eastAsia="方正小标宋简体" w:cs="方正小标宋简体"/>
          <w:b/>
          <w:i w:val="0"/>
          <w:caps w:val="0"/>
          <w:color w:val="auto"/>
          <w:spacing w:val="0"/>
          <w:sz w:val="44"/>
          <w:szCs w:val="44"/>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D50C26"/>
    <w:rsid w:val="14D50C26"/>
    <w:rsid w:val="200944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3"/>
    <w:basedOn w:val="1"/>
    <w:next w:val="1"/>
    <w:unhideWhenUsed/>
    <w:qFormat/>
    <w:uiPriority w:val="0"/>
    <w:pPr>
      <w:spacing w:before="100" w:beforeAutospacing="1" w:after="100" w:afterAutospacing="1"/>
      <w:jc w:val="left"/>
    </w:pPr>
    <w:rPr>
      <w:rFonts w:hint="eastAsia" w:ascii="宋体" w:hAnsi="宋体" w:eastAsia="宋体" w:cs="宋体"/>
      <w:b/>
      <w:kern w:val="0"/>
      <w:sz w:val="27"/>
      <w:szCs w:val="27"/>
      <w:lang w:val="en-US" w:eastAsia="zh-CN" w:bidi="ar"/>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Body Text First Indent1"/>
    <w:basedOn w:val="3"/>
    <w:next w:val="4"/>
    <w:qFormat/>
    <w:uiPriority w:val="0"/>
    <w:pPr>
      <w:widowControl w:val="0"/>
      <w:ind w:firstLine="420" w:firstLineChars="100"/>
    </w:pPr>
    <w:rPr>
      <w:rFonts w:ascii="Times New Roman" w:hAnsi="Times New Roman" w:cs="Times New Roman"/>
      <w:kern w:val="2"/>
      <w:sz w:val="21"/>
      <w:szCs w:val="22"/>
    </w:rPr>
  </w:style>
  <w:style w:type="paragraph" w:styleId="3">
    <w:name w:val="Body Text"/>
    <w:basedOn w:val="1"/>
    <w:qFormat/>
    <w:uiPriority w:val="0"/>
    <w:pPr>
      <w:jc w:val="center"/>
    </w:pPr>
    <w:rPr>
      <w:rFonts w:eastAsia="黑体"/>
      <w:sz w:val="36"/>
      <w:szCs w:val="20"/>
    </w:rPr>
  </w:style>
  <w:style w:type="paragraph" w:customStyle="1" w:styleId="4">
    <w:name w:val="列出段落2"/>
    <w:basedOn w:val="1"/>
    <w:qFormat/>
    <w:uiPriority w:val="0"/>
    <w:pPr>
      <w:ind w:firstLine="420" w:firstLineChars="200"/>
    </w:pPr>
  </w:style>
  <w:style w:type="paragraph" w:styleId="6">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9">
    <w:name w:val="Strong"/>
    <w:basedOn w:val="8"/>
    <w:qFormat/>
    <w:uiPriority w:val="0"/>
    <w:rPr>
      <w:b/>
    </w:rPr>
  </w:style>
  <w:style w:type="character" w:styleId="10">
    <w:name w:val="FollowedHyperlink"/>
    <w:basedOn w:val="8"/>
    <w:qFormat/>
    <w:uiPriority w:val="0"/>
    <w:rPr>
      <w:color w:val="333333"/>
      <w:u w:val="none"/>
    </w:rPr>
  </w:style>
  <w:style w:type="character" w:styleId="11">
    <w:name w:val="Hyperlink"/>
    <w:basedOn w:val="8"/>
    <w:uiPriority w:val="0"/>
    <w:rPr>
      <w:color w:val="333333"/>
      <w:u w:val="none"/>
    </w:rPr>
  </w:style>
  <w:style w:type="character" w:customStyle="1" w:styleId="12">
    <w:name w:val="layui-laypage-curr"/>
    <w:basedOn w:val="8"/>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84</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2020-12-17T01:27:00Z</dcterms:created>
  <dc:creator>DELL</dc:creator>
  <cp:lastModifiedBy>DELL</cp:lastModifiedBy>
  <cp:lastPrinted>2020-12-17T06:45:55Z</cp:lastPrinted>
  <dcterms:modified xsi:type="dcterms:W3CDTF">2020-12-17T08:33:37Z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