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CE577">
      <w:pPr>
        <w:keepNext w:val="0"/>
        <w:keepLines w:val="0"/>
        <w:pageBreakBefore w:val="0"/>
        <w:widowControl w:val="0"/>
        <w:kinsoku/>
        <w:wordWrap/>
        <w:overflowPunct/>
        <w:topLinePunct w:val="0"/>
        <w:autoSpaceDE/>
        <w:autoSpaceDN/>
        <w:bidi w:val="0"/>
        <w:adjustRightInd/>
        <w:snapToGrid/>
        <w:spacing w:before="0" w:after="0" w:line="64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魏都区行政审批和政务信息管理局</w:t>
      </w:r>
    </w:p>
    <w:p w14:paraId="1D87F327">
      <w:pPr>
        <w:keepNext w:val="0"/>
        <w:keepLines w:val="0"/>
        <w:pageBreakBefore w:val="0"/>
        <w:widowControl w:val="0"/>
        <w:kinsoku/>
        <w:wordWrap/>
        <w:overflowPunct/>
        <w:topLinePunct w:val="0"/>
        <w:autoSpaceDE/>
        <w:autoSpaceDN/>
        <w:bidi w:val="0"/>
        <w:adjustRightInd/>
        <w:snapToGrid/>
        <w:spacing w:before="0" w:after="313" w:afterLines="100" w:line="640" w:lineRule="exact"/>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关于2025年法治政府建设情况的报告</w:t>
      </w:r>
    </w:p>
    <w:p w14:paraId="65E1A638">
      <w:pPr>
        <w:keepNext w:val="0"/>
        <w:keepLines w:val="0"/>
        <w:pageBreakBefore w:val="0"/>
        <w:widowControl w:val="0"/>
        <w:kinsoku/>
        <w:wordWrap/>
        <w:overflowPunct/>
        <w:topLinePunct w:val="0"/>
        <w:autoSpaceDE/>
        <w:autoSpaceDN/>
        <w:bidi w:val="0"/>
        <w:adjustRightInd/>
        <w:snapToGrid/>
        <w:spacing w:before="0" w:after="0" w:line="58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年，在区委、区政府的正确领导下，在区委依法治区办的指导下，</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深入学习贯彻党的</w:t>
      </w:r>
      <w:r>
        <w:rPr>
          <w:rFonts w:hint="eastAsia" w:ascii="仿宋_GB2312" w:hAnsi="仿宋_GB2312" w:eastAsia="仿宋_GB2312" w:cs="仿宋_GB2312"/>
          <w:sz w:val="32"/>
          <w:szCs w:val="32"/>
          <w:lang w:val="en-US" w:eastAsia="zh-CN"/>
        </w:rPr>
        <w:t>二十届四中全会</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val="en-US" w:eastAsia="zh-CN"/>
        </w:rPr>
        <w:t>和习近平新时代中国特色社会主义法治思想，</w:t>
      </w:r>
      <w:r>
        <w:rPr>
          <w:rFonts w:hint="eastAsia" w:ascii="仿宋_GB2312" w:hAnsi="仿宋_GB2312" w:eastAsia="仿宋_GB2312" w:cs="仿宋_GB2312"/>
          <w:sz w:val="32"/>
          <w:szCs w:val="32"/>
        </w:rPr>
        <w:t>全面贯彻落实《</w:t>
      </w:r>
      <w:r>
        <w:rPr>
          <w:rFonts w:hint="eastAsia" w:ascii="仿宋_GB2312" w:hAnsi="仿宋_GB2312" w:eastAsia="仿宋_GB2312" w:cs="仿宋_GB2312"/>
          <w:sz w:val="32"/>
          <w:szCs w:val="32"/>
          <w:lang w:val="en-US" w:eastAsia="zh-CN"/>
        </w:rPr>
        <w:t>河南省法治政府建设年度报告工作规定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豫法政办</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号)的</w:t>
      </w:r>
      <w:r>
        <w:rPr>
          <w:rFonts w:hint="eastAsia" w:ascii="仿宋_GB2312" w:hAnsi="仿宋_GB2312" w:eastAsia="仿宋_GB2312" w:cs="仿宋_GB2312"/>
          <w:sz w:val="32"/>
          <w:szCs w:val="32"/>
          <w:lang w:val="en-US" w:eastAsia="zh-CN"/>
        </w:rPr>
        <w:t>有关规定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工作实际，现</w:t>
      </w:r>
      <w:r>
        <w:rPr>
          <w:rFonts w:hint="eastAsia" w:ascii="仿宋_GB2312" w:hAnsi="仿宋_GB2312" w:eastAsia="仿宋_GB2312" w:cs="仿宋_GB2312"/>
          <w:sz w:val="32"/>
          <w:szCs w:val="32"/>
          <w:lang w:val="en-US" w:eastAsia="zh-CN"/>
        </w:rPr>
        <w:t>将法治政府建设情况报告如下</w:t>
      </w:r>
      <w:r>
        <w:rPr>
          <w:rFonts w:hint="eastAsia" w:ascii="仿宋_GB2312" w:hAnsi="仿宋_GB2312" w:eastAsia="仿宋_GB2312" w:cs="仿宋_GB2312"/>
          <w:sz w:val="32"/>
          <w:szCs w:val="32"/>
        </w:rPr>
        <w:t>：</w:t>
      </w:r>
    </w:p>
    <w:p w14:paraId="6A2B8DF8">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firstLine="640" w:firstLineChars="200"/>
        <w:jc w:val="both"/>
        <w:textAlignment w:val="auto"/>
        <w:outlineLvl w:val="9"/>
        <w:rPr>
          <w:rFonts w:hint="eastAsia" w:ascii="黑体" w:hAnsi="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cs="黑体"/>
          <w:b w:val="0"/>
          <w:bCs w:val="0"/>
          <w:sz w:val="32"/>
          <w:szCs w:val="32"/>
          <w:lang w:val="en-US" w:eastAsia="zh-CN"/>
        </w:rPr>
        <w:t>党政主要负责人履行法治建设第一责任人职责，加强法治政府建设的有关情况</w:t>
      </w:r>
    </w:p>
    <w:p w14:paraId="33C93A46">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（一）认真履行法治建设第一责任人职责</w:t>
      </w:r>
    </w:p>
    <w:p w14:paraId="11276EDD">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是积极参与谋划法治建设各项工作。始终坚持重大问题亲自过问、重点环节亲自协调、重大任务亲自督导，切实做到与</w:t>
      </w:r>
      <w:r>
        <w:rPr>
          <w:rFonts w:hint="eastAsia" w:ascii="仿宋_GB2312" w:hAnsi="仿宋_GB2312" w:eastAsia="仿宋_GB2312" w:cs="仿宋_GB2312"/>
          <w:sz w:val="32"/>
          <w:szCs w:val="32"/>
          <w:lang w:val="en-US" w:eastAsia="zh-CN"/>
        </w:rPr>
        <w:t>业务</w:t>
      </w:r>
      <w:r>
        <w:rPr>
          <w:rFonts w:hint="eastAsia" w:ascii="仿宋_GB2312" w:hAnsi="仿宋_GB2312" w:eastAsia="仿宋_GB2312" w:cs="仿宋_GB2312"/>
          <w:sz w:val="32"/>
          <w:szCs w:val="32"/>
        </w:rPr>
        <w:t>工作同部署、同安排、同推进，适时掌握新情况、把握新动向、调整新策略，有效推动了发改法治工作任务的落实落细。</w:t>
      </w:r>
      <w:r>
        <w:rPr>
          <w:rFonts w:hint="eastAsia" w:ascii="仿宋_GB2312" w:hAnsi="仿宋_GB2312" w:eastAsia="仿宋_GB2312" w:cs="仿宋_GB2312"/>
          <w:sz w:val="32"/>
          <w:szCs w:val="32"/>
          <w:lang w:val="en-US" w:eastAsia="zh-CN"/>
        </w:rPr>
        <w:t>二是党组书记</w:t>
      </w:r>
      <w:r>
        <w:rPr>
          <w:rFonts w:hint="eastAsia" w:ascii="仿宋_GB2312" w:hAnsi="仿宋_GB2312" w:eastAsia="仿宋_GB2312" w:cs="仿宋_GB2312"/>
          <w:sz w:val="32"/>
          <w:szCs w:val="32"/>
        </w:rPr>
        <w:t>认真履行法治建设组织者、推动者和实践者职责，积极谋划参与推进发改法治建设相关工作。按照“党组书记负总责、班子成员联动配合”原则，成立了以主要负责同志任组长，分管负责同志任副组长，相关科室负责人为成员的法治建设工作领导小组，明确专人负责法治工作，配齐配强工作力量，构建起责任明晰、协同配合的法治</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工作体系。</w:t>
      </w:r>
    </w:p>
    <w:p w14:paraId="0D84C7C2">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（二）强化学习引领，提升法治素养</w:t>
      </w:r>
    </w:p>
    <w:p w14:paraId="4D1F0B08">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常学常思，笃做笃行。坚持以习近平新时代中国特色社会主义法治思想为指导，把学习党中央法治建设重要理论汇编及习总书记关于推进法治建设重要指示精神作为突出重点，今年以来结合日常工作重点学习了《</w:t>
      </w:r>
      <w:r>
        <w:rPr>
          <w:rFonts w:hint="eastAsia" w:ascii="仿宋_GB2312" w:hAnsi="仿宋_GB2312" w:eastAsia="仿宋_GB2312" w:cs="仿宋_GB2312"/>
          <w:sz w:val="32"/>
          <w:szCs w:val="32"/>
          <w:lang w:val="en-US" w:eastAsia="zh-CN"/>
        </w:rPr>
        <w:t>河南省营商环境条例</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val="en-US" w:eastAsia="zh-CN"/>
        </w:rPr>
        <w:t>数据</w:t>
      </w:r>
      <w:r>
        <w:rPr>
          <w:rFonts w:hint="eastAsia" w:ascii="仿宋_GB2312" w:hAnsi="仿宋_GB2312" w:eastAsia="仿宋_GB2312" w:cs="仿宋_GB2312"/>
          <w:sz w:val="32"/>
          <w:szCs w:val="32"/>
        </w:rPr>
        <w:t>安全法》等多部法律法规，进一步提升了法治素养和鉴别能力。</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求学广进，学思践悟。始终坚持在工作中锤炼“法制化”修养，</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班子成员先后开展理论法治专题学习活动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次，自觉把工作融入到依法治国、依依法治</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工作思路中，进一步开阔了眼界，拓宽了思路。三是学用相长，以学促知。将法治学习与具体工作相结合，</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数据安全法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河南省营商环境条例</w:t>
      </w:r>
      <w:r>
        <w:rPr>
          <w:rFonts w:hint="eastAsia" w:ascii="仿宋_GB2312" w:hAnsi="仿宋_GB2312" w:eastAsia="仿宋_GB2312" w:cs="仿宋_GB2312"/>
          <w:sz w:val="32"/>
          <w:szCs w:val="32"/>
        </w:rPr>
        <w:t>等法治宣传教育活动，既宣传了政策法规，也提升了自身法律素质和依法行政能力。</w:t>
      </w:r>
    </w:p>
    <w:p w14:paraId="73DE913E">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firstLine="640" w:firstLineChars="200"/>
        <w:jc w:val="left"/>
        <w:textAlignment w:val="auto"/>
        <w:outlineLvl w:val="9"/>
        <w:rPr>
          <w:rFonts w:hint="default" w:ascii="黑体" w:hAnsi="黑体" w:cs="黑体"/>
          <w:b w:val="0"/>
          <w:bCs w:val="0"/>
          <w:sz w:val="32"/>
          <w:szCs w:val="32"/>
          <w:lang w:val="en-US" w:eastAsia="zh-CN"/>
        </w:rPr>
      </w:pPr>
      <w:r>
        <w:rPr>
          <w:rFonts w:hint="eastAsia" w:ascii="黑体" w:hAnsi="黑体" w:cs="黑体"/>
          <w:b w:val="0"/>
          <w:bCs w:val="0"/>
          <w:sz w:val="32"/>
          <w:szCs w:val="32"/>
          <w:lang w:val="en-US" w:eastAsia="zh-CN"/>
        </w:rPr>
        <w:t>二、推进法治政府建设的主要举措和成效</w:t>
      </w:r>
    </w:p>
    <w:p w14:paraId="567C5B84">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（一）推进行政审批改革，持续优化营商环境</w:t>
      </w:r>
    </w:p>
    <w:p w14:paraId="06ABF47B">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持续推动“高效办成一件事”改革。</w:t>
      </w:r>
      <w:r>
        <w:rPr>
          <w:rFonts w:hint="eastAsia" w:ascii="仿宋_GB2312" w:hAnsi="仿宋_GB2312" w:eastAsia="仿宋_GB2312" w:cs="仿宋_GB2312"/>
          <w:sz w:val="32"/>
          <w:szCs w:val="32"/>
          <w:lang w:val="en-US" w:eastAsia="zh-CN"/>
        </w:rPr>
        <w:t>成立专班，</w:t>
      </w:r>
      <w:r>
        <w:rPr>
          <w:rFonts w:hint="eastAsia" w:ascii="仿宋_GB2312" w:hAnsi="仿宋_GB2312" w:eastAsia="仿宋_GB2312" w:cs="仿宋_GB2312"/>
          <w:sz w:val="32"/>
          <w:szCs w:val="32"/>
          <w:lang w:eastAsia="zh-CN"/>
        </w:rPr>
        <w:t>召开专题会议认真研究贯彻落实意见，成立由局长任组长、分管副职和中心负责人任副组长，相关业务科室为成员的工作专班，做好上传下达，与市局、区职能部门加强沟通联络，确保信息畅通、反馈及时，全力推进全区“高效办成一件事”落地见效；</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lang w:eastAsia="zh-CN"/>
        </w:rPr>
        <w:t>向各相关单位下发《关于加快落实国家</w:t>
      </w:r>
      <w:r>
        <w:rPr>
          <w:rFonts w:hint="eastAsia" w:ascii="仿宋_GB2312" w:hAnsi="仿宋_GB2312" w:eastAsia="仿宋_GB2312" w:cs="仿宋_GB2312"/>
          <w:sz w:val="32"/>
          <w:szCs w:val="32"/>
          <w:lang w:val="en-US" w:eastAsia="zh-CN"/>
        </w:rPr>
        <w:t>2025年度“高效办成一件事”重点事项清单的通知</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12+9项</w:t>
      </w:r>
      <w:r>
        <w:rPr>
          <w:rFonts w:hint="eastAsia" w:ascii="仿宋_GB2312" w:hAnsi="仿宋_GB2312" w:eastAsia="仿宋_GB2312" w:cs="仿宋_GB2312"/>
          <w:sz w:val="32"/>
          <w:szCs w:val="32"/>
          <w:lang w:eastAsia="zh-CN"/>
        </w:rPr>
        <w:t>“高效办成一件事”事项要求各相关牵头单位对职责权限进行梳理，加快推进。并印发《魏都区“高效办成一件事”事项清单管理机制和常态化推进机制》，在区政务服务大厅设置“高效办成一件事”综合服务窗口，为群众提供线下服务。同时，积极推动一件事下沉，区残联将“残疾人服务一件事”下沉至街道办事处，13家街道办事处便民服务中心均可受理残疾人服务一件事。区卫健委将“新生儿出生一件事”下沉至相关区属助产机构，将医院妇产科打造成宣传推广阵地。魏都区在河南政务服务平台共上线“高效办成一件事”</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项，其中2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项为国家重点“高效办成一件事”，2项为河南特色“高效办成一件事”。2025年至今，线上办理各类“一件事”事项</w:t>
      </w:r>
      <w:r>
        <w:rPr>
          <w:rFonts w:hint="eastAsia" w:ascii="仿宋_GB2312" w:hAnsi="仿宋_GB2312" w:eastAsia="仿宋_GB2312" w:cs="仿宋_GB2312"/>
          <w:sz w:val="32"/>
          <w:szCs w:val="32"/>
          <w:lang w:val="en-US" w:eastAsia="zh-CN"/>
        </w:rPr>
        <w:t>2093</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推进魏都区惠企政策“免申即享”工作。根据省市相关要求，逐步推行惠企政策“免申即享”，建立健全“免申即享”工作机制，实现惠企政策“免申即享”全覆盖。截止目前平台共梳理政策文件144条，服务管理139条，兑付资金981.3万元，惠及企业288家。</w:t>
      </w:r>
    </w:p>
    <w:p w14:paraId="324E9065">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firstLine="643" w:firstLineChars="200"/>
        <w:jc w:val="both"/>
        <w:textAlignment w:val="auto"/>
        <w:outlineLvl w:val="9"/>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w:t>
      </w:r>
      <w:r>
        <w:rPr>
          <w:rFonts w:hint="eastAsia" w:ascii="楷体_GB2312" w:hAnsi="楷体_GB2312" w:eastAsia="楷体_GB2312" w:cs="楷体_GB2312"/>
          <w:b/>
          <w:bCs/>
          <w:color w:val="auto"/>
          <w:kern w:val="2"/>
          <w:sz w:val="32"/>
          <w:szCs w:val="32"/>
          <w:lang w:val="en-US" w:eastAsia="zh-CN" w:bidi="ar-SA"/>
        </w:rPr>
        <w:t>夯实基础，推进政务服务标准化建设</w:t>
      </w:r>
    </w:p>
    <w:p w14:paraId="50E0103C">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default" w:ascii="仿宋_GB2312" w:hAnsi="仿宋_GB2312" w:eastAsia="仿宋_GB2312" w:cs="仿宋_GB2312"/>
          <w:b w:val="0"/>
          <w:bCs w:val="0"/>
          <w:snapToGrid w:val="0"/>
          <w:color w:val="auto"/>
          <w:spacing w:val="0"/>
          <w:kern w:val="0"/>
          <w:sz w:val="32"/>
          <w:szCs w:val="32"/>
          <w:lang w:val="en-US" w:eastAsia="zh-CN" w:bidi="ar-SA"/>
        </w:rPr>
        <w:t>持续提升政务信息基础设施建设水平</w:t>
      </w:r>
      <w:r>
        <w:rPr>
          <w:rFonts w:hint="eastAsia" w:ascii="仿宋_GB2312" w:hAnsi="仿宋_GB2312" w:eastAsia="仿宋_GB2312" w:cs="仿宋_GB2312"/>
          <w:b w:val="0"/>
          <w:bCs w:val="0"/>
          <w:snapToGrid w:val="0"/>
          <w:color w:val="auto"/>
          <w:spacing w:val="0"/>
          <w:kern w:val="0"/>
          <w:sz w:val="32"/>
          <w:szCs w:val="32"/>
          <w:lang w:val="en-US" w:eastAsia="zh-CN" w:bidi="ar-SA"/>
        </w:rPr>
        <w:t>，完成电子外网提升工程，政务外网延伸拓展至全区89个社区，对魏都区综合办公楼网络进行优化提升；推动政务服务事项“一网通办”，组织全区各单位在河南政务服务网共梳理认领政务服务事项1411项；“不见面”审批事项1379项，占全部事项的99.08%。</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sz w:val="32"/>
          <w:szCs w:val="32"/>
          <w:lang w:val="en-US" w:eastAsia="zh-CN"/>
        </w:rPr>
        <w:t>推进标准化建设，探索人性化服务。在河南政务服务网梳理认领的政务服务事项网上服务指南要素完整度100%；</w:t>
      </w:r>
      <w:r>
        <w:rPr>
          <w:rFonts w:hint="eastAsia" w:ascii="仿宋_GB2312" w:hAnsi="仿宋_GB2312" w:eastAsia="仿宋_GB2312" w:cs="仿宋_GB2312"/>
          <w:b w:val="0"/>
          <w:bCs w:val="0"/>
          <w:kern w:val="2"/>
          <w:sz w:val="32"/>
          <w:szCs w:val="32"/>
          <w:lang w:val="en-US" w:eastAsia="zh-CN" w:bidi="ar-SA"/>
        </w:rPr>
        <w:t>全年通过线上办理各类政务服务事项120564件，并在办件过程中积极开展绿色通道、专人帮办代办、免费双向邮寄、上门服务等便民服务措施。今年以来，我区各职能审批部门通过政务服务“好差评”系统，收到线上线下各类评价60394条，无群众差评件。</w:t>
      </w:r>
    </w:p>
    <w:p w14:paraId="1518C27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b/>
          <w:bCs/>
          <w:lang w:val="en-US" w:eastAsia="zh-CN"/>
        </w:rPr>
      </w:pPr>
      <w:bookmarkStart w:id="0" w:name="_GoBack"/>
      <w:r>
        <w:rPr>
          <w:rFonts w:hint="eastAsia" w:ascii="楷体_GB2312" w:hAnsi="楷体_GB2312" w:eastAsia="楷体_GB2312" w:cs="楷体_GB2312"/>
          <w:b/>
          <w:bCs/>
          <w:kern w:val="2"/>
          <w:sz w:val="32"/>
          <w:szCs w:val="32"/>
          <w:lang w:val="en-US" w:eastAsia="zh-CN" w:bidi="ar-SA"/>
        </w:rPr>
        <w:t>（三）强化法制教育，打造法治队伍</w:t>
      </w:r>
    </w:p>
    <w:bookmarkEnd w:id="0"/>
    <w:p w14:paraId="0C3D7FEB">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全面提高干部职工法律素质和社会法治化水平。</w:t>
      </w:r>
      <w:r>
        <w:rPr>
          <w:rFonts w:hint="eastAsia" w:ascii="仿宋_GB2312" w:hAnsi="仿宋_GB2312" w:eastAsia="仿宋_GB2312" w:cs="仿宋_GB2312"/>
          <w:sz w:val="32"/>
          <w:szCs w:val="32"/>
          <w:lang w:val="en-US" w:eastAsia="zh-CN"/>
        </w:rPr>
        <w:t>积极组织</w:t>
      </w:r>
      <w:r>
        <w:rPr>
          <w:rFonts w:hint="eastAsia" w:ascii="仿宋_GB2312" w:hAnsi="仿宋_GB2312" w:eastAsia="仿宋_GB2312" w:cs="仿宋_GB2312"/>
          <w:sz w:val="32"/>
          <w:szCs w:val="32"/>
        </w:rPr>
        <w:t>召开法治工作培训会，组织干部职工学习了</w:t>
      </w:r>
      <w:r>
        <w:rPr>
          <w:rFonts w:hint="eastAsia" w:ascii="仿宋_GB2312" w:hAnsi="仿宋_GB2312" w:eastAsia="仿宋_GB2312" w:cs="仿宋_GB2312"/>
          <w:sz w:val="32"/>
          <w:szCs w:val="32"/>
          <w:lang w:val="en-US" w:eastAsia="zh-CN"/>
        </w:rPr>
        <w:t>习近平法治思想、</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val="en-US" w:eastAsia="zh-CN"/>
        </w:rPr>
        <w:t>数据安全法</w:t>
      </w:r>
      <w:r>
        <w:rPr>
          <w:rFonts w:hint="eastAsia" w:ascii="仿宋_GB2312" w:hAnsi="仿宋_GB2312" w:eastAsia="仿宋_GB2312" w:cs="仿宋_GB2312"/>
          <w:sz w:val="32"/>
          <w:szCs w:val="32"/>
        </w:rPr>
        <w:t>》等法律法规。全面做好</w:t>
      </w:r>
      <w:r>
        <w:rPr>
          <w:rFonts w:hint="eastAsia" w:ascii="仿宋_GB2312" w:hAnsi="仿宋_GB2312" w:eastAsia="仿宋_GB2312" w:cs="仿宋_GB2312"/>
          <w:sz w:val="32"/>
          <w:szCs w:val="32"/>
          <w:lang w:val="en-US" w:eastAsia="zh-CN"/>
        </w:rPr>
        <w:t>干部职工</w:t>
      </w:r>
      <w:r>
        <w:rPr>
          <w:rFonts w:hint="eastAsia" w:ascii="仿宋_GB2312" w:hAnsi="仿宋_GB2312" w:eastAsia="仿宋_GB2312" w:cs="仿宋_GB2312"/>
          <w:sz w:val="32"/>
          <w:szCs w:val="32"/>
        </w:rPr>
        <w:t>普法培训工作。坚持把法治教育摆在重要位置，实现学法、普法全覆盖。</w:t>
      </w:r>
    </w:p>
    <w:p w14:paraId="0D760118">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200" w:firstLine="320" w:firstLineChars="100"/>
        <w:jc w:val="both"/>
        <w:textAlignment w:val="auto"/>
        <w:outlineLvl w:val="9"/>
        <w:rPr>
          <w:rFonts w:hint="default" w:ascii="黑体" w:hAnsi="黑体" w:cs="黑体"/>
          <w:b w:val="0"/>
          <w:bCs w:val="0"/>
          <w:sz w:val="32"/>
          <w:szCs w:val="32"/>
          <w:lang w:val="en-US" w:eastAsia="zh-CN"/>
        </w:rPr>
      </w:pPr>
      <w:r>
        <w:rPr>
          <w:rFonts w:hint="eastAsia" w:ascii="黑体" w:hAnsi="黑体" w:cs="黑体"/>
          <w:b w:val="0"/>
          <w:bCs w:val="0"/>
          <w:sz w:val="32"/>
          <w:szCs w:val="32"/>
          <w:lang w:val="en-US" w:eastAsia="zh-CN"/>
        </w:rPr>
        <w:t>三、推进法治政府建设存在的不足、原因和问题</w:t>
      </w:r>
    </w:p>
    <w:p w14:paraId="1E00647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Times New Roman" w:hAnsi="Times New Roman" w:eastAsia="仿宋_GB2312" w:cs="Times New Roman"/>
          <w:spacing w:val="11"/>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 w:hAnsi="仿宋" w:eastAsia="仿宋" w:cs="仿宋"/>
          <w:sz w:val="32"/>
          <w:szCs w:val="32"/>
        </w:rPr>
        <w:t>是学法观念仍需增强。学法用法工作是一项长期而艰巨的任务，短时间内难以体现工作实绩，个别同志在“注重业务、突出业绩”思想的驱使下，对学法抓得不紧，对法治工作不够重视，没有形成干部职工学法用法的常态化。二是普法宣传形式单一。在开展活动时普遍存在形式单一化问题，基本运用播放视频、法制讲座、培训考试的形式，有待进一步创新工作载体，增强主动宣传发声意识。三是学用结合程度不够。法治知识掌握广度不够，对行业内的法律、规章认识多，行业外的法律、规章认识少。在法律、规章运用上，理解的深度和广度还有差距，灵活度不高</w:t>
      </w:r>
      <w:r>
        <w:rPr>
          <w:rFonts w:hint="eastAsia" w:ascii="Times New Roman" w:hAnsi="Times New Roman" w:eastAsia="仿宋_GB2312" w:cs="Times New Roman"/>
          <w:spacing w:val="11"/>
          <w:sz w:val="32"/>
          <w:szCs w:val="32"/>
          <w:lang w:val="en-US" w:eastAsia="zh-CN"/>
        </w:rPr>
        <w:t>力还有待提高，存在应对不及时、不充分的情况。</w:t>
      </w:r>
    </w:p>
    <w:p w14:paraId="08C518BC">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firstLine="640" w:firstLineChars="200"/>
        <w:jc w:val="both"/>
        <w:textAlignment w:val="auto"/>
        <w:outlineLvl w:val="9"/>
        <w:rPr>
          <w:rFonts w:hint="eastAsia" w:ascii="黑体" w:hAnsi="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四、</w:t>
      </w:r>
      <w:r>
        <w:rPr>
          <w:rFonts w:hint="eastAsia" w:ascii="黑体" w:hAnsi="黑体" w:cs="黑体"/>
          <w:b w:val="0"/>
          <w:bCs w:val="0"/>
          <w:sz w:val="32"/>
          <w:szCs w:val="32"/>
          <w:lang w:val="en-US" w:eastAsia="zh-CN"/>
        </w:rPr>
        <w:t>2026年度推进法治政府建设的初步安排</w:t>
      </w:r>
    </w:p>
    <w:p w14:paraId="301E3BC4">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firstLine="640" w:firstLineChars="200"/>
        <w:jc w:val="both"/>
        <w:textAlignment w:val="auto"/>
        <w:outlineLvl w:val="9"/>
        <w:rPr>
          <w:rFonts w:hint="eastAsia" w:ascii="仿宋" w:hAnsi="仿宋" w:eastAsia="仿宋" w:cs="仿宋"/>
          <w:sz w:val="32"/>
          <w:szCs w:val="32"/>
        </w:rPr>
      </w:pPr>
      <w:r>
        <w:rPr>
          <w:rFonts w:hint="eastAsia" w:ascii="楷体_GB2312" w:hAnsi="楷体_GB2312" w:eastAsia="楷体_GB2312" w:cs="楷体_GB2312"/>
          <w:b w:val="0"/>
          <w:bCs w:val="0"/>
          <w:kern w:val="2"/>
          <w:sz w:val="32"/>
          <w:szCs w:val="32"/>
          <w:lang w:val="en-US" w:eastAsia="zh-CN" w:bidi="ar-SA"/>
        </w:rPr>
        <w:t>（一）</w:t>
      </w:r>
      <w:r>
        <w:rPr>
          <w:rFonts w:hint="eastAsia" w:ascii="仿宋" w:hAnsi="仿宋" w:eastAsia="仿宋" w:cs="仿宋"/>
          <w:sz w:val="32"/>
          <w:szCs w:val="32"/>
        </w:rPr>
        <w:t>加强组织领导，进一步提高依法行政能力。全面部署依法行政各项工作，确保各项工作有效协调开展。</w:t>
      </w:r>
    </w:p>
    <w:p w14:paraId="5D4CE4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（二）提高法治意识，用法治思维解决工作问题。要进一步提高职工干部的依法行政意识、法治思维意识，善于在工作中用法治思维解决问题。</w:t>
      </w:r>
    </w:p>
    <w:p w14:paraId="6F798BA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11"/>
          <w:sz w:val="32"/>
          <w:szCs w:val="32"/>
          <w:lang w:val="en-US" w:eastAsia="zh-CN"/>
        </w:rPr>
      </w:pPr>
      <w:r>
        <w:rPr>
          <w:rFonts w:hint="eastAsia" w:ascii="楷体_GB2312" w:hAnsi="楷体_GB2312" w:eastAsia="楷体_GB2312" w:cs="楷体_GB2312"/>
          <w:b w:val="0"/>
          <w:bCs w:val="0"/>
          <w:kern w:val="2"/>
          <w:sz w:val="32"/>
          <w:szCs w:val="32"/>
          <w:lang w:val="en-US" w:eastAsia="zh-CN" w:bidi="ar-SA"/>
        </w:rPr>
        <w:t>（三）</w:t>
      </w:r>
      <w:r>
        <w:rPr>
          <w:rFonts w:hint="eastAsia" w:ascii="Times New Roman" w:hAnsi="Times New Roman" w:eastAsia="仿宋_GB2312" w:cs="Times New Roman"/>
          <w:spacing w:val="11"/>
          <w:sz w:val="32"/>
          <w:szCs w:val="32"/>
          <w:lang w:val="en-US" w:eastAsia="zh-CN"/>
        </w:rPr>
        <w:t>进一步拓宽监督渠道，自觉主动地接受服务对象监督，增强执法的透明度。全力做好上级要求的各项涉法工作，确保各项工作开展合法、合规，法治建设工作有效、有序，为推进法治政府建设取得新成效贡献更加坚实的力量。</w:t>
      </w:r>
    </w:p>
    <w:p w14:paraId="2E9C24A6">
      <w:pPr>
        <w:pStyle w:val="13"/>
        <w:widowControl w:val="0"/>
        <w:wordWrap/>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56647A64">
      <w:pPr>
        <w:pStyle w:val="13"/>
        <w:widowControl w:val="0"/>
        <w:wordWrap/>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65D1E108">
      <w:pPr>
        <w:pStyle w:val="14"/>
        <w:widowControl w:val="0"/>
        <w:wordWrap/>
        <w:adjustRightInd/>
        <w:snapToGrid/>
        <w:spacing w:line="560" w:lineRule="exact"/>
        <w:jc w:val="right"/>
        <w:textAlignment w:val="auto"/>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0NjI4M2UyM2UwZGRiN2I5YmQ0Y2Q4ZmFkOThkOTgifQ=="/>
  </w:docVars>
  <w:rsids>
    <w:rsidRoot w:val="00000000"/>
    <w:rsid w:val="00B0165D"/>
    <w:rsid w:val="01786BA0"/>
    <w:rsid w:val="04FD7E51"/>
    <w:rsid w:val="0BFD3684"/>
    <w:rsid w:val="106D2504"/>
    <w:rsid w:val="108362AF"/>
    <w:rsid w:val="1A922585"/>
    <w:rsid w:val="1C0D76D5"/>
    <w:rsid w:val="1D576A3C"/>
    <w:rsid w:val="1EFE242D"/>
    <w:rsid w:val="206A59E4"/>
    <w:rsid w:val="29F5562C"/>
    <w:rsid w:val="37C406D5"/>
    <w:rsid w:val="3C2974B3"/>
    <w:rsid w:val="3CFE4F34"/>
    <w:rsid w:val="3F32667F"/>
    <w:rsid w:val="42B06238"/>
    <w:rsid w:val="434A11F7"/>
    <w:rsid w:val="52694F2D"/>
    <w:rsid w:val="53CD5F97"/>
    <w:rsid w:val="53D111F8"/>
    <w:rsid w:val="57574261"/>
    <w:rsid w:val="5ACE32A8"/>
    <w:rsid w:val="5C3C0A2D"/>
    <w:rsid w:val="61BB4F1D"/>
    <w:rsid w:val="69320A52"/>
    <w:rsid w:val="6A9B20C9"/>
    <w:rsid w:val="6CF97558"/>
    <w:rsid w:val="6D000CC6"/>
    <w:rsid w:val="72D60B67"/>
    <w:rsid w:val="7961473B"/>
    <w:rsid w:val="7CB32AC4"/>
    <w:rsid w:val="7DF859FB"/>
    <w:rsid w:val="7FA469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104" w:after="104" w:line="0" w:lineRule="atLeast"/>
      <w:ind w:firstLine="0" w:firstLineChars="0"/>
      <w:jc w:val="center"/>
      <w:outlineLvl w:val="0"/>
    </w:pPr>
    <w:rPr>
      <w:rFonts w:ascii="Arial" w:hAnsi="Arial" w:eastAsia="黑体"/>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Body Text"/>
    <w:basedOn w:val="1"/>
    <w:next w:val="1"/>
    <w:qFormat/>
    <w:uiPriority w:val="0"/>
    <w:pPr>
      <w:jc w:val="center"/>
    </w:pPr>
    <w:rPr>
      <w:rFonts w:eastAsia="黑体"/>
      <w:sz w:val="36"/>
      <w:szCs w:val="20"/>
    </w:rPr>
  </w:style>
  <w:style w:type="paragraph" w:styleId="5">
    <w:name w:val="Body Text Indent"/>
    <w:basedOn w:val="1"/>
    <w:next w:val="3"/>
    <w:qFormat/>
    <w:uiPriority w:val="0"/>
    <w:pPr>
      <w:widowControl w:val="0"/>
      <w:ind w:firstLine="640" w:firstLineChars="200"/>
      <w:jc w:val="both"/>
    </w:pPr>
    <w:rPr>
      <w:rFonts w:ascii="Calibri" w:hAnsi="Calibri" w:eastAsia="宋体" w:cs="Times New Roman"/>
      <w:snapToGrid w:val="0"/>
      <w:kern w:val="0"/>
      <w:sz w:val="21"/>
      <w:szCs w:val="24"/>
      <w:lang w:val="en-US" w:eastAsia="zh-CN" w:bidi="ar-SA"/>
    </w:rPr>
  </w:style>
  <w:style w:type="paragraph" w:styleId="6">
    <w:name w:val="Body Text First Indent"/>
    <w:basedOn w:val="4"/>
    <w:next w:val="7"/>
    <w:qFormat/>
    <w:uiPriority w:val="0"/>
    <w:pPr>
      <w:ind w:firstLine="420" w:firstLineChars="100"/>
    </w:pPr>
    <w:rPr>
      <w:lang w:val="en-US" w:eastAsia="zh-CN" w:bidi="ar-SA"/>
    </w:rPr>
  </w:style>
  <w:style w:type="paragraph" w:styleId="7">
    <w:name w:val="Body Text First Indent 2"/>
    <w:basedOn w:val="5"/>
    <w:next w:val="1"/>
    <w:qFormat/>
    <w:uiPriority w:val="0"/>
    <w:pPr>
      <w:ind w:firstLine="420"/>
    </w:pPr>
    <w:rPr>
      <w:rFonts w:ascii="Calibri" w:hAnsi="Calibri" w:eastAsia="宋体" w:cs="Times New Roman"/>
      <w:lang w:val="en-US" w:eastAsia="zh-CN" w:bidi="ar-SA"/>
    </w:rPr>
  </w:style>
  <w:style w:type="paragraph" w:customStyle="1" w:styleId="10">
    <w:name w:val="Normal Indent"/>
    <w:basedOn w:val="1"/>
    <w:qFormat/>
    <w:uiPriority w:val="0"/>
    <w:pPr>
      <w:ind w:firstLine="420" w:firstLineChars="200"/>
    </w:pPr>
    <w:rPr>
      <w:rFonts w:ascii="Times New Roman" w:hAnsi="Times New Roman" w:eastAsia="宋体" w:cs="Times New Roman"/>
      <w:szCs w:val="24"/>
    </w:rPr>
  </w:style>
  <w:style w:type="paragraph" w:customStyle="1" w:styleId="11">
    <w:name w:val="Body Text Indent"/>
    <w:basedOn w:val="1"/>
    <w:next w:val="10"/>
    <w:qFormat/>
    <w:uiPriority w:val="0"/>
    <w:pPr>
      <w:widowControl w:val="0"/>
      <w:ind w:firstLine="640" w:firstLineChars="200"/>
      <w:jc w:val="both"/>
    </w:pPr>
    <w:rPr>
      <w:rFonts w:ascii="Calibri" w:hAnsi="Calibri" w:eastAsia="宋体" w:cs="Times New Roman"/>
      <w:snapToGrid w:val="0"/>
      <w:kern w:val="0"/>
      <w:sz w:val="21"/>
      <w:szCs w:val="24"/>
      <w:lang w:val="en-US" w:eastAsia="zh-CN" w:bidi="ar-SA"/>
    </w:rPr>
  </w:style>
  <w:style w:type="paragraph" w:customStyle="1" w:styleId="12">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3">
    <w:name w:val="Body Text First Indent"/>
    <w:basedOn w:val="4"/>
    <w:next w:val="14"/>
    <w:qFormat/>
    <w:uiPriority w:val="0"/>
    <w:pPr>
      <w:ind w:firstLine="420" w:firstLineChars="100"/>
    </w:pPr>
    <w:rPr>
      <w:lang w:val="en-US" w:eastAsia="zh-CN" w:bidi="ar-SA"/>
    </w:rPr>
  </w:style>
  <w:style w:type="paragraph" w:customStyle="1" w:styleId="14">
    <w:name w:val="Body Text First Indent 2"/>
    <w:basedOn w:val="11"/>
    <w:next w:val="1"/>
    <w:qFormat/>
    <w:uiPriority w:val="0"/>
    <w:pPr>
      <w:ind w:firstLine="420"/>
    </w:pPr>
    <w:rPr>
      <w:rFonts w:ascii="Calibri" w:hAnsi="Calibri" w:eastAsia="宋体" w:cs="Times New Roman"/>
      <w:lang w:val="en-US" w:eastAsia="zh-CN" w:bidi="ar-SA"/>
    </w:rPr>
  </w:style>
  <w:style w:type="paragraph" w:customStyle="1" w:styleId="15">
    <w:name w:val="Body Text First Indent1"/>
    <w:basedOn w:val="4"/>
    <w:next w:val="4"/>
    <w:qFormat/>
    <w:uiPriority w:val="0"/>
    <w:pPr>
      <w:ind w:firstLine="420" w:firstLineChars="100"/>
    </w:pPr>
  </w:style>
  <w:style w:type="paragraph" w:customStyle="1" w:styleId="16">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2401</Words>
  <Characters>2463</Characters>
  <Lines>0</Lines>
  <Paragraphs>0</Paragraphs>
  <TotalTime>3</TotalTime>
  <ScaleCrop>false</ScaleCrop>
  <LinksUpToDate>false</LinksUpToDate>
  <CharactersWithSpaces>2463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2023-12-22T15:48:00Z</dcterms:created>
  <dc:creator>Administrator</dc:creator>
  <cp:lastModifiedBy>梁帅鑫个人账户</cp:lastModifiedBy>
  <cp:lastPrinted>2025-03-04T07:56:00Z</cp:lastPrinted>
  <dcterms:modified xsi:type="dcterms:W3CDTF">2026-02-03T07:04:08Z</dcterms:modified>
  <dc:title>隔壁家的_孩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FEAC76CFE1F54EDA8D3CF6140FA1E484_13</vt:lpwstr>
  </property>
  <property fmtid="{D5CDD505-2E9C-101B-9397-08002B2CF9AE}" pid="4" name="KSOTemplateDocerSaveRecord">
    <vt:lpwstr>eyJoZGlkIjoiMTlhZWRiNjZhMzU2ZTBhM2YyMTE4OGFiNDliMDViOTIiLCJ1c2VySWQiOiIyMjIxNjcwOSJ9</vt:lpwstr>
  </property>
</Properties>
</file>