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right="0" w:rightChars="0"/>
        <w:jc w:val="left"/>
        <w:outlineLvl w:val="9"/>
        <w:rPr>
          <w:rFonts w:hint="eastAsia" w:ascii="仿宋_GB2312" w:hAnsi="仿宋_GB2312" w:eastAsia="仿宋_GB2312" w:cs="仿宋_GB2312"/>
          <w:color w:val="auto"/>
          <w:sz w:val="32"/>
          <w:szCs w:val="32"/>
          <w:lang w:val="en-US" w:eastAsia="zh-CN"/>
        </w:rP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566" w:lineRule="atLeast"/>
        <w:ind w:firstLine="718" w:firstLineChars="342"/>
        <w:jc w:val="center"/>
      </w:pPr>
    </w:p>
    <w:p>
      <w:pPr>
        <w:widowControl w:val="0"/>
        <w:snapToGrid w:val="0"/>
        <w:spacing w:line="459" w:lineRule="atLeast"/>
        <w:ind w:firstLine="718" w:firstLineChars="342"/>
        <w:jc w:val="center"/>
        <w:rPr>
          <w:rFonts w:hint="eastAsia"/>
        </w:rPr>
      </w:pPr>
    </w:p>
    <w:p>
      <w:pPr>
        <w:widowControl w:val="0"/>
        <w:snapToGrid w:val="0"/>
        <w:spacing w:line="459" w:lineRule="atLeast"/>
        <w:ind w:firstLine="718" w:firstLineChars="342"/>
        <w:jc w:val="center"/>
        <w:rPr>
          <w:rFonts w:hint="eastAsia"/>
        </w:rPr>
      </w:pPr>
    </w:p>
    <w:p>
      <w:pPr>
        <w:widowControl w:val="0"/>
        <w:snapToGrid w:val="0"/>
        <w:spacing w:line="459" w:lineRule="atLeast"/>
        <w:jc w:val="center"/>
        <w:rPr>
          <w:rFonts w:hint="eastAsia" w:ascii="仿宋_GB2312" w:eastAsia="仿宋_GB2312"/>
          <w:sz w:val="31"/>
        </w:rPr>
      </w:pPr>
      <w:r>
        <w:rPr>
          <w:rFonts w:hint="eastAsia" w:ascii="仿宋_GB2312" w:eastAsia="仿宋_GB2312"/>
          <w:sz w:val="31"/>
        </w:rPr>
        <w:t>许魏发改〔20</w:t>
      </w:r>
      <w:r>
        <w:rPr>
          <w:rFonts w:hint="eastAsia" w:ascii="仿宋_GB2312" w:eastAsia="仿宋_GB2312"/>
          <w:sz w:val="31"/>
          <w:lang w:val="en-US" w:eastAsia="zh-CN"/>
        </w:rPr>
        <w:t>24</w:t>
      </w:r>
      <w:r>
        <w:rPr>
          <w:rFonts w:hint="eastAsia" w:ascii="仿宋_GB2312" w:eastAsia="仿宋_GB2312"/>
          <w:sz w:val="31"/>
        </w:rPr>
        <w:t>〕</w:t>
      </w:r>
      <w:r>
        <w:rPr>
          <w:rFonts w:hint="eastAsia" w:ascii="仿宋_GB2312" w:eastAsia="仿宋_GB2312"/>
          <w:sz w:val="31"/>
          <w:lang w:val="en-US" w:eastAsia="zh-CN"/>
        </w:rPr>
        <w:t>18</w:t>
      </w:r>
      <w:r>
        <w:rPr>
          <w:rFonts w:hint="eastAsia" w:ascii="仿宋_GB2312" w:eastAsia="仿宋_GB2312"/>
          <w:sz w:val="31"/>
        </w:rPr>
        <w:t>号</w:t>
      </w:r>
    </w:p>
    <w:p>
      <w:pPr>
        <w:widowControl w:val="0"/>
        <w:snapToGrid w:val="0"/>
        <w:spacing w:line="459" w:lineRule="atLeast"/>
        <w:jc w:val="center"/>
        <w:rPr>
          <w:rFonts w:hint="eastAsia" w:ascii="仿宋_GB2312" w:eastAsia="仿宋_GB2312"/>
          <w:sz w:val="31"/>
        </w:rPr>
      </w:pPr>
    </w:p>
    <w:p>
      <w:pPr>
        <w:widowControl w:val="0"/>
        <w:snapToGrid w:val="0"/>
        <w:spacing w:line="459" w:lineRule="atLeast"/>
        <w:jc w:val="center"/>
        <w:rPr>
          <w:rFonts w:hint="eastAsia" w:ascii="方正小标宋简体" w:hAnsi="方正小标宋简体" w:eastAsia="方正小标宋简体" w:cs="方正小标宋简体"/>
          <w:b w:val="0"/>
          <w:bCs/>
          <w:spacing w:val="0"/>
          <w:sz w:val="44"/>
          <w:szCs w:val="44"/>
          <w:lang w:val="en-US" w:eastAsia="zh-CN"/>
        </w:rPr>
      </w:pPr>
      <w:r>
        <w:rPr>
          <w:rFonts w:hint="eastAsia" w:ascii="方正小标宋简体" w:hAnsi="方正小标宋简体" w:eastAsia="方正小标宋简体" w:cs="方正小标宋简体"/>
          <w:b w:val="0"/>
          <w:bCs/>
          <w:spacing w:val="0"/>
          <w:sz w:val="44"/>
          <w:szCs w:val="44"/>
          <w:lang w:val="en-US" w:eastAsia="zh-CN"/>
        </w:rPr>
        <w:t>关于对“平安东大”综治中心项目</w:t>
      </w:r>
    </w:p>
    <w:p>
      <w:pPr>
        <w:widowControl w:val="0"/>
        <w:snapToGrid w:val="0"/>
        <w:spacing w:line="459" w:lineRule="atLeast"/>
        <w:jc w:val="center"/>
        <w:rPr>
          <w:rFonts w:hint="eastAsia" w:ascii="方正小标宋简体" w:hAnsi="方正小标宋简体" w:eastAsia="方正小标宋简体" w:cs="方正小标宋简体"/>
          <w:spacing w:val="0"/>
          <w:sz w:val="44"/>
          <w:szCs w:val="44"/>
        </w:rPr>
      </w:pPr>
      <w:r>
        <w:rPr>
          <w:rFonts w:hint="eastAsia" w:ascii="方正小标宋简体" w:hAnsi="方正小标宋简体" w:eastAsia="方正小标宋简体" w:cs="方正小标宋简体"/>
          <w:b w:val="0"/>
          <w:bCs/>
          <w:spacing w:val="0"/>
          <w:sz w:val="44"/>
          <w:szCs w:val="44"/>
          <w:lang w:val="en-US" w:eastAsia="zh-CN"/>
        </w:rPr>
        <w:t>可行性研究报告的批复</w:t>
      </w:r>
    </w:p>
    <w:p>
      <w:pPr>
        <w:keepNext w:val="0"/>
        <w:keepLines w:val="0"/>
        <w:pageBreakBefore w:val="0"/>
        <w:widowControl w:val="0"/>
        <w:kinsoku/>
        <w:wordWrap/>
        <w:overflowPunct/>
        <w:topLinePunct w:val="0"/>
        <w:autoSpaceDE/>
        <w:autoSpaceDN/>
        <w:bidi w:val="0"/>
        <w:adjustRightInd/>
        <w:snapToGrid w:val="0"/>
        <w:spacing w:before="0" w:beforeLines="0" w:after="0" w:afterLines="0" w:line="560" w:lineRule="exact"/>
        <w:ind w:left="0" w:leftChars="0" w:right="0" w:rightChars="0"/>
        <w:jc w:val="left"/>
        <w:outlineLvl w:val="9"/>
        <w:rPr>
          <w:rFonts w:hint="eastAsia" w:ascii="仿宋_GB2312" w:hAnsi="仿宋_GB2312" w:eastAsia="仿宋_GB2312" w:cs="仿宋_GB2312"/>
          <w:b w:val="0"/>
          <w:bCs w:val="0"/>
          <w:snapToGrid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before="0" w:beforeLines="0" w:after="0" w:afterLines="0" w:line="550" w:lineRule="exact"/>
        <w:ind w:left="0" w:leftChars="0" w:right="0" w:rightChars="0"/>
        <w:jc w:val="left"/>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snapToGrid w:val="0"/>
          <w:spacing w:val="0"/>
          <w:sz w:val="32"/>
          <w:szCs w:val="32"/>
          <w:lang w:val="en-US" w:eastAsia="zh-CN"/>
        </w:rPr>
        <w:t>许昌市魏都区东大街道办事处</w:t>
      </w:r>
      <w:r>
        <w:rPr>
          <w:rFonts w:hint="eastAsia" w:ascii="仿宋_GB2312" w:hAnsi="仿宋_GB2312" w:eastAsia="仿宋_GB2312" w:cs="仿宋_GB2312"/>
          <w:b w:val="0"/>
          <w:bCs w:val="0"/>
          <w:snapToGrid w:val="0"/>
          <w:spacing w:val="0"/>
          <w:sz w:val="32"/>
          <w:szCs w:val="32"/>
        </w:rPr>
        <w:t>：</w:t>
      </w:r>
    </w:p>
    <w:p>
      <w:pPr>
        <w:keepNext w:val="0"/>
        <w:keepLines w:val="0"/>
        <w:pageBreakBefore w:val="0"/>
        <w:widowControl w:val="0"/>
        <w:kinsoku/>
        <w:wordWrap/>
        <w:overflowPunct/>
        <w:topLinePunct w:val="0"/>
        <w:autoSpaceDE/>
        <w:autoSpaceDN/>
        <w:bidi w:val="0"/>
        <w:adjustRightInd/>
        <w:snapToGrid w:val="0"/>
        <w:spacing w:before="0" w:beforeLines="0" w:after="0" w:afterLines="0" w:line="550" w:lineRule="exact"/>
        <w:ind w:left="0" w:leftChars="0" w:right="0" w:rightChars="0" w:firstLine="640" w:firstLineChars="200"/>
        <w:jc w:val="left"/>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color w:val="auto"/>
          <w:sz w:val="32"/>
          <w:szCs w:val="32"/>
          <w:lang w:val="en-US" w:eastAsia="zh-CN"/>
        </w:rPr>
        <w:t>报来“平安东大”综治中心项目立项的请示</w:t>
      </w:r>
      <w:r>
        <w:rPr>
          <w:rFonts w:hint="eastAsia" w:ascii="仿宋_GB2312" w:hAnsi="仿宋_GB2312" w:eastAsia="仿宋_GB2312" w:cs="仿宋_GB2312"/>
          <w:b w:val="0"/>
          <w:bCs w:val="0"/>
          <w:color w:val="auto"/>
          <w:sz w:val="32"/>
          <w:szCs w:val="32"/>
          <w:lang w:val="en-US" w:eastAsia="zh-CN"/>
        </w:rPr>
        <w:t>及有关材料已收悉。经研究，</w:t>
      </w:r>
      <w:r>
        <w:rPr>
          <w:rFonts w:hint="eastAsia" w:ascii="仿宋_GB2312" w:hAnsi="仿宋_GB2312" w:eastAsia="仿宋_GB2312" w:cs="仿宋_GB2312"/>
          <w:b w:val="0"/>
          <w:bCs w:val="0"/>
          <w:i w:val="0"/>
          <w:caps w:val="0"/>
          <w:color w:val="auto"/>
          <w:spacing w:val="0"/>
          <w:sz w:val="32"/>
          <w:szCs w:val="32"/>
          <w:shd w:val="clear" w:color="auto" w:fill="FFFFFF"/>
        </w:rPr>
        <w:t>批复如下</w:t>
      </w:r>
      <w:r>
        <w:rPr>
          <w:rFonts w:hint="eastAsia" w:ascii="仿宋_GB2312" w:hAnsi="仿宋_GB2312" w:eastAsia="仿宋_GB2312" w:cs="仿宋_GB2312"/>
          <w:b w:val="0"/>
          <w:bCs w:val="0"/>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before="0" w:beforeLines="0" w:after="0" w:afterLines="0" w:line="550" w:lineRule="exact"/>
        <w:ind w:left="0" w:leftChars="0" w:right="0" w:rightChars="0" w:firstLine="640" w:firstLineChars="200"/>
        <w:jc w:val="left"/>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一、</w:t>
      </w:r>
      <w:r>
        <w:rPr>
          <w:rFonts w:hint="eastAsia" w:ascii="仿宋_GB2312" w:hAnsi="仿宋_GB2312" w:eastAsia="仿宋_GB2312" w:cs="仿宋_GB2312"/>
          <w:b w:val="0"/>
          <w:bCs w:val="0"/>
          <w:spacing w:val="0"/>
          <w:sz w:val="32"/>
          <w:szCs w:val="32"/>
          <w:lang w:eastAsia="zh-CN"/>
        </w:rPr>
        <w:t>同意</w:t>
      </w:r>
      <w:r>
        <w:rPr>
          <w:rFonts w:hint="eastAsia" w:ascii="仿宋_GB2312" w:hAnsi="仿宋_GB2312" w:eastAsia="仿宋_GB2312" w:cs="仿宋_GB2312"/>
          <w:b w:val="0"/>
          <w:bCs w:val="0"/>
          <w:spacing w:val="0"/>
          <w:sz w:val="32"/>
          <w:szCs w:val="32"/>
          <w:lang w:val="en-US" w:eastAsia="zh-CN"/>
        </w:rPr>
        <w:t>实施</w:t>
      </w:r>
      <w:r>
        <w:rPr>
          <w:rFonts w:hint="eastAsia" w:ascii="仿宋_GB2312" w:hAnsi="仿宋_GB2312" w:eastAsia="仿宋_GB2312" w:cs="仿宋_GB2312"/>
          <w:color w:val="auto"/>
          <w:sz w:val="32"/>
          <w:szCs w:val="32"/>
          <w:lang w:val="en-US" w:eastAsia="zh-CN"/>
        </w:rPr>
        <w:t>“平安东大”综治中心项目</w:t>
      </w:r>
      <w:r>
        <w:rPr>
          <w:rFonts w:hint="eastAsia" w:ascii="仿宋_GB2312" w:hAnsi="仿宋_GB2312" w:eastAsia="仿宋_GB2312" w:cs="仿宋_GB2312"/>
          <w:b w:val="0"/>
          <w:bCs w:val="0"/>
          <w:color w:val="auto"/>
          <w:sz w:val="32"/>
          <w:szCs w:val="32"/>
          <w:lang w:val="en-US" w:eastAsia="zh-CN"/>
        </w:rPr>
        <w:t>，原则同意北京五州工程咨询服务有限公司编制的项目可行性研究报告的基本内容</w:t>
      </w:r>
      <w:r>
        <w:rPr>
          <w:rFonts w:hint="eastAsia" w:ascii="仿宋_GB2312" w:hAnsi="仿宋_GB2312" w:eastAsia="仿宋_GB2312" w:cs="仿宋_GB2312"/>
          <w:b w:val="0"/>
          <w:bCs w:val="0"/>
          <w:spacing w:val="0"/>
          <w:sz w:val="32"/>
          <w:szCs w:val="32"/>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0" w:firstLineChars="200"/>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spacing w:val="0"/>
          <w:sz w:val="32"/>
          <w:szCs w:val="32"/>
          <w:lang w:val="en-US" w:eastAsia="zh-CN"/>
        </w:rPr>
        <w:t>二、</w:t>
      </w:r>
      <w:r>
        <w:rPr>
          <w:rFonts w:hint="eastAsia" w:ascii="仿宋_GB2312" w:hAnsi="仿宋_GB2312" w:eastAsia="仿宋_GB2312" w:cs="仿宋_GB2312"/>
          <w:b w:val="0"/>
          <w:bCs w:val="0"/>
          <w:spacing w:val="0"/>
          <w:sz w:val="32"/>
          <w:szCs w:val="32"/>
        </w:rPr>
        <w:t>项目建设地点位于</w:t>
      </w:r>
      <w:r>
        <w:rPr>
          <w:rFonts w:hint="eastAsia" w:ascii="仿宋_GB2312" w:hAnsi="仿宋_GB2312" w:eastAsia="仿宋_GB2312" w:cs="仿宋_GB2312"/>
          <w:b w:val="0"/>
          <w:bCs w:val="0"/>
          <w:color w:val="auto"/>
          <w:sz w:val="32"/>
          <w:szCs w:val="32"/>
          <w:lang w:val="en-US" w:eastAsia="zh-CN"/>
        </w:rPr>
        <w:t>魏都区东大街与安怀街交汇处</w:t>
      </w:r>
      <w:r>
        <w:rPr>
          <w:rFonts w:hint="eastAsia" w:ascii="仿宋_GB2312" w:hAnsi="仿宋_GB2312" w:eastAsia="仿宋_GB2312" w:cs="仿宋_GB2312"/>
          <w:b w:val="0"/>
          <w:bCs w:val="0"/>
          <w:spacing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0" w:firstLineChars="200"/>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三、</w:t>
      </w:r>
      <w:r>
        <w:rPr>
          <w:rFonts w:hint="eastAsia" w:ascii="仿宋_GB2312" w:hAnsi="仿宋_GB2312" w:eastAsia="仿宋_GB2312" w:cs="仿宋_GB2312"/>
          <w:b w:val="0"/>
          <w:bCs w:val="0"/>
          <w:spacing w:val="0"/>
          <w:sz w:val="32"/>
          <w:szCs w:val="32"/>
        </w:rPr>
        <w:t>项目建设内容及规模</w:t>
      </w:r>
    </w:p>
    <w:p>
      <w:pPr>
        <w:keepNext w:val="0"/>
        <w:keepLines w:val="0"/>
        <w:pageBreakBefore w:val="0"/>
        <w:kinsoku/>
        <w:wordWrap/>
        <w:overflowPunct/>
        <w:topLinePunct w:val="0"/>
        <w:autoSpaceDE/>
        <w:autoSpaceDN/>
        <w:bidi w:val="0"/>
        <w:adjustRightInd/>
        <w:spacing w:line="550" w:lineRule="exact"/>
        <w:ind w:firstLine="640" w:firstLineChars="200"/>
        <w:rPr>
          <w:rFonts w:hint="eastAsia" w:ascii="仿宋_GB2312" w:eastAsia="仿宋_GB2312"/>
          <w:sz w:val="32"/>
          <w:szCs w:val="32"/>
        </w:rPr>
      </w:pPr>
      <w:r>
        <w:rPr>
          <w:rFonts w:hint="eastAsia" w:ascii="仿宋_GB2312" w:eastAsia="仿宋_GB2312"/>
          <w:sz w:val="32"/>
        </w:rPr>
        <w:t>本项目改造内容主要包括拆除工程、土建工程、电气工程、给排水工程</w:t>
      </w:r>
      <w:r>
        <w:rPr>
          <w:rFonts w:hint="eastAsia" w:ascii="仿宋_GB2312" w:eastAsia="仿宋_GB2312"/>
          <w:sz w:val="32"/>
          <w:szCs w:val="32"/>
        </w:rPr>
        <w:t>。具体改造规模如下：</w:t>
      </w:r>
    </w:p>
    <w:p>
      <w:pPr>
        <w:keepNext w:val="0"/>
        <w:keepLines w:val="0"/>
        <w:pageBreakBefore w:val="0"/>
        <w:kinsoku/>
        <w:wordWrap/>
        <w:overflowPunct/>
        <w:topLinePunct w:val="0"/>
        <w:autoSpaceDE/>
        <w:autoSpaceDN/>
        <w:bidi w:val="0"/>
        <w:adjustRightInd/>
        <w:spacing w:line="550" w:lineRule="exact"/>
        <w:ind w:firstLine="640" w:firstLineChars="200"/>
        <w:rPr>
          <w:rFonts w:hint="eastAsia" w:ascii="仿宋_GB2312" w:eastAsia="仿宋_GB2312"/>
          <w:sz w:val="32"/>
        </w:rPr>
      </w:pPr>
      <w:r>
        <w:rPr>
          <w:rFonts w:hint="eastAsia" w:ascii="仿宋_GB2312" w:eastAsia="仿宋_GB2312"/>
          <w:sz w:val="32"/>
        </w:rPr>
        <w:t>拆除工程</w:t>
      </w:r>
      <w:r>
        <w:rPr>
          <w:rFonts w:hint="eastAsia" w:ascii="仿宋_GB2312" w:eastAsia="仿宋_GB2312"/>
          <w:sz w:val="32"/>
          <w:lang w:eastAsia="zh-CN"/>
        </w:rPr>
        <w:t>：</w:t>
      </w:r>
      <w:r>
        <w:rPr>
          <w:rFonts w:hint="eastAsia" w:ascii="仿宋_GB2312" w:eastAsia="仿宋_GB2312"/>
          <w:sz w:val="32"/>
        </w:rPr>
        <w:t>拟拆除院内</w:t>
      </w:r>
      <w:r>
        <w:rPr>
          <w:rFonts w:hint="eastAsia" w:ascii="仿宋_GB2312" w:eastAsia="仿宋_GB2312"/>
          <w:sz w:val="32"/>
          <w:lang w:val="en-US" w:eastAsia="zh-CN"/>
        </w:rPr>
        <w:t>门口地台25.5</w:t>
      </w:r>
      <w:r>
        <w:rPr>
          <w:rFonts w:hint="eastAsia" w:ascii="宋体" w:hAnsi="宋体" w:eastAsia="宋体" w:cs="宋体"/>
          <w:i w:val="0"/>
          <w:iCs w:val="0"/>
          <w:color w:val="000000"/>
          <w:kern w:val="0"/>
          <w:sz w:val="32"/>
          <w:szCs w:val="32"/>
          <w:u w:val="none"/>
          <w:lang w:val="en-US" w:eastAsia="zh-CN" w:bidi="ar"/>
        </w:rPr>
        <w:t>㎡</w:t>
      </w:r>
      <w:r>
        <w:rPr>
          <w:rFonts w:hint="eastAsia" w:ascii="仿宋_GB2312" w:eastAsia="仿宋_GB2312"/>
          <w:sz w:val="32"/>
        </w:rPr>
        <w:t>；拆除楼体顶面</w:t>
      </w:r>
      <w:r>
        <w:rPr>
          <w:rFonts w:hint="eastAsia" w:ascii="仿宋_GB2312" w:eastAsia="仿宋_GB2312"/>
          <w:sz w:val="32"/>
          <w:lang w:val="en-US" w:eastAsia="zh-CN"/>
        </w:rPr>
        <w:t>304</w:t>
      </w:r>
      <w:r>
        <w:rPr>
          <w:rFonts w:hint="eastAsia" w:ascii="宋体" w:hAnsi="宋体" w:eastAsia="宋体" w:cs="宋体"/>
          <w:i w:val="0"/>
          <w:iCs w:val="0"/>
          <w:color w:val="000000"/>
          <w:kern w:val="0"/>
          <w:sz w:val="32"/>
          <w:szCs w:val="32"/>
          <w:u w:val="none"/>
          <w:lang w:val="en-US" w:eastAsia="zh-CN" w:bidi="ar"/>
        </w:rPr>
        <w:t>㎡</w:t>
      </w:r>
      <w:r>
        <w:rPr>
          <w:rFonts w:hint="eastAsia" w:ascii="仿宋_GB2312" w:eastAsia="仿宋_GB2312"/>
          <w:sz w:val="32"/>
        </w:rPr>
        <w:t>、</w:t>
      </w:r>
      <w:r>
        <w:rPr>
          <w:rFonts w:hint="eastAsia" w:ascii="仿宋_GB2312" w:eastAsia="仿宋_GB2312"/>
          <w:sz w:val="32"/>
          <w:szCs w:val="32"/>
          <w:lang w:val="en-US" w:eastAsia="zh-CN"/>
        </w:rPr>
        <w:t>墙面</w:t>
      </w:r>
      <w:r>
        <w:rPr>
          <w:rFonts w:hint="eastAsia" w:ascii="宋体" w:hAnsi="宋体" w:eastAsia="宋体" w:cs="宋体"/>
          <w:i w:val="0"/>
          <w:iCs w:val="0"/>
          <w:color w:val="000000"/>
          <w:kern w:val="0"/>
          <w:sz w:val="32"/>
          <w:szCs w:val="32"/>
          <w:u w:val="none"/>
          <w:lang w:val="en-US" w:eastAsia="zh-CN" w:bidi="ar"/>
        </w:rPr>
        <w:t>1099.2㎡</w:t>
      </w:r>
      <w:r>
        <w:rPr>
          <w:rFonts w:hint="eastAsia" w:ascii="仿宋_GB2312" w:eastAsia="仿宋_GB2312"/>
          <w:sz w:val="32"/>
        </w:rPr>
        <w:t>、地面</w:t>
      </w:r>
      <w:r>
        <w:rPr>
          <w:rFonts w:hint="eastAsia" w:ascii="仿宋_GB2312" w:eastAsia="仿宋_GB2312"/>
          <w:sz w:val="32"/>
          <w:lang w:val="en-US" w:eastAsia="zh-CN"/>
        </w:rPr>
        <w:t>360</w:t>
      </w:r>
      <w:r>
        <w:rPr>
          <w:rFonts w:hint="eastAsia" w:ascii="仿宋_GB2312" w:eastAsia="仿宋_GB2312"/>
          <w:sz w:val="32"/>
        </w:rPr>
        <w:t>㎡，</w:t>
      </w:r>
      <w:r>
        <w:rPr>
          <w:rFonts w:hint="eastAsia" w:ascii="仿宋_GB2312" w:eastAsia="仿宋_GB2312"/>
          <w:sz w:val="32"/>
          <w:lang w:val="en-US" w:eastAsia="zh-CN"/>
        </w:rPr>
        <w:t>进户玻璃门6</w:t>
      </w:r>
      <w:r>
        <w:rPr>
          <w:rFonts w:hint="eastAsia" w:ascii="仿宋_GB2312" w:eastAsia="仿宋_GB2312"/>
          <w:sz w:val="32"/>
          <w:lang w:eastAsia="zh-CN"/>
        </w:rPr>
        <w:t>项、并拆除</w:t>
      </w:r>
      <w:r>
        <w:rPr>
          <w:rFonts w:hint="eastAsia" w:ascii="仿宋_GB2312" w:eastAsia="仿宋_GB2312"/>
          <w:sz w:val="32"/>
          <w:lang w:val="en-US" w:eastAsia="zh-CN"/>
        </w:rPr>
        <w:t>原门头、接待前台、二楼吧台等</w:t>
      </w:r>
      <w:r>
        <w:rPr>
          <w:rFonts w:hint="eastAsia" w:ascii="仿宋_GB2312" w:eastAsia="仿宋_GB2312"/>
          <w:sz w:val="32"/>
        </w:rPr>
        <w:t>。</w:t>
      </w:r>
    </w:p>
    <w:p>
      <w:pPr>
        <w:keepNext w:val="0"/>
        <w:keepLines w:val="0"/>
        <w:pageBreakBefore w:val="0"/>
        <w:kinsoku/>
        <w:wordWrap/>
        <w:overflowPunct/>
        <w:topLinePunct w:val="0"/>
        <w:autoSpaceDE/>
        <w:autoSpaceDN/>
        <w:bidi w:val="0"/>
        <w:adjustRightInd/>
        <w:spacing w:line="550" w:lineRule="exact"/>
        <w:ind w:firstLine="640" w:firstLineChars="200"/>
        <w:rPr>
          <w:rFonts w:hint="eastAsia" w:ascii="仿宋_GB2312" w:eastAsia="仿宋_GB2312"/>
          <w:sz w:val="32"/>
        </w:rPr>
      </w:pPr>
      <w:r>
        <w:rPr>
          <w:rFonts w:hint="eastAsia" w:ascii="仿宋_GB2312" w:eastAsia="仿宋_GB2312"/>
          <w:sz w:val="32"/>
        </w:rPr>
        <w:t>土建工程</w:t>
      </w:r>
      <w:r>
        <w:rPr>
          <w:rFonts w:hint="eastAsia" w:ascii="仿宋_GB2312" w:eastAsia="仿宋_GB2312"/>
          <w:sz w:val="32"/>
          <w:lang w:eastAsia="zh-CN"/>
        </w:rPr>
        <w:t>：</w:t>
      </w:r>
      <w:r>
        <w:rPr>
          <w:rFonts w:hint="eastAsia" w:ascii="仿宋_GB2312" w:eastAsia="仿宋_GB2312"/>
          <w:sz w:val="32"/>
        </w:rPr>
        <w:t>土建工程</w:t>
      </w:r>
      <w:bookmarkStart w:id="0" w:name="OLE_LINK16"/>
      <w:r>
        <w:rPr>
          <w:rFonts w:hint="eastAsia" w:ascii="仿宋_GB2312" w:eastAsia="仿宋_GB2312"/>
          <w:sz w:val="32"/>
        </w:rPr>
        <w:t>包括</w:t>
      </w:r>
      <w:r>
        <w:rPr>
          <w:rFonts w:hint="eastAsia" w:ascii="仿宋_GB2312" w:eastAsia="仿宋_GB2312"/>
          <w:sz w:val="32"/>
          <w:lang w:eastAsia="zh-CN"/>
        </w:rPr>
        <w:t>铺设</w:t>
      </w:r>
      <w:r>
        <w:rPr>
          <w:rFonts w:hint="eastAsia" w:ascii="仿宋_GB2312" w:eastAsia="仿宋_GB2312"/>
          <w:sz w:val="32"/>
        </w:rPr>
        <w:t>门口地台水墨石</w:t>
      </w:r>
      <w:r>
        <w:rPr>
          <w:rFonts w:hint="eastAsia" w:ascii="仿宋_GB2312" w:eastAsia="仿宋_GB2312"/>
          <w:sz w:val="32"/>
          <w:lang w:val="en-US" w:eastAsia="zh-CN"/>
        </w:rPr>
        <w:t>25.5</w:t>
      </w:r>
      <w:r>
        <w:rPr>
          <w:rFonts w:hint="eastAsia" w:ascii="宋体" w:hAnsi="宋体" w:eastAsia="宋体" w:cs="宋体"/>
          <w:i w:val="0"/>
          <w:iCs w:val="0"/>
          <w:color w:val="000000"/>
          <w:kern w:val="0"/>
          <w:sz w:val="32"/>
          <w:szCs w:val="32"/>
          <w:u w:val="none"/>
          <w:lang w:val="en-US" w:eastAsia="zh-CN" w:bidi="ar"/>
        </w:rPr>
        <w:t>㎡</w:t>
      </w:r>
      <w:r>
        <w:rPr>
          <w:rFonts w:hint="eastAsia" w:ascii="仿宋_GB2312" w:eastAsia="仿宋_GB2312"/>
          <w:sz w:val="32"/>
        </w:rPr>
        <w:t>，</w:t>
      </w:r>
      <w:r>
        <w:rPr>
          <w:rFonts w:hint="eastAsia" w:ascii="仿宋_GB2312" w:eastAsia="仿宋_GB2312"/>
          <w:sz w:val="32"/>
          <w:lang w:eastAsia="zh-CN"/>
        </w:rPr>
        <w:t>楼顶面装饰</w:t>
      </w:r>
      <w:r>
        <w:rPr>
          <w:rFonts w:hint="eastAsia" w:ascii="仿宋_GB2312" w:eastAsia="仿宋_GB2312"/>
          <w:sz w:val="32"/>
          <w:lang w:val="en-US" w:eastAsia="zh-CN"/>
        </w:rPr>
        <w:t>286.8</w:t>
      </w:r>
      <w:r>
        <w:rPr>
          <w:rFonts w:hint="eastAsia" w:ascii="仿宋_GB2312" w:eastAsia="仿宋_GB2312"/>
          <w:sz w:val="32"/>
        </w:rPr>
        <w:t>㎡</w:t>
      </w:r>
      <w:r>
        <w:rPr>
          <w:rFonts w:hint="eastAsia" w:ascii="仿宋_GB2312" w:eastAsia="仿宋_GB2312"/>
          <w:sz w:val="32"/>
          <w:lang w:eastAsia="zh-CN"/>
        </w:rPr>
        <w:t>，</w:t>
      </w:r>
      <w:r>
        <w:rPr>
          <w:rFonts w:hint="eastAsia" w:ascii="仿宋_GB2312" w:eastAsia="仿宋_GB2312"/>
          <w:sz w:val="32"/>
        </w:rPr>
        <w:t>楼地面装饰</w:t>
      </w:r>
      <w:r>
        <w:rPr>
          <w:rFonts w:hint="eastAsia" w:ascii="仿宋_GB2312" w:eastAsia="仿宋_GB2312"/>
          <w:sz w:val="32"/>
          <w:lang w:val="en-US" w:eastAsia="zh-CN"/>
        </w:rPr>
        <w:t>304</w:t>
      </w:r>
      <w:r>
        <w:rPr>
          <w:rFonts w:hint="eastAsia" w:ascii="仿宋_GB2312" w:eastAsia="仿宋_GB2312"/>
          <w:sz w:val="32"/>
        </w:rPr>
        <w:t>㎡，墙面装饰</w:t>
      </w:r>
      <w:r>
        <w:rPr>
          <w:rFonts w:hint="eastAsia" w:ascii="仿宋_GB2312" w:eastAsia="仿宋_GB2312"/>
          <w:sz w:val="32"/>
          <w:lang w:val="en-US" w:eastAsia="zh-CN"/>
        </w:rPr>
        <w:t>1203.10</w:t>
      </w:r>
      <w:r>
        <w:rPr>
          <w:rFonts w:hint="eastAsia" w:ascii="仿宋_GB2312" w:eastAsia="仿宋_GB2312"/>
          <w:sz w:val="32"/>
        </w:rPr>
        <w:t>㎡，</w:t>
      </w:r>
      <w:r>
        <w:rPr>
          <w:rFonts w:hint="eastAsia" w:ascii="仿宋_GB2312" w:eastAsia="仿宋_GB2312"/>
          <w:sz w:val="32"/>
          <w:lang w:eastAsia="zh-CN"/>
        </w:rPr>
        <w:t>安装</w:t>
      </w:r>
      <w:r>
        <w:rPr>
          <w:rFonts w:hint="eastAsia" w:ascii="仿宋_GB2312" w:eastAsia="仿宋_GB2312"/>
          <w:sz w:val="32"/>
        </w:rPr>
        <w:t>成品隔断</w:t>
      </w:r>
      <w:r>
        <w:rPr>
          <w:rFonts w:hint="eastAsia" w:ascii="仿宋_GB2312" w:eastAsia="仿宋_GB2312"/>
          <w:sz w:val="32"/>
          <w:lang w:val="en-US" w:eastAsia="zh-CN"/>
        </w:rPr>
        <w:t>183.1</w:t>
      </w:r>
      <w:r>
        <w:rPr>
          <w:rFonts w:hint="eastAsia" w:ascii="仿宋_GB2312" w:eastAsia="仿宋_GB2312"/>
          <w:sz w:val="32"/>
        </w:rPr>
        <w:t>㎡</w:t>
      </w:r>
      <w:r>
        <w:rPr>
          <w:rFonts w:hint="eastAsia" w:ascii="仿宋_GB2312" w:eastAsia="仿宋_GB2312"/>
          <w:sz w:val="32"/>
          <w:lang w:eastAsia="zh-CN"/>
        </w:rPr>
        <w:t>、</w:t>
      </w:r>
      <w:r>
        <w:rPr>
          <w:rFonts w:hint="eastAsia" w:ascii="仿宋_GB2312" w:eastAsia="仿宋_GB2312"/>
          <w:sz w:val="32"/>
        </w:rPr>
        <w:t>室内门</w:t>
      </w:r>
      <w:r>
        <w:rPr>
          <w:rFonts w:hint="eastAsia" w:ascii="仿宋_GB2312" w:eastAsia="仿宋_GB2312"/>
          <w:sz w:val="32"/>
          <w:lang w:val="en-US" w:eastAsia="zh-CN"/>
        </w:rPr>
        <w:t>12樘、进户玻璃门79.5</w:t>
      </w:r>
      <w:r>
        <w:rPr>
          <w:rFonts w:hint="eastAsia" w:ascii="仿宋_GB2312" w:eastAsia="仿宋_GB2312"/>
          <w:sz w:val="32"/>
        </w:rPr>
        <w:t>㎡</w:t>
      </w:r>
      <w:r>
        <w:rPr>
          <w:rFonts w:hint="eastAsia" w:ascii="仿宋_GB2312" w:eastAsia="仿宋_GB2312"/>
          <w:sz w:val="32"/>
          <w:lang w:eastAsia="zh-CN"/>
        </w:rPr>
        <w:t>、进户透明卷拉门</w:t>
      </w:r>
      <w:r>
        <w:rPr>
          <w:rFonts w:hint="eastAsia" w:ascii="仿宋_GB2312" w:eastAsia="仿宋_GB2312"/>
          <w:sz w:val="32"/>
          <w:lang w:val="en-US" w:eastAsia="zh-CN"/>
        </w:rPr>
        <w:t>5套、玻璃雨棚25.5</w:t>
      </w:r>
      <w:r>
        <w:rPr>
          <w:rFonts w:hint="eastAsia" w:ascii="仿宋_GB2312" w:eastAsia="仿宋_GB2312"/>
          <w:sz w:val="32"/>
        </w:rPr>
        <w:t>㎡，</w:t>
      </w:r>
      <w:r>
        <w:rPr>
          <w:rFonts w:hint="eastAsia" w:ascii="仿宋_GB2312" w:eastAsia="仿宋_GB2312"/>
          <w:sz w:val="32"/>
          <w:lang w:eastAsia="zh-CN"/>
        </w:rPr>
        <w:t>并安装电动门和</w:t>
      </w:r>
      <w:r>
        <w:rPr>
          <w:rFonts w:hint="eastAsia" w:ascii="仿宋_GB2312" w:eastAsia="仿宋_GB2312"/>
          <w:sz w:val="32"/>
        </w:rPr>
        <w:t>。</w:t>
      </w:r>
      <w:bookmarkEnd w:id="0"/>
    </w:p>
    <w:p>
      <w:pPr>
        <w:keepNext w:val="0"/>
        <w:keepLines w:val="0"/>
        <w:pageBreakBefore w:val="0"/>
        <w:kinsoku/>
        <w:wordWrap/>
        <w:overflowPunct/>
        <w:topLinePunct w:val="0"/>
        <w:autoSpaceDE/>
        <w:autoSpaceDN/>
        <w:bidi w:val="0"/>
        <w:adjustRightInd/>
        <w:spacing w:line="550" w:lineRule="exact"/>
        <w:ind w:firstLine="640" w:firstLineChars="200"/>
        <w:rPr>
          <w:rFonts w:hint="default" w:ascii="仿宋_GB2312" w:hAnsi="仿宋_GB2312" w:eastAsia="仿宋_GB2312" w:cs="仿宋_GB2312"/>
          <w:b w:val="0"/>
          <w:bCs w:val="0"/>
          <w:spacing w:val="0"/>
          <w:sz w:val="32"/>
          <w:szCs w:val="32"/>
          <w:lang w:val="en-US" w:eastAsia="zh-CN"/>
        </w:rPr>
      </w:pPr>
      <w:r>
        <w:rPr>
          <w:rFonts w:ascii="仿宋_GB2312" w:eastAsia="仿宋_GB2312"/>
          <w:sz w:val="32"/>
        </w:rPr>
        <w:t>电气工程</w:t>
      </w:r>
      <w:r>
        <w:rPr>
          <w:rFonts w:hint="eastAsia" w:ascii="仿宋_GB2312" w:eastAsia="仿宋_GB2312"/>
          <w:sz w:val="32"/>
          <w:lang w:eastAsia="zh-CN"/>
        </w:rPr>
        <w:t>：</w:t>
      </w:r>
      <w:r>
        <w:rPr>
          <w:rFonts w:hint="eastAsia" w:ascii="仿宋_GB2312" w:eastAsia="仿宋_GB2312"/>
          <w:sz w:val="32"/>
        </w:rPr>
        <w:t>主要为安装配电箱</w:t>
      </w:r>
      <w:r>
        <w:rPr>
          <w:rFonts w:hint="eastAsia" w:ascii="仿宋_GB2312" w:eastAsia="仿宋_GB2312"/>
          <w:sz w:val="32"/>
          <w:lang w:val="en-US" w:eastAsia="zh-CN"/>
        </w:rPr>
        <w:t>6</w:t>
      </w:r>
      <w:r>
        <w:rPr>
          <w:rFonts w:hint="eastAsia" w:ascii="仿宋_GB2312" w:eastAsia="仿宋_GB2312"/>
          <w:sz w:val="32"/>
        </w:rPr>
        <w:t>台，</w:t>
      </w:r>
      <w:r>
        <w:rPr>
          <w:rFonts w:hint="eastAsia" w:ascii="仿宋_GB2312" w:eastAsia="仿宋_GB2312"/>
          <w:sz w:val="32"/>
          <w:lang w:eastAsia="zh-CN"/>
        </w:rPr>
        <w:t>改造水电</w:t>
      </w:r>
      <w:r>
        <w:rPr>
          <w:rFonts w:hint="eastAsia" w:ascii="仿宋_GB2312" w:eastAsia="仿宋_GB2312"/>
          <w:sz w:val="32"/>
          <w:lang w:val="en-US" w:eastAsia="zh-CN"/>
        </w:rPr>
        <w:t>304</w:t>
      </w:r>
      <w:r>
        <w:rPr>
          <w:rFonts w:hint="eastAsia" w:ascii="仿宋_GB2312" w:eastAsia="仿宋_GB2312"/>
          <w:sz w:val="32"/>
        </w:rPr>
        <w:t>㎡</w:t>
      </w:r>
      <w:r>
        <w:rPr>
          <w:rFonts w:hint="eastAsia" w:ascii="仿宋_GB2312" w:eastAsia="仿宋_GB2312"/>
          <w:sz w:val="32"/>
          <w:lang w:eastAsia="zh-CN"/>
        </w:rPr>
        <w:t>、二楼电路</w:t>
      </w:r>
      <w:r>
        <w:rPr>
          <w:rFonts w:hint="eastAsia" w:ascii="仿宋_GB2312" w:eastAsia="仿宋_GB2312"/>
          <w:sz w:val="32"/>
          <w:lang w:val="en-US" w:eastAsia="zh-CN"/>
        </w:rPr>
        <w:t>50.4</w:t>
      </w:r>
      <w:r>
        <w:rPr>
          <w:rFonts w:hint="eastAsia" w:ascii="仿宋_GB2312" w:eastAsia="仿宋_GB2312"/>
          <w:sz w:val="32"/>
        </w:rPr>
        <w:t>㎡，安装灯具</w:t>
      </w:r>
      <w:r>
        <w:rPr>
          <w:rFonts w:hint="eastAsia" w:ascii="仿宋_GB2312" w:eastAsia="仿宋_GB2312"/>
          <w:sz w:val="32"/>
          <w:lang w:val="en-US" w:eastAsia="zh-CN"/>
        </w:rPr>
        <w:t>99</w:t>
      </w:r>
      <w:r>
        <w:rPr>
          <w:rFonts w:hint="eastAsia" w:ascii="仿宋_GB2312" w:eastAsia="仿宋_GB2312"/>
          <w:sz w:val="32"/>
        </w:rPr>
        <w:t>套</w:t>
      </w:r>
      <w:r>
        <w:rPr>
          <w:rFonts w:hint="eastAsia" w:ascii="仿宋_GB2312" w:eastAsia="仿宋_GB2312"/>
          <w:sz w:val="32"/>
          <w:lang w:eastAsia="zh-CN"/>
        </w:rPr>
        <w:t>、开关</w:t>
      </w:r>
      <w:r>
        <w:rPr>
          <w:rFonts w:hint="eastAsia" w:ascii="仿宋_GB2312" w:eastAsia="仿宋_GB2312"/>
          <w:sz w:val="32"/>
          <w:lang w:val="en-US" w:eastAsia="zh-CN"/>
        </w:rPr>
        <w:t>19个、插座108个</w:t>
      </w:r>
      <w:r>
        <w:rPr>
          <w:rFonts w:hint="eastAsia" w:ascii="仿宋_GB2312" w:eastAsia="仿宋_GB2312"/>
          <w:sz w:val="32"/>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0" w:firstLineChars="200"/>
        <w:jc w:val="both"/>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b w:val="0"/>
          <w:bCs w:val="0"/>
          <w:spacing w:val="0"/>
          <w:sz w:val="32"/>
          <w:szCs w:val="32"/>
          <w:lang w:val="en-US" w:eastAsia="zh-CN"/>
        </w:rPr>
        <w:t>四、</w:t>
      </w:r>
      <w:r>
        <w:rPr>
          <w:rFonts w:hint="eastAsia" w:ascii="仿宋_GB2312" w:hAnsi="仿宋_GB2312" w:eastAsia="仿宋_GB2312" w:cs="仿宋_GB2312"/>
          <w:b w:val="0"/>
          <w:bCs w:val="0"/>
          <w:spacing w:val="0"/>
          <w:sz w:val="32"/>
          <w:szCs w:val="32"/>
        </w:rPr>
        <w:t>项目</w:t>
      </w:r>
      <w:r>
        <w:rPr>
          <w:rFonts w:hint="eastAsia" w:ascii="仿宋_GB2312" w:hAnsi="仿宋_GB2312" w:eastAsia="仿宋_GB2312" w:cs="仿宋_GB2312"/>
          <w:b w:val="0"/>
          <w:bCs w:val="0"/>
          <w:sz w:val="32"/>
          <w:szCs w:val="32"/>
          <w:lang w:val="en-US" w:eastAsia="zh-CN"/>
        </w:rPr>
        <w:t>计划总投资</w:t>
      </w:r>
      <w:r>
        <w:rPr>
          <w:rFonts w:hint="eastAsia" w:ascii="仿宋_GB2312" w:hAnsi="仿宋_GB2312" w:eastAsia="仿宋_GB2312" w:cs="仿宋_GB2312"/>
          <w:color w:val="000000"/>
          <w:sz w:val="32"/>
          <w:szCs w:val="32"/>
        </w:rPr>
        <w:t>为</w:t>
      </w:r>
      <w:r>
        <w:rPr>
          <w:rFonts w:hint="eastAsia" w:ascii="仿宋_GB2312" w:hAnsi="仿宋_GB2312" w:eastAsia="仿宋_GB2312" w:cs="仿宋_GB2312"/>
          <w:color w:val="000000"/>
          <w:sz w:val="32"/>
          <w:szCs w:val="32"/>
          <w:lang w:val="en-US" w:eastAsia="zh-CN"/>
        </w:rPr>
        <w:t>64.59万元。项目建设所需资金为区财政资金和申请上级资金。</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0" w:firstLineChars="200"/>
        <w:jc w:val="both"/>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lang w:val="en-US" w:eastAsia="zh-CN"/>
        </w:rPr>
        <w:t>五、</w:t>
      </w:r>
      <w:r>
        <w:rPr>
          <w:rFonts w:hint="eastAsia" w:ascii="仿宋_GB2312" w:hAnsi="仿宋_GB2312" w:eastAsia="仿宋_GB2312" w:cs="仿宋_GB2312"/>
          <w:b w:val="0"/>
          <w:bCs w:val="0"/>
          <w:spacing w:val="0"/>
          <w:sz w:val="32"/>
          <w:szCs w:val="32"/>
        </w:rPr>
        <w:t>请项目单位严格遵守环保、节能、消防、安全、卫生、以工代赈等有关规定，组织好工程实施。</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rPr>
        <w:t>六、</w:t>
      </w:r>
      <w:r>
        <w:rPr>
          <w:rFonts w:hint="eastAsia" w:ascii="仿宋_GB2312" w:hAnsi="仿宋_GB2312" w:eastAsia="仿宋_GB2312" w:cs="仿宋_GB2312"/>
          <w:b w:val="0"/>
          <w:bCs w:val="0"/>
          <w:spacing w:val="0"/>
          <w:sz w:val="32"/>
          <w:szCs w:val="32"/>
          <w:lang w:val="en-US" w:eastAsia="zh-CN"/>
        </w:rPr>
        <w:t>同意</w:t>
      </w:r>
      <w:r>
        <w:rPr>
          <w:rFonts w:hint="eastAsia" w:ascii="仿宋_GB2312" w:hAnsi="仿宋_GB2312" w:eastAsia="仿宋_GB2312" w:cs="仿宋_GB2312"/>
          <w:b w:val="0"/>
          <w:bCs w:val="0"/>
          <w:snapToGrid w:val="0"/>
          <w:spacing w:val="0"/>
          <w:sz w:val="32"/>
          <w:szCs w:val="32"/>
          <w:lang w:val="en-US" w:eastAsia="zh-CN"/>
        </w:rPr>
        <w:t>许昌市魏都区东大街道办事处按照招投标文件规定</w:t>
      </w:r>
      <w:r>
        <w:rPr>
          <w:rFonts w:hint="eastAsia" w:ascii="仿宋_GB2312" w:hAnsi="仿宋_GB2312" w:eastAsia="仿宋_GB2312" w:cs="仿宋_GB2312"/>
          <w:b w:val="0"/>
          <w:bCs w:val="0"/>
          <w:spacing w:val="0"/>
          <w:sz w:val="32"/>
          <w:szCs w:val="32"/>
        </w:rPr>
        <w:t>在勘察、设计、施工、监理</w:t>
      </w:r>
      <w:r>
        <w:rPr>
          <w:rFonts w:hint="eastAsia" w:ascii="仿宋_GB2312" w:hAnsi="仿宋_GB2312" w:eastAsia="仿宋_GB2312" w:cs="仿宋_GB2312"/>
          <w:b w:val="0"/>
          <w:bCs w:val="0"/>
          <w:spacing w:val="0"/>
          <w:sz w:val="32"/>
          <w:szCs w:val="32"/>
          <w:lang w:eastAsia="zh-CN"/>
        </w:rPr>
        <w:t>、</w:t>
      </w:r>
      <w:r>
        <w:rPr>
          <w:rFonts w:hint="eastAsia" w:ascii="仿宋_GB2312" w:hAnsi="仿宋_GB2312" w:eastAsia="仿宋_GB2312" w:cs="仿宋_GB2312"/>
          <w:b w:val="0"/>
          <w:bCs w:val="0"/>
          <w:spacing w:val="0"/>
          <w:sz w:val="32"/>
          <w:szCs w:val="32"/>
          <w:lang w:val="en-US" w:eastAsia="zh-CN"/>
        </w:rPr>
        <w:t>重要材料及设备采购</w:t>
      </w:r>
      <w:r>
        <w:rPr>
          <w:rFonts w:hint="eastAsia" w:ascii="仿宋_GB2312" w:hAnsi="仿宋_GB2312" w:eastAsia="仿宋_GB2312" w:cs="仿宋_GB2312"/>
          <w:b w:val="0"/>
          <w:bCs w:val="0"/>
          <w:spacing w:val="0"/>
          <w:sz w:val="32"/>
          <w:szCs w:val="32"/>
        </w:rPr>
        <w:t>等环节委托有资质的招标代理机构</w:t>
      </w:r>
      <w:r>
        <w:rPr>
          <w:rFonts w:hint="eastAsia" w:ascii="仿宋_GB2312" w:hAnsi="仿宋_GB2312" w:eastAsia="仿宋_GB2312" w:cs="仿宋_GB2312"/>
          <w:b w:val="0"/>
          <w:bCs w:val="0"/>
          <w:spacing w:val="0"/>
          <w:sz w:val="32"/>
          <w:szCs w:val="32"/>
          <w:lang w:val="en-US" w:eastAsia="zh-CN"/>
        </w:rPr>
        <w:t>组织</w:t>
      </w:r>
      <w:r>
        <w:rPr>
          <w:rFonts w:hint="eastAsia" w:ascii="仿宋_GB2312" w:hAnsi="仿宋_GB2312" w:eastAsia="仿宋_GB2312" w:cs="仿宋_GB2312"/>
          <w:b w:val="0"/>
          <w:bCs w:val="0"/>
          <w:spacing w:val="0"/>
          <w:sz w:val="32"/>
          <w:szCs w:val="32"/>
        </w:rPr>
        <w:t>招标，</w:t>
      </w:r>
      <w:r>
        <w:rPr>
          <w:rFonts w:hint="eastAsia" w:ascii="仿宋_GB2312" w:hAnsi="仿宋_GB2312" w:eastAsia="仿宋_GB2312" w:cs="仿宋_GB2312"/>
          <w:b w:val="0"/>
          <w:bCs w:val="0"/>
          <w:spacing w:val="0"/>
          <w:sz w:val="32"/>
          <w:szCs w:val="32"/>
          <w:lang w:val="en-US" w:eastAsia="zh-CN"/>
        </w:rPr>
        <w:t>并依法</w:t>
      </w:r>
      <w:r>
        <w:rPr>
          <w:rFonts w:hint="eastAsia" w:ascii="仿宋_GB2312" w:hAnsi="仿宋_GB2312" w:eastAsia="仿宋_GB2312" w:cs="仿宋_GB2312"/>
          <w:b w:val="0"/>
          <w:bCs w:val="0"/>
          <w:spacing w:val="0"/>
          <w:sz w:val="32"/>
          <w:szCs w:val="32"/>
        </w:rPr>
        <w:t>发布</w:t>
      </w:r>
      <w:r>
        <w:rPr>
          <w:rFonts w:hint="eastAsia" w:ascii="仿宋_GB2312" w:hAnsi="仿宋_GB2312" w:eastAsia="仿宋_GB2312" w:cs="仿宋_GB2312"/>
          <w:b w:val="0"/>
          <w:bCs w:val="0"/>
          <w:spacing w:val="0"/>
          <w:sz w:val="32"/>
          <w:szCs w:val="32"/>
          <w:lang w:val="en-US" w:eastAsia="zh-CN"/>
        </w:rPr>
        <w:t>同时</w:t>
      </w:r>
      <w:r>
        <w:rPr>
          <w:rFonts w:hint="eastAsia" w:ascii="仿宋_GB2312" w:hAnsi="仿宋_GB2312" w:eastAsia="仿宋_GB2312" w:cs="仿宋_GB2312"/>
          <w:b w:val="0"/>
          <w:bCs w:val="0"/>
          <w:spacing w:val="0"/>
          <w:sz w:val="32"/>
          <w:szCs w:val="32"/>
        </w:rPr>
        <w:t>向有关行政监督部门做好招标文件备案和招标情况报告工作。</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rPr>
      </w:pPr>
      <w:r>
        <w:rPr>
          <w:rFonts w:hint="eastAsia" w:ascii="仿宋_GB2312" w:hAnsi="仿宋_GB2312" w:eastAsia="仿宋_GB2312" w:cs="仿宋_GB2312"/>
          <w:b w:val="0"/>
          <w:bCs w:val="0"/>
          <w:spacing w:val="0"/>
          <w:sz w:val="32"/>
          <w:szCs w:val="32"/>
        </w:rPr>
        <w:t>七、根据《政府投资条例》第十三条，对建设内容单一、投资规模较小、技术方案简单的项目简化审批程序，将项目可行性研究报告和初步设计及概算合并办理，不再单独批复项目初步设计。</w:t>
      </w: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0" w:rightChars="0" w:firstLine="641"/>
        <w:jc w:val="both"/>
        <w:textAlignment w:val="bottom"/>
        <w:outlineLvl w:val="9"/>
        <w:rPr>
          <w:rFonts w:hint="eastAsia" w:ascii="仿宋_GB2312" w:hAnsi="仿宋_GB2312" w:eastAsia="仿宋_GB2312" w:cs="仿宋_GB2312"/>
          <w:b w:val="0"/>
          <w:bCs w:val="0"/>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50" w:lineRule="exact"/>
        <w:ind w:left="0" w:leftChars="0" w:right="840" w:rightChars="400" w:firstLine="641" w:firstLineChars="0"/>
        <w:jc w:val="right"/>
        <w:textAlignment w:val="bottom"/>
        <w:outlineLvl w:val="9"/>
        <w:rPr>
          <w:rFonts w:hint="eastAsia" w:ascii="仿宋_GB2312" w:hAnsi="仿宋_GB2312" w:eastAsia="仿宋_GB2312" w:cs="仿宋_GB2312"/>
          <w:b w:val="0"/>
          <w:bCs w:val="0"/>
          <w:spacing w:val="0"/>
          <w:sz w:val="32"/>
          <w:szCs w:val="32"/>
          <w:lang w:val="en-US" w:eastAsia="zh-CN"/>
        </w:rPr>
      </w:pPr>
      <w:r>
        <w:rPr>
          <w:rFonts w:hint="eastAsia" w:ascii="仿宋_GB2312" w:hAnsi="仿宋_GB2312" w:eastAsia="仿宋_GB2312" w:cs="仿宋_GB2312"/>
          <w:b w:val="0"/>
          <w:bCs w:val="0"/>
          <w:spacing w:val="0"/>
          <w:sz w:val="32"/>
          <w:szCs w:val="32"/>
          <w:lang w:val="en-US" w:eastAsia="zh-CN"/>
        </w:rPr>
        <w:t>2024年4月9</w:t>
      </w:r>
      <w:bookmarkStart w:id="1" w:name="_GoBack"/>
      <w:bookmarkEnd w:id="1"/>
      <w:r>
        <w:rPr>
          <w:rFonts w:hint="eastAsia" w:ascii="仿宋_GB2312" w:hAnsi="仿宋_GB2312" w:eastAsia="仿宋_GB2312" w:cs="仿宋_GB2312"/>
          <w:b w:val="0"/>
          <w:bCs w:val="0"/>
          <w:spacing w:val="0"/>
          <w:sz w:val="32"/>
          <w:szCs w:val="32"/>
          <w:lang w:val="en-US" w:eastAsia="zh-CN"/>
        </w:rPr>
        <w:t>日</w:t>
      </w:r>
    </w:p>
    <w:sectPr>
      <w:footerReference r:id="rId5" w:type="default"/>
      <w:pgSz w:w="11906" w:h="16838"/>
      <w:pgMar w:top="1701" w:right="1474" w:bottom="1701" w:left="1474" w:header="851" w:footer="992" w:gutter="0"/>
      <w:pgNumType w:fmt="decimal"/>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sz w:val="24"/>
                              <w:szCs w:val="36"/>
                              <w:lang w:val="en-US" w:eastAsia="zh-CN"/>
                            </w:rPr>
                            <w:t xml:space="preserve">－ </w:t>
                          </w:r>
                          <w:r>
                            <w:rPr>
                              <w:rFonts w:hint="eastAsia" w:asciiTheme="minorEastAsia" w:hAnsiTheme="minorEastAsia" w:eastAsiaTheme="minorEastAsia" w:cstheme="minorEastAsia"/>
                              <w:sz w:val="32"/>
                              <w:szCs w:val="44"/>
                              <w:lang w:eastAsia="zh-CN"/>
                            </w:rPr>
                            <w:fldChar w:fldCharType="begin"/>
                          </w:r>
                          <w:r>
                            <w:rPr>
                              <w:rFonts w:hint="eastAsia" w:asciiTheme="minorEastAsia" w:hAnsiTheme="minorEastAsia" w:eastAsiaTheme="minorEastAsia" w:cstheme="minorEastAsia"/>
                              <w:sz w:val="32"/>
                              <w:szCs w:val="44"/>
                              <w:lang w:eastAsia="zh-CN"/>
                            </w:rPr>
                            <w:instrText xml:space="preserve"> PAGE  \* MERGEFORMAT </w:instrText>
                          </w:r>
                          <w:r>
                            <w:rPr>
                              <w:rFonts w:hint="eastAsia" w:asciiTheme="minorEastAsia" w:hAnsiTheme="minorEastAsia" w:eastAsiaTheme="minorEastAsia" w:cstheme="minorEastAsia"/>
                              <w:sz w:val="32"/>
                              <w:szCs w:val="44"/>
                              <w:lang w:eastAsia="zh-CN"/>
                            </w:rPr>
                            <w:fldChar w:fldCharType="separate"/>
                          </w:r>
                          <w:r>
                            <w:rPr>
                              <w:rFonts w:hint="eastAsia" w:asciiTheme="minorEastAsia" w:hAnsiTheme="minorEastAsia" w:eastAsiaTheme="minorEastAsia" w:cstheme="minorEastAsia"/>
                              <w:sz w:val="32"/>
                              <w:szCs w:val="44"/>
                              <w:lang w:eastAsia="zh-CN"/>
                            </w:rPr>
                            <w:t>1</w:t>
                          </w:r>
                          <w:r>
                            <w:rPr>
                              <w:rFonts w:hint="eastAsia" w:asciiTheme="minorEastAsia" w:hAnsiTheme="minorEastAsia" w:eastAsiaTheme="minorEastAsia" w:cstheme="minorEastAsia"/>
                              <w:sz w:val="32"/>
                              <w:szCs w:val="44"/>
                              <w:lang w:eastAsia="zh-CN"/>
                            </w:rPr>
                            <w:fldChar w:fldCharType="end"/>
                          </w:r>
                          <w:r>
                            <w:rPr>
                              <w:rFonts w:hint="eastAsia"/>
                              <w:sz w:val="24"/>
                              <w:szCs w:val="36"/>
                              <w:lang w:val="en-US" w:eastAsia="zh-CN"/>
                            </w:rPr>
                            <w:t xml:space="preserve"> </w:t>
                          </w:r>
                          <w:r>
                            <w:rPr>
                              <w:rFonts w:hint="eastAsia"/>
                              <w:sz w:val="24"/>
                              <w:szCs w:val="36"/>
                              <w:lang w:eastAsia="zh-CN"/>
                            </w:rPr>
                            <w:t>－</w:t>
                          </w:r>
                          <w:r>
                            <w:rPr>
                              <w:rFonts w:hint="eastAsia"/>
                              <w:sz w:val="24"/>
                              <w:szCs w:val="36"/>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sz w:val="24"/>
                        <w:szCs w:val="36"/>
                        <w:lang w:val="en-US" w:eastAsia="zh-CN"/>
                      </w:rPr>
                      <w:t xml:space="preserve">－ </w:t>
                    </w:r>
                    <w:r>
                      <w:rPr>
                        <w:rFonts w:hint="eastAsia" w:asciiTheme="minorEastAsia" w:hAnsiTheme="minorEastAsia" w:eastAsiaTheme="minorEastAsia" w:cstheme="minorEastAsia"/>
                        <w:sz w:val="32"/>
                        <w:szCs w:val="44"/>
                        <w:lang w:eastAsia="zh-CN"/>
                      </w:rPr>
                      <w:fldChar w:fldCharType="begin"/>
                    </w:r>
                    <w:r>
                      <w:rPr>
                        <w:rFonts w:hint="eastAsia" w:asciiTheme="minorEastAsia" w:hAnsiTheme="minorEastAsia" w:eastAsiaTheme="minorEastAsia" w:cstheme="minorEastAsia"/>
                        <w:sz w:val="32"/>
                        <w:szCs w:val="44"/>
                        <w:lang w:eastAsia="zh-CN"/>
                      </w:rPr>
                      <w:instrText xml:space="preserve"> PAGE  \* MERGEFORMAT </w:instrText>
                    </w:r>
                    <w:r>
                      <w:rPr>
                        <w:rFonts w:hint="eastAsia" w:asciiTheme="minorEastAsia" w:hAnsiTheme="minorEastAsia" w:eastAsiaTheme="minorEastAsia" w:cstheme="minorEastAsia"/>
                        <w:sz w:val="32"/>
                        <w:szCs w:val="44"/>
                        <w:lang w:eastAsia="zh-CN"/>
                      </w:rPr>
                      <w:fldChar w:fldCharType="separate"/>
                    </w:r>
                    <w:r>
                      <w:rPr>
                        <w:rFonts w:hint="eastAsia" w:asciiTheme="minorEastAsia" w:hAnsiTheme="minorEastAsia" w:eastAsiaTheme="minorEastAsia" w:cstheme="minorEastAsia"/>
                        <w:sz w:val="32"/>
                        <w:szCs w:val="44"/>
                        <w:lang w:eastAsia="zh-CN"/>
                      </w:rPr>
                      <w:t>1</w:t>
                    </w:r>
                    <w:r>
                      <w:rPr>
                        <w:rFonts w:hint="eastAsia" w:asciiTheme="minorEastAsia" w:hAnsiTheme="minorEastAsia" w:eastAsiaTheme="minorEastAsia" w:cstheme="minorEastAsia"/>
                        <w:sz w:val="32"/>
                        <w:szCs w:val="44"/>
                        <w:lang w:eastAsia="zh-CN"/>
                      </w:rPr>
                      <w:fldChar w:fldCharType="end"/>
                    </w:r>
                    <w:r>
                      <w:rPr>
                        <w:rFonts w:hint="eastAsia"/>
                        <w:sz w:val="24"/>
                        <w:szCs w:val="36"/>
                        <w:lang w:val="en-US" w:eastAsia="zh-CN"/>
                      </w:rPr>
                      <w:t xml:space="preserve"> </w:t>
                    </w:r>
                    <w:r>
                      <w:rPr>
                        <w:rFonts w:hint="eastAsia"/>
                        <w:sz w:val="24"/>
                        <w:szCs w:val="36"/>
                        <w:lang w:eastAsia="zh-CN"/>
                      </w:rPr>
                      <w:t>－</w:t>
                    </w:r>
                    <w:r>
                      <w:rPr>
                        <w:rFonts w:hint="eastAsia"/>
                        <w:sz w:val="24"/>
                        <w:szCs w:val="36"/>
                        <w:lang w:val="en-US"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C4486"/>
    <w:rsid w:val="00E94382"/>
    <w:rsid w:val="015312AA"/>
    <w:rsid w:val="01582266"/>
    <w:rsid w:val="01C47CF3"/>
    <w:rsid w:val="039560B1"/>
    <w:rsid w:val="03C71124"/>
    <w:rsid w:val="04410263"/>
    <w:rsid w:val="048501D0"/>
    <w:rsid w:val="052D3E82"/>
    <w:rsid w:val="05834800"/>
    <w:rsid w:val="07BA68BC"/>
    <w:rsid w:val="08FE2131"/>
    <w:rsid w:val="0A4E27F2"/>
    <w:rsid w:val="0A5F6393"/>
    <w:rsid w:val="0B8F0FB0"/>
    <w:rsid w:val="0B9743F0"/>
    <w:rsid w:val="0BDA6C08"/>
    <w:rsid w:val="0C2376DC"/>
    <w:rsid w:val="0EB36C3A"/>
    <w:rsid w:val="0F241926"/>
    <w:rsid w:val="0F69251F"/>
    <w:rsid w:val="106B1DE4"/>
    <w:rsid w:val="10C96CE7"/>
    <w:rsid w:val="115B1323"/>
    <w:rsid w:val="11773920"/>
    <w:rsid w:val="12241DDA"/>
    <w:rsid w:val="123A2D82"/>
    <w:rsid w:val="133A27C8"/>
    <w:rsid w:val="13E376AF"/>
    <w:rsid w:val="13EC0B77"/>
    <w:rsid w:val="146F0DFE"/>
    <w:rsid w:val="1556350C"/>
    <w:rsid w:val="16CE27A9"/>
    <w:rsid w:val="17946AD9"/>
    <w:rsid w:val="17D6146D"/>
    <w:rsid w:val="18776A66"/>
    <w:rsid w:val="18D63BB9"/>
    <w:rsid w:val="198A3936"/>
    <w:rsid w:val="1AFA436D"/>
    <w:rsid w:val="1B3151FE"/>
    <w:rsid w:val="1BAF6B05"/>
    <w:rsid w:val="1BE955C7"/>
    <w:rsid w:val="1C1129D3"/>
    <w:rsid w:val="1C5E45B2"/>
    <w:rsid w:val="1F59631E"/>
    <w:rsid w:val="1F816188"/>
    <w:rsid w:val="204E6F74"/>
    <w:rsid w:val="20843F59"/>
    <w:rsid w:val="20C6164E"/>
    <w:rsid w:val="20F93AB9"/>
    <w:rsid w:val="211B2031"/>
    <w:rsid w:val="214322D8"/>
    <w:rsid w:val="21701C94"/>
    <w:rsid w:val="2170369D"/>
    <w:rsid w:val="219357C5"/>
    <w:rsid w:val="21FC4A83"/>
    <w:rsid w:val="230C7214"/>
    <w:rsid w:val="232C6859"/>
    <w:rsid w:val="239916D4"/>
    <w:rsid w:val="23B171AB"/>
    <w:rsid w:val="2581038C"/>
    <w:rsid w:val="25BA64A5"/>
    <w:rsid w:val="25C07301"/>
    <w:rsid w:val="268D200C"/>
    <w:rsid w:val="26917DC2"/>
    <w:rsid w:val="271F1E53"/>
    <w:rsid w:val="27EE4BCD"/>
    <w:rsid w:val="28131937"/>
    <w:rsid w:val="287D54A2"/>
    <w:rsid w:val="28D14296"/>
    <w:rsid w:val="28E43307"/>
    <w:rsid w:val="2933520E"/>
    <w:rsid w:val="2A1F3552"/>
    <w:rsid w:val="2A4B375A"/>
    <w:rsid w:val="2AA366D6"/>
    <w:rsid w:val="2B0C70C9"/>
    <w:rsid w:val="2B6C0ED7"/>
    <w:rsid w:val="2BAE508C"/>
    <w:rsid w:val="2BCB7CF6"/>
    <w:rsid w:val="2C355D6E"/>
    <w:rsid w:val="2C4174D5"/>
    <w:rsid w:val="2D0E5425"/>
    <w:rsid w:val="2D4B0D53"/>
    <w:rsid w:val="2DA232CA"/>
    <w:rsid w:val="2DD66DCB"/>
    <w:rsid w:val="2E8B7425"/>
    <w:rsid w:val="2EE16684"/>
    <w:rsid w:val="2EE25A02"/>
    <w:rsid w:val="2F0B4DD5"/>
    <w:rsid w:val="2F445A17"/>
    <w:rsid w:val="2FFA79B8"/>
    <w:rsid w:val="300C3454"/>
    <w:rsid w:val="30734186"/>
    <w:rsid w:val="311D4CA9"/>
    <w:rsid w:val="3141241E"/>
    <w:rsid w:val="3143321D"/>
    <w:rsid w:val="32B42134"/>
    <w:rsid w:val="338F552F"/>
    <w:rsid w:val="33AA66D3"/>
    <w:rsid w:val="33D67027"/>
    <w:rsid w:val="33DC717B"/>
    <w:rsid w:val="342A4354"/>
    <w:rsid w:val="343967F9"/>
    <w:rsid w:val="34497B49"/>
    <w:rsid w:val="35C34CEE"/>
    <w:rsid w:val="35CC3B02"/>
    <w:rsid w:val="36270CCE"/>
    <w:rsid w:val="365D3C96"/>
    <w:rsid w:val="36801E8C"/>
    <w:rsid w:val="36BE3413"/>
    <w:rsid w:val="370B314C"/>
    <w:rsid w:val="37175B16"/>
    <w:rsid w:val="3843192F"/>
    <w:rsid w:val="387E2D8D"/>
    <w:rsid w:val="391250F6"/>
    <w:rsid w:val="391765F8"/>
    <w:rsid w:val="392A450F"/>
    <w:rsid w:val="3988295B"/>
    <w:rsid w:val="39CE2CD4"/>
    <w:rsid w:val="3B5A50B3"/>
    <w:rsid w:val="3C205893"/>
    <w:rsid w:val="3C356D07"/>
    <w:rsid w:val="3C554BB4"/>
    <w:rsid w:val="3C9F32D2"/>
    <w:rsid w:val="3CDB45C0"/>
    <w:rsid w:val="3D015930"/>
    <w:rsid w:val="3D514C12"/>
    <w:rsid w:val="3D7E2120"/>
    <w:rsid w:val="3D9C7512"/>
    <w:rsid w:val="3E691934"/>
    <w:rsid w:val="3F655193"/>
    <w:rsid w:val="3FD77328"/>
    <w:rsid w:val="4097398F"/>
    <w:rsid w:val="40C27034"/>
    <w:rsid w:val="410A1661"/>
    <w:rsid w:val="414E5D31"/>
    <w:rsid w:val="41734499"/>
    <w:rsid w:val="423845CC"/>
    <w:rsid w:val="431F7815"/>
    <w:rsid w:val="43BB576C"/>
    <w:rsid w:val="447041E2"/>
    <w:rsid w:val="44BB0797"/>
    <w:rsid w:val="45C200A6"/>
    <w:rsid w:val="45CB5918"/>
    <w:rsid w:val="466F6683"/>
    <w:rsid w:val="479B5637"/>
    <w:rsid w:val="48DB117D"/>
    <w:rsid w:val="48DC4B38"/>
    <w:rsid w:val="49952BFB"/>
    <w:rsid w:val="4A245CEA"/>
    <w:rsid w:val="4A8B31A4"/>
    <w:rsid w:val="4AA84606"/>
    <w:rsid w:val="4AD776B8"/>
    <w:rsid w:val="4B240B94"/>
    <w:rsid w:val="4B3936D2"/>
    <w:rsid w:val="4BC23B87"/>
    <w:rsid w:val="4D9E13BF"/>
    <w:rsid w:val="4E042BEA"/>
    <w:rsid w:val="4F7565EE"/>
    <w:rsid w:val="4FA85A3F"/>
    <w:rsid w:val="4FC12673"/>
    <w:rsid w:val="50E1621B"/>
    <w:rsid w:val="514E7607"/>
    <w:rsid w:val="518B417F"/>
    <w:rsid w:val="519120E7"/>
    <w:rsid w:val="519C415B"/>
    <w:rsid w:val="52715BAF"/>
    <w:rsid w:val="52A051E8"/>
    <w:rsid w:val="5332672B"/>
    <w:rsid w:val="53332C9A"/>
    <w:rsid w:val="53AC4EE6"/>
    <w:rsid w:val="54433F77"/>
    <w:rsid w:val="54800EE8"/>
    <w:rsid w:val="54DD70BC"/>
    <w:rsid w:val="553648C7"/>
    <w:rsid w:val="55595031"/>
    <w:rsid w:val="55D53E38"/>
    <w:rsid w:val="5660410C"/>
    <w:rsid w:val="57AD341C"/>
    <w:rsid w:val="57D337E3"/>
    <w:rsid w:val="58532A31"/>
    <w:rsid w:val="5946724B"/>
    <w:rsid w:val="5ACA5E95"/>
    <w:rsid w:val="5B2A5015"/>
    <w:rsid w:val="5B2B1605"/>
    <w:rsid w:val="5B2D5E88"/>
    <w:rsid w:val="5B323CDF"/>
    <w:rsid w:val="5BF60D08"/>
    <w:rsid w:val="5C06475D"/>
    <w:rsid w:val="5DD75341"/>
    <w:rsid w:val="5E390A01"/>
    <w:rsid w:val="5E6917CC"/>
    <w:rsid w:val="5F0B56F7"/>
    <w:rsid w:val="5F5510AE"/>
    <w:rsid w:val="5F855433"/>
    <w:rsid w:val="62BA1608"/>
    <w:rsid w:val="62C25DC1"/>
    <w:rsid w:val="63531A67"/>
    <w:rsid w:val="63CB4BD5"/>
    <w:rsid w:val="64F54A34"/>
    <w:rsid w:val="65C62655"/>
    <w:rsid w:val="65D12305"/>
    <w:rsid w:val="65F06417"/>
    <w:rsid w:val="66253BCC"/>
    <w:rsid w:val="66477817"/>
    <w:rsid w:val="67400E0D"/>
    <w:rsid w:val="676D4A4E"/>
    <w:rsid w:val="67AB6BCA"/>
    <w:rsid w:val="67CB2379"/>
    <w:rsid w:val="67F86206"/>
    <w:rsid w:val="68785DD0"/>
    <w:rsid w:val="68EE79FA"/>
    <w:rsid w:val="69DF727B"/>
    <w:rsid w:val="69F501EC"/>
    <w:rsid w:val="6ADA3FAD"/>
    <w:rsid w:val="6BBE587D"/>
    <w:rsid w:val="6BC42954"/>
    <w:rsid w:val="6BD22CDA"/>
    <w:rsid w:val="6DEB54C0"/>
    <w:rsid w:val="6EEF3967"/>
    <w:rsid w:val="6F022403"/>
    <w:rsid w:val="6F213890"/>
    <w:rsid w:val="6F2F3D35"/>
    <w:rsid w:val="6F6949A1"/>
    <w:rsid w:val="6FAD572A"/>
    <w:rsid w:val="6FD3738D"/>
    <w:rsid w:val="70E43A9A"/>
    <w:rsid w:val="71600BAE"/>
    <w:rsid w:val="71831F8E"/>
    <w:rsid w:val="71B65952"/>
    <w:rsid w:val="71EE4C72"/>
    <w:rsid w:val="72960D08"/>
    <w:rsid w:val="731F1B91"/>
    <w:rsid w:val="7380345E"/>
    <w:rsid w:val="738E0DB3"/>
    <w:rsid w:val="73CE36E7"/>
    <w:rsid w:val="741C5020"/>
    <w:rsid w:val="743620E5"/>
    <w:rsid w:val="748129B0"/>
    <w:rsid w:val="749E42A2"/>
    <w:rsid w:val="75923051"/>
    <w:rsid w:val="75BF3FCB"/>
    <w:rsid w:val="765A1E3A"/>
    <w:rsid w:val="775E2B4B"/>
    <w:rsid w:val="77CC6E01"/>
    <w:rsid w:val="78264E9C"/>
    <w:rsid w:val="784B7BCB"/>
    <w:rsid w:val="78692EDA"/>
    <w:rsid w:val="78B729A6"/>
    <w:rsid w:val="793B72B1"/>
    <w:rsid w:val="79926E07"/>
    <w:rsid w:val="7A230824"/>
    <w:rsid w:val="7ACB6AE2"/>
    <w:rsid w:val="7B3439EB"/>
    <w:rsid w:val="7BC16634"/>
    <w:rsid w:val="7BEE0EE2"/>
    <w:rsid w:val="7D854EF8"/>
    <w:rsid w:val="7D9B22E6"/>
    <w:rsid w:val="7DC018B8"/>
    <w:rsid w:val="7E4D1904"/>
    <w:rsid w:val="7EC225A2"/>
    <w:rsid w:val="7EF2488C"/>
    <w:rsid w:val="7F3B5E12"/>
    <w:rsid w:val="7F551314"/>
    <w:rsid w:val="7FF46CCB"/>
    <w:rsid w:val="7FFD19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before="0" w:beforeLines="0" w:after="0" w:afterLines="0" w:line="578" w:lineRule="atLeast"/>
      <w:ind w:left="0" w:right="0" w:firstLine="0"/>
      <w:jc w:val="both"/>
      <w:textAlignment w:val="baseline"/>
    </w:pPr>
    <w:rPr>
      <w:rFonts w:ascii="Times New Roman" w:eastAsia="宋体" w:hAnsiTheme="minorHAnsi" w:cstheme="minorBidi"/>
      <w:color w:val="000000"/>
      <w:spacing w:val="0"/>
      <w:w w:val="100"/>
      <w:sz w:val="21"/>
      <w:szCs w:val="22"/>
      <w:u w:val="none" w:color="000000"/>
      <w:vertAlign w:val="baseline"/>
      <w:lang w:val="en-US" w:eastAsia="zh-CN" w:bidi="ar-SA"/>
    </w:rPr>
  </w:style>
  <w:style w:type="paragraph" w:styleId="2">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vank</dc:creator>
  <cp:lastModifiedBy>vank</cp:lastModifiedBy>
  <cp:lastPrinted>2024-04-09T07:30:21Z</cp:lastPrinted>
  <dcterms:modified xsi:type="dcterms:W3CDTF">2024-04-09T07:49:20Z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2A94D96FF30E4DF8A5DE0FF1592C3301</vt:lpwstr>
  </property>
</Properties>
</file>