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after="0" w:line="800" w:lineRule="exact"/>
        <w:ind w:firstLine="540" w:firstLineChars="100"/>
        <w:jc w:val="center"/>
        <w:rPr>
          <w:rFonts w:ascii="Times New Roman" w:hAnsi="Times New Roman" w:eastAsia="方正小标宋简体"/>
          <w:bCs/>
          <w:color w:val="000000" w:themeColor="text1"/>
          <w:sz w:val="52"/>
          <w:szCs w:val="52"/>
          <w14:textFill>
            <w14:solidFill>
              <w14:schemeClr w14:val="tx1"/>
            </w14:solidFill>
          </w14:textFill>
        </w:rPr>
      </w:pPr>
    </w:p>
    <w:p>
      <w:pPr>
        <w:pStyle w:val="2"/>
        <w:widowControl w:val="0"/>
        <w:adjustRightInd w:val="0"/>
        <w:snapToGrid w:val="0"/>
        <w:ind w:firstLine="340"/>
      </w:pPr>
    </w:p>
    <w:p>
      <w:pPr>
        <w:widowControl w:val="0"/>
        <w:adjustRightInd w:val="0"/>
        <w:snapToGrid w:val="0"/>
        <w:spacing w:after="0" w:line="800" w:lineRule="exact"/>
        <w:ind w:firstLine="540" w:firstLineChars="100"/>
        <w:jc w:val="both"/>
        <w:rPr>
          <w:rFonts w:ascii="Times New Roman" w:hAnsi="Times New Roman" w:eastAsia="方正小标宋简体"/>
          <w:bCs/>
          <w:color w:val="000000" w:themeColor="text1"/>
          <w:sz w:val="52"/>
          <w:szCs w:val="52"/>
          <w14:textFill>
            <w14:solidFill>
              <w14:schemeClr w14:val="tx1"/>
            </w14:solidFill>
          </w14:textFill>
        </w:rPr>
      </w:pPr>
      <w:r>
        <w:rPr>
          <w:rFonts w:ascii="Times New Roman" w:hAnsi="Times New Roman" w:eastAsia="方正小标宋简体"/>
          <w:bCs/>
          <w:color w:val="000000" w:themeColor="text1"/>
          <w:sz w:val="52"/>
          <w:szCs w:val="52"/>
          <w14:textFill>
            <w14:solidFill>
              <w14:schemeClr w14:val="tx1"/>
            </w14:solidFill>
          </w14:textFill>
        </w:rPr>
        <w:t>许昌市魏都区国民经济和社会发展</w:t>
      </w:r>
    </w:p>
    <w:p>
      <w:pPr>
        <w:widowControl w:val="0"/>
        <w:adjustRightInd w:val="0"/>
        <w:snapToGrid w:val="0"/>
        <w:spacing w:after="0" w:line="800" w:lineRule="exact"/>
        <w:jc w:val="center"/>
        <w:rPr>
          <w:rFonts w:ascii="Times New Roman" w:hAnsi="Times New Roman" w:eastAsia="方正小标宋简体"/>
          <w:bCs/>
          <w:color w:val="000000" w:themeColor="text1"/>
          <w:sz w:val="52"/>
          <w:szCs w:val="52"/>
          <w14:textFill>
            <w14:solidFill>
              <w14:schemeClr w14:val="tx1"/>
            </w14:solidFill>
          </w14:textFill>
        </w:rPr>
      </w:pPr>
      <w:r>
        <w:rPr>
          <w:rFonts w:ascii="Times New Roman" w:hAnsi="Times New Roman" w:eastAsia="方正小标宋简体"/>
          <w:bCs/>
          <w:color w:val="000000" w:themeColor="text1"/>
          <w:sz w:val="52"/>
          <w:szCs w:val="52"/>
          <w14:textFill>
            <w14:solidFill>
              <w14:schemeClr w14:val="tx1"/>
            </w14:solidFill>
          </w14:textFill>
        </w:rPr>
        <w:t>第十四个五年规划和2035年</w:t>
      </w:r>
    </w:p>
    <w:p>
      <w:pPr>
        <w:widowControl w:val="0"/>
        <w:adjustRightInd w:val="0"/>
        <w:snapToGrid w:val="0"/>
        <w:spacing w:after="0" w:line="800" w:lineRule="exact"/>
        <w:jc w:val="center"/>
        <w:rPr>
          <w:rFonts w:ascii="Times New Roman" w:hAnsi="Times New Roman" w:eastAsia="方正小标宋简体"/>
          <w:bCs/>
          <w:color w:val="000000" w:themeColor="text1"/>
          <w:sz w:val="52"/>
          <w:szCs w:val="52"/>
          <w14:textFill>
            <w14:solidFill>
              <w14:schemeClr w14:val="tx1"/>
            </w14:solidFill>
          </w14:textFill>
        </w:rPr>
      </w:pPr>
      <w:r>
        <w:rPr>
          <w:rFonts w:ascii="Times New Roman" w:hAnsi="Times New Roman" w:eastAsia="方正小标宋简体"/>
          <w:bCs/>
          <w:color w:val="000000" w:themeColor="text1"/>
          <w:sz w:val="52"/>
          <w:szCs w:val="52"/>
          <w14:textFill>
            <w14:solidFill>
              <w14:schemeClr w14:val="tx1"/>
            </w14:solidFill>
          </w14:textFill>
        </w:rPr>
        <w:t>远景目标纲要（草案）</w:t>
      </w:r>
    </w:p>
    <w:p>
      <w:pPr>
        <w:widowControl w:val="0"/>
        <w:adjustRightInd w:val="0"/>
        <w:snapToGrid w:val="0"/>
        <w:spacing w:after="0" w:line="1000" w:lineRule="exact"/>
        <w:rPr>
          <w:rFonts w:ascii="Times New Roman" w:hAnsi="Times New Roman" w:eastAsia="黑体"/>
          <w:b/>
          <w:color w:val="000000" w:themeColor="text1"/>
          <w:sz w:val="48"/>
          <w:szCs w:val="48"/>
          <w14:textFill>
            <w14:solidFill>
              <w14:schemeClr w14:val="tx1"/>
            </w14:solidFill>
          </w14:textFill>
        </w:rPr>
      </w:pPr>
    </w:p>
    <w:p>
      <w:pPr>
        <w:widowControl w:val="0"/>
        <w:adjustRightInd w:val="0"/>
        <w:snapToGrid w:val="0"/>
        <w:spacing w:line="1000" w:lineRule="exact"/>
        <w:rPr>
          <w:rFonts w:ascii="Times New Roman" w:hAnsi="Times New Roman" w:eastAsia="黑体"/>
          <w:b/>
          <w:color w:val="000000" w:themeColor="text1"/>
          <w:sz w:val="48"/>
          <w:szCs w:val="48"/>
          <w14:textFill>
            <w14:solidFill>
              <w14:schemeClr w14:val="tx1"/>
            </w14:solidFill>
          </w14:textFill>
        </w:rPr>
      </w:pPr>
    </w:p>
    <w:p>
      <w:pPr>
        <w:widowControl w:val="0"/>
        <w:adjustRightInd w:val="0"/>
        <w:snapToGrid w:val="0"/>
        <w:spacing w:line="1000" w:lineRule="exact"/>
        <w:rPr>
          <w:rFonts w:ascii="Times New Roman" w:hAnsi="Times New Roman" w:eastAsia="黑体"/>
          <w:b/>
          <w:color w:val="000000" w:themeColor="text1"/>
          <w:sz w:val="48"/>
          <w:szCs w:val="48"/>
          <w14:textFill>
            <w14:solidFill>
              <w14:schemeClr w14:val="tx1"/>
            </w14:solidFill>
          </w14:textFill>
        </w:rPr>
      </w:pPr>
    </w:p>
    <w:p>
      <w:pPr>
        <w:pStyle w:val="2"/>
        <w:widowControl w:val="0"/>
        <w:adjustRightInd w:val="0"/>
        <w:snapToGrid w:val="0"/>
        <w:ind w:firstLine="340"/>
      </w:pPr>
    </w:p>
    <w:p>
      <w:pPr>
        <w:widowControl w:val="0"/>
        <w:adjustRightInd w:val="0"/>
        <w:snapToGrid w:val="0"/>
        <w:spacing w:line="1000" w:lineRule="exact"/>
        <w:rPr>
          <w:rFonts w:ascii="Times New Roman" w:hAnsi="Times New Roman" w:eastAsia="黑体"/>
          <w:b/>
          <w:color w:val="000000" w:themeColor="text1"/>
          <w:sz w:val="48"/>
          <w:szCs w:val="48"/>
          <w14:textFill>
            <w14:solidFill>
              <w14:schemeClr w14:val="tx1"/>
            </w14:solidFill>
          </w14:textFill>
        </w:rPr>
      </w:pPr>
    </w:p>
    <w:p>
      <w:pPr>
        <w:widowControl w:val="0"/>
        <w:adjustRightInd w:val="0"/>
        <w:snapToGrid w:val="0"/>
        <w:spacing w:line="1000" w:lineRule="exact"/>
        <w:rPr>
          <w:rFonts w:ascii="Times New Roman" w:hAnsi="Times New Roman" w:eastAsia="黑体"/>
          <w:b/>
          <w:color w:val="000000" w:themeColor="text1"/>
          <w:sz w:val="48"/>
          <w:szCs w:val="48"/>
          <w14:textFill>
            <w14:solidFill>
              <w14:schemeClr w14:val="tx1"/>
            </w14:solidFill>
          </w14:textFill>
        </w:rPr>
      </w:pPr>
    </w:p>
    <w:p>
      <w:pPr>
        <w:pStyle w:val="2"/>
        <w:widowControl w:val="0"/>
        <w:adjustRightInd w:val="0"/>
        <w:snapToGrid w:val="0"/>
        <w:ind w:firstLine="340"/>
      </w:pPr>
    </w:p>
    <w:p>
      <w:pPr>
        <w:widowControl w:val="0"/>
        <w:adjustRightInd w:val="0"/>
        <w:snapToGrid w:val="0"/>
        <w:spacing w:after="120" w:line="560" w:lineRule="exact"/>
        <w:jc w:val="center"/>
        <w:rPr>
          <w:rFonts w:ascii="Times New Roman" w:hAnsi="Times New Roman" w:eastAsia="楷体_GB2312"/>
          <w:b/>
          <w:bCs/>
          <w:color w:val="000000" w:themeColor="text1"/>
          <w:sz w:val="36"/>
          <w:szCs w:val="36"/>
          <w14:textFill>
            <w14:solidFill>
              <w14:schemeClr w14:val="tx1"/>
            </w14:solidFill>
          </w14:textFill>
        </w:rPr>
      </w:pPr>
      <w:r>
        <w:rPr>
          <w:rFonts w:ascii="Times New Roman" w:hAnsi="Times New Roman" w:eastAsia="楷体_GB2312"/>
          <w:b/>
          <w:bCs/>
          <w:color w:val="000000" w:themeColor="text1"/>
          <w:sz w:val="36"/>
          <w:szCs w:val="36"/>
          <w14:textFill>
            <w14:solidFill>
              <w14:schemeClr w14:val="tx1"/>
            </w14:solidFill>
          </w14:textFill>
        </w:rPr>
        <w:t>2021年1月</w:t>
      </w:r>
    </w:p>
    <w:p>
      <w:pPr>
        <w:widowControl w:val="0"/>
        <w:adjustRightInd w:val="0"/>
        <w:snapToGrid w:val="0"/>
        <w:rPr>
          <w:rFonts w:ascii="Times New Roman" w:hAnsi="Times New Roman" w:eastAsia="楷体_GB2312"/>
          <w:b/>
          <w:bCs/>
          <w:color w:val="000000" w:themeColor="text1"/>
          <w:sz w:val="36"/>
          <w:szCs w:val="36"/>
          <w14:textFill>
            <w14:solidFill>
              <w14:schemeClr w14:val="tx1"/>
            </w14:solidFill>
          </w14:textFill>
        </w:rPr>
      </w:pPr>
      <w:r>
        <w:rPr>
          <w:rFonts w:ascii="Times New Roman" w:hAnsi="Times New Roman" w:eastAsia="楷体_GB2312"/>
          <w:b/>
          <w:bCs/>
          <w:color w:val="000000" w:themeColor="text1"/>
          <w:sz w:val="36"/>
          <w:szCs w:val="36"/>
          <w14:textFill>
            <w14:solidFill>
              <w14:schemeClr w14:val="tx1"/>
            </w14:solidFill>
          </w14:textFill>
        </w:rPr>
        <w:br w:type="page"/>
      </w:r>
    </w:p>
    <w:p>
      <w:pPr>
        <w:pStyle w:val="2"/>
        <w:widowControl w:val="0"/>
        <w:adjustRightInd w:val="0"/>
        <w:snapToGrid w:val="0"/>
        <w:ind w:firstLine="340"/>
      </w:pPr>
    </w:p>
    <w:p>
      <w:pPr>
        <w:widowControl w:val="0"/>
        <w:adjustRightInd w:val="0"/>
        <w:snapToGrid w:val="0"/>
        <w:spacing w:after="120" w:line="560" w:lineRule="exact"/>
        <w:ind w:firstLine="760" w:firstLineChars="200"/>
        <w:jc w:val="center"/>
        <w:rPr>
          <w:rFonts w:ascii="Times New Roman" w:hAnsi="Times New Roman" w:eastAsia="仿宋_GB2312"/>
          <w:b/>
          <w:bCs/>
          <w:color w:val="000000" w:themeColor="text1"/>
          <w:sz w:val="36"/>
          <w:szCs w:val="36"/>
          <w14:textFill>
            <w14:solidFill>
              <w14:schemeClr w14:val="tx1"/>
            </w14:solidFill>
          </w14:textFill>
        </w:rPr>
      </w:pPr>
    </w:p>
    <w:p>
      <w:pPr>
        <w:widowControl w:val="0"/>
        <w:adjustRightInd w:val="0"/>
        <w:snapToGrid w:val="0"/>
        <w:spacing w:line="580" w:lineRule="exact"/>
        <w:rPr>
          <w:rFonts w:ascii="Times New Roman" w:hAnsi="Times New Roman"/>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587" w:right="1417" w:bottom="1587" w:left="1417" w:header="851" w:footer="992" w:gutter="0"/>
          <w:pgNumType w:fmt="numberInDash" w:start="3"/>
          <w:cols w:space="0" w:num="1"/>
          <w:titlePg/>
          <w:docGrid w:type="linesAndChars" w:linePitch="595" w:charSpace="4127"/>
        </w:sectPr>
      </w:pPr>
    </w:p>
    <w:p>
      <w:pPr>
        <w:widowControl w:val="0"/>
        <w:adjustRightInd w:val="0"/>
        <w:snapToGrid w:val="0"/>
        <w:spacing w:after="0" w:line="590" w:lineRule="exact"/>
        <w:jc w:val="center"/>
        <w:rPr>
          <w:rFonts w:ascii="Times New Roman" w:hAnsi="Times New Roman" w:eastAsia="方正小标宋简体"/>
          <w:bCs/>
          <w:color w:val="000000" w:themeColor="text1"/>
          <w:sz w:val="44"/>
          <w:szCs w:val="44"/>
          <w14:textFill>
            <w14:solidFill>
              <w14:schemeClr w14:val="tx1"/>
            </w14:solidFill>
          </w14:textFill>
        </w:rPr>
      </w:pPr>
    </w:p>
    <w:p>
      <w:pPr>
        <w:widowControl w:val="0"/>
        <w:adjustRightInd w:val="0"/>
        <w:snapToGrid w:val="0"/>
        <w:spacing w:after="0" w:line="590" w:lineRule="exact"/>
        <w:jc w:val="center"/>
        <w:rPr>
          <w:rFonts w:ascii="Times New Roman" w:hAnsi="Times New Roman" w:eastAsia="方正小标宋简体"/>
          <w:bCs/>
          <w:color w:val="000000" w:themeColor="text1"/>
          <w:sz w:val="44"/>
          <w:szCs w:val="44"/>
          <w14:textFill>
            <w14:solidFill>
              <w14:schemeClr w14:val="tx1"/>
            </w14:solidFill>
          </w14:textFill>
        </w:rPr>
      </w:pPr>
      <w:r>
        <w:rPr>
          <w:rFonts w:ascii="Times New Roman" w:hAnsi="Times New Roman" w:eastAsia="方正小标宋简体"/>
          <w:bCs/>
          <w:color w:val="000000" w:themeColor="text1"/>
          <w:sz w:val="44"/>
          <w:szCs w:val="44"/>
          <w14:textFill>
            <w14:solidFill>
              <w14:schemeClr w14:val="tx1"/>
            </w14:solidFill>
          </w14:textFill>
        </w:rPr>
        <w:t>前     言</w:t>
      </w:r>
    </w:p>
    <w:p>
      <w:pPr>
        <w:widowControl w:val="0"/>
        <w:overflowPunct w:val="0"/>
        <w:adjustRightInd w:val="0"/>
        <w:snapToGrid w:val="0"/>
        <w:spacing w:after="0" w:line="59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p>
    <w:p>
      <w:pPr>
        <w:widowControl w:val="0"/>
        <w:overflowPunct w:val="0"/>
        <w:adjustRightInd w:val="0"/>
        <w:snapToGrid w:val="0"/>
        <w:spacing w:after="0" w:line="59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许昌市魏都区国民经济和社会发展第十四个五年规划和二〇三五年远景目标纲要，根据</w:t>
      </w:r>
      <w:r>
        <w:rPr>
          <w:rFonts w:ascii="Times New Roman" w:hAnsi="Times New Roman" w:eastAsia="仿宋_GB2312"/>
          <w:bCs/>
          <w:color w:val="000000" w:themeColor="text1"/>
          <w:szCs w:val="32"/>
          <w14:textFill>
            <w14:solidFill>
              <w14:schemeClr w14:val="tx1"/>
            </w14:solidFill>
          </w14:textFill>
        </w:rPr>
        <w:t>《中共魏都区委关于制定国民经济和社会发展第十四个五年规划和二〇三五远景目标的建议》</w:t>
      </w:r>
      <w:r>
        <w:rPr>
          <w:rFonts w:ascii="Times New Roman" w:hAnsi="Times New Roman" w:eastAsia="仿宋_GB2312"/>
          <w:color w:val="000000" w:themeColor="text1"/>
          <w:szCs w:val="32"/>
          <w14:textFill>
            <w14:solidFill>
              <w14:schemeClr w14:val="tx1"/>
            </w14:solidFill>
          </w14:textFill>
        </w:rPr>
        <w:t>编制。</w:t>
      </w:r>
      <w:r>
        <w:rPr>
          <w:rFonts w:ascii="Times New Roman" w:hAnsi="Times New Roman" w:eastAsia="仿宋_GB2312"/>
          <w:bCs/>
          <w:color w:val="000000" w:themeColor="text1"/>
          <w:szCs w:val="32"/>
          <w14:textFill>
            <w14:solidFill>
              <w14:schemeClr w14:val="tx1"/>
            </w14:solidFill>
          </w14:textFill>
        </w:rPr>
        <w:t>本纲要是</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十四五</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时期魏都区经济社会发展的战略性、纲领性、综合性规划，是指导魏都区未来五年发展的宏伟蓝图，是激发全区人民共同奋斗的行动纲领。</w:t>
      </w:r>
    </w:p>
    <w:p>
      <w:pPr>
        <w:widowControl w:val="0"/>
        <w:adjustRightInd w:val="0"/>
        <w:snapToGrid w:val="0"/>
        <w:rPr>
          <w:rFonts w:ascii="Times New Roman" w:hAnsi="Times New Roman" w:eastAsia="仿宋_GB2312"/>
          <w:bCs/>
          <w:color w:val="000000" w:themeColor="text1"/>
          <w:szCs w:val="32"/>
          <w14:textFill>
            <w14:solidFill>
              <w14:schemeClr w14:val="tx1"/>
            </w14:solidFill>
          </w14:textFill>
        </w:rPr>
      </w:pPr>
      <w:r>
        <w:rPr>
          <w:rFonts w:ascii="Times New Roman" w:hAnsi="Times New Roman" w:eastAsia="仿宋_GB2312"/>
          <w:bCs/>
          <w:color w:val="000000" w:themeColor="text1"/>
          <w:szCs w:val="32"/>
          <w14:textFill>
            <w14:solidFill>
              <w14:schemeClr w14:val="tx1"/>
            </w14:solidFill>
          </w14:textFill>
        </w:rPr>
        <w:br w:type="page"/>
      </w:r>
      <w:bookmarkStart w:id="152" w:name="_GoBack"/>
      <w:bookmarkEnd w:id="152"/>
    </w:p>
    <w:p>
      <w:pPr>
        <w:pStyle w:val="2"/>
        <w:widowControl w:val="0"/>
        <w:adjustRightInd w:val="0"/>
        <w:snapToGrid w:val="0"/>
        <w:spacing w:after="0" w:line="590" w:lineRule="exact"/>
        <w:ind w:firstLine="340"/>
        <w:rPr>
          <w:bCs/>
          <w:color w:val="000000" w:themeColor="text1"/>
          <w:szCs w:val="32"/>
          <w14:textFill>
            <w14:solidFill>
              <w14:schemeClr w14:val="tx1"/>
            </w14:solidFill>
          </w14:textFill>
        </w:rPr>
      </w:pPr>
    </w:p>
    <w:p>
      <w:pPr>
        <w:pStyle w:val="2"/>
        <w:widowControl w:val="0"/>
        <w:adjustRightInd w:val="0"/>
        <w:snapToGrid w:val="0"/>
        <w:spacing w:after="0" w:line="590" w:lineRule="exact"/>
        <w:ind w:firstLine="0" w:firstLineChars="0"/>
        <w:rPr>
          <w:b/>
          <w:i/>
          <w:iCs/>
          <w:color w:val="000000" w:themeColor="text1"/>
          <w:szCs w:val="32"/>
          <w14:textFill>
            <w14:solidFill>
              <w14:schemeClr w14:val="tx1"/>
            </w14:solidFill>
          </w14:textFill>
        </w:rPr>
      </w:pPr>
    </w:p>
    <w:p>
      <w:pPr>
        <w:pStyle w:val="2"/>
        <w:widowControl w:val="0"/>
        <w:adjustRightInd w:val="0"/>
        <w:snapToGrid w:val="0"/>
        <w:spacing w:after="0" w:line="590" w:lineRule="exact"/>
        <w:ind w:firstLine="0" w:firstLineChars="0"/>
        <w:rPr>
          <w:b/>
          <w:i/>
          <w:iCs/>
          <w:color w:val="000000" w:themeColor="text1"/>
          <w:szCs w:val="32"/>
          <w14:textFill>
            <w14:solidFill>
              <w14:schemeClr w14:val="tx1"/>
            </w14:solidFill>
          </w14:textFill>
        </w:rPr>
        <w:sectPr>
          <w:footerReference r:id="rId11" w:type="default"/>
          <w:pgSz w:w="11906" w:h="16838"/>
          <w:pgMar w:top="1587" w:right="1417" w:bottom="1587" w:left="1417" w:header="851" w:footer="992" w:gutter="0"/>
          <w:pgNumType w:fmt="numberInDash"/>
          <w:cols w:space="0" w:num="1"/>
          <w:titlePg/>
          <w:docGrid w:type="linesAndChars" w:linePitch="595" w:charSpace="4127"/>
        </w:sectPr>
      </w:pPr>
    </w:p>
    <w:p>
      <w:pPr>
        <w:widowControl w:val="0"/>
        <w:adjustRightInd w:val="0"/>
        <w:snapToGrid w:val="0"/>
        <w:spacing w:after="0" w:line="59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2"/>
        <w:widowControl w:val="0"/>
        <w:adjustRightInd w:val="0"/>
        <w:snapToGrid w:val="0"/>
        <w:spacing w:after="0" w:line="674" w:lineRule="exact"/>
        <w:ind w:firstLine="321"/>
        <w:jc w:val="both"/>
        <w:rPr>
          <w:b/>
          <w:bCs/>
          <w:color w:val="000000" w:themeColor="text1"/>
          <w:sz w:val="30"/>
          <w:szCs w:val="30"/>
          <w14:textFill>
            <w14:solidFill>
              <w14:schemeClr w14:val="tx1"/>
            </w14:solidFill>
          </w14:textFill>
        </w:rPr>
      </w:pPr>
    </w:p>
    <w:p>
      <w:pPr>
        <w:widowControl w:val="0"/>
        <w:adjustRightInd w:val="0"/>
        <w:snapToGrid w:val="0"/>
        <w:spacing w:after="0" w:line="660" w:lineRule="exact"/>
        <w:jc w:val="distribute"/>
        <w:rPr>
          <w:rFonts w:ascii="仿宋_GB2312" w:hAnsi="仿宋_GB2312" w:eastAsia="仿宋_GB2312" w:cs="仿宋_GB2312"/>
          <w:b/>
          <w:bCs/>
          <w:snapToGrid w:val="0"/>
        </w:rPr>
      </w:pPr>
      <w:bookmarkStart w:id="0" w:name="_Toc2020840429"/>
      <w:r>
        <w:rPr>
          <w:rFonts w:hint="eastAsia" w:ascii="仿宋_GB2312" w:hAnsi="仿宋_GB2312" w:eastAsia="仿宋_GB2312" w:cs="仿宋_GB2312"/>
          <w:b/>
          <w:bCs/>
          <w:snapToGrid w:val="0"/>
        </w:rPr>
        <w:t>第一章  全面建成小康社会，开启全面建设社会主义现代化</w:t>
      </w:r>
    </w:p>
    <w:p>
      <w:pPr>
        <w:widowControl w:val="0"/>
        <w:adjustRightInd w:val="0"/>
        <w:snapToGrid w:val="0"/>
        <w:spacing w:after="0" w:line="660" w:lineRule="exact"/>
        <w:jc w:val="distribute"/>
        <w:rPr>
          <w:rFonts w:ascii="仿宋_GB2312" w:hAnsi="仿宋_GB2312" w:eastAsia="仿宋_GB2312" w:cs="仿宋_GB2312"/>
          <w:b/>
          <w:bCs/>
          <w:snapToGrid w:val="0"/>
        </w:rPr>
      </w:pPr>
      <w:r>
        <w:rPr>
          <w:rFonts w:hint="eastAsia" w:ascii="仿宋_GB2312" w:hAnsi="仿宋_GB2312" w:eastAsia="仿宋_GB2312" w:cs="仿宋_GB2312"/>
          <w:snapToGrid w:val="0"/>
        </w:rPr>
        <w:t xml:space="preserve">   </w:t>
      </w:r>
      <w:r>
        <w:rPr>
          <w:rFonts w:hint="eastAsia" w:ascii="仿宋_GB2312" w:hAnsi="仿宋_GB2312" w:eastAsia="仿宋_GB2312" w:cs="仿宋_GB2312"/>
          <w:b/>
          <w:bCs/>
          <w:snapToGrid w:val="0"/>
        </w:rPr>
        <w:t xml:space="preserve">      魏都新征程………………………………………</w:t>
      </w:r>
      <w:r>
        <w:rPr>
          <w:rFonts w:hint="eastAsia" w:ascii="Times New Roman" w:hAnsi="Times New Roman" w:eastAsia="仿宋_GB2312" w:cs="仿宋_GB2312"/>
          <w:snapToGrid w:val="0"/>
        </w:rPr>
        <w:t>1</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决胜全面建成小康社会取得决定性成就……</w:t>
      </w:r>
      <w:r>
        <w:rPr>
          <w:rFonts w:hint="eastAsia" w:ascii="Times New Roman" w:hAnsi="Times New Roman" w:eastAsia="仿宋_GB2312" w:cs="仿宋_GB2312"/>
          <w:snapToGrid w:val="0"/>
        </w:rPr>
        <w:t>1</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“十四五”面临发展机遇与挑战…………</w:t>
      </w:r>
      <w:r>
        <w:rPr>
          <w:rFonts w:hint="eastAsia" w:ascii="Times New Roman" w:hAnsi="Times New Roman" w:eastAsia="仿宋_GB2312" w:cs="仿宋_GB2312"/>
          <w:snapToGrid w:val="0"/>
        </w:rPr>
        <w:t>6</w:t>
      </w:r>
    </w:p>
    <w:p>
      <w:pPr>
        <w:widowControl w:val="0"/>
        <w:adjustRightInd w:val="0"/>
        <w:snapToGrid w:val="0"/>
        <w:spacing w:after="0" w:line="660" w:lineRule="exact"/>
        <w:jc w:val="distribute"/>
        <w:rPr>
          <w:rFonts w:ascii="仿宋_GB2312" w:hAnsi="仿宋_GB2312" w:eastAsia="仿宋_GB2312" w:cs="仿宋_GB2312"/>
          <w:b/>
          <w:bCs/>
          <w:snapToGrid w:val="0"/>
        </w:rPr>
      </w:pPr>
      <w:r>
        <w:rPr>
          <w:rFonts w:hint="eastAsia" w:ascii="仿宋_GB2312" w:hAnsi="仿宋_GB2312" w:eastAsia="仿宋_GB2312" w:cs="仿宋_GB2312"/>
          <w:b/>
          <w:bCs/>
          <w:snapToGrid w:val="0"/>
        </w:rPr>
        <w:t>第二章  未来五年发展蓝图和二〇三五年远景目标………</w:t>
      </w:r>
      <w:r>
        <w:rPr>
          <w:rFonts w:hint="eastAsia" w:ascii="Times New Roman" w:hAnsi="Times New Roman" w:eastAsia="仿宋_GB2312" w:cs="仿宋_GB2312"/>
          <w:snapToGrid w:val="0"/>
        </w:rPr>
        <w:t>8</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指导思想………………………………………</w:t>
      </w:r>
      <w:r>
        <w:rPr>
          <w:rFonts w:hint="eastAsia" w:ascii="Times New Roman" w:hAnsi="Times New Roman" w:eastAsia="仿宋_GB2312" w:cs="仿宋_GB2312"/>
          <w:snapToGrid w:val="0"/>
        </w:rPr>
        <w:t>8</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发展定位………………………………………</w:t>
      </w:r>
      <w:r>
        <w:rPr>
          <w:rFonts w:hint="eastAsia" w:ascii="Times New Roman" w:hAnsi="Times New Roman" w:eastAsia="仿宋_GB2312" w:cs="仿宋_GB2312"/>
          <w:snapToGrid w:val="0"/>
        </w:rPr>
        <w:t>8</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第三节  基本原则………………………………………</w:t>
      </w:r>
      <w:r>
        <w:rPr>
          <w:rFonts w:hint="eastAsia" w:ascii="Times New Roman" w:hAnsi="Times New Roman" w:eastAsia="仿宋_GB2312" w:cs="仿宋_GB2312"/>
          <w:snapToGrid w:val="0"/>
        </w:rPr>
        <w:t>9</w:t>
      </w:r>
    </w:p>
    <w:p>
      <w:pPr>
        <w:widowControl w:val="0"/>
        <w:adjustRightInd w:val="0"/>
        <w:snapToGrid w:val="0"/>
        <w:spacing w:after="0" w:line="660" w:lineRule="exact"/>
        <w:ind w:left="680" w:leftChars="200"/>
        <w:jc w:val="distribute"/>
        <w:rPr>
          <w:rFonts w:ascii="Times New Roman" w:hAnsi="Times New Roman" w:eastAsia="仿宋_GB2312" w:cs="仿宋_GB2312"/>
          <w:snapToGrid w:val="0"/>
        </w:rPr>
      </w:pPr>
      <w:r>
        <w:rPr>
          <w:rFonts w:hint="eastAsia" w:ascii="仿宋_GB2312" w:hAnsi="仿宋_GB2312" w:eastAsia="仿宋_GB2312" w:cs="仿宋_GB2312"/>
          <w:snapToGrid w:val="0"/>
        </w:rPr>
        <w:t>第四节  “十四五”时期经济社会发展目标…………</w:t>
      </w:r>
      <w:r>
        <w:rPr>
          <w:rFonts w:ascii="仿宋_GB2312" w:hAnsi="仿宋_GB2312" w:eastAsia="仿宋_GB2312" w:cs="仿宋_GB2312"/>
          <w:snapToGrid w:val="0"/>
        </w:rPr>
        <w:t>……</w:t>
      </w:r>
      <w:r>
        <w:rPr>
          <w:rFonts w:hint="eastAsia" w:ascii="Times New Roman" w:hAnsi="Times New Roman" w:eastAsia="仿宋_GB2312" w:cs="仿宋_GB2312"/>
          <w:snapToGrid w:val="0"/>
        </w:rPr>
        <w:t>11</w:t>
      </w:r>
    </w:p>
    <w:p>
      <w:pPr>
        <w:widowControl w:val="0"/>
        <w:adjustRightInd w:val="0"/>
        <w:snapToGrid w:val="0"/>
        <w:spacing w:after="0" w:line="660" w:lineRule="exact"/>
        <w:ind w:left="680" w:leftChars="200"/>
        <w:jc w:val="distribute"/>
        <w:rPr>
          <w:rFonts w:ascii="Times New Roman" w:hAnsi="Times New Roman" w:eastAsia="仿宋_GB2312" w:cs="仿宋_GB2312"/>
          <w:snapToGrid w:val="0"/>
        </w:rPr>
      </w:pPr>
      <w:r>
        <w:rPr>
          <w:rFonts w:hint="eastAsia" w:ascii="仿宋_GB2312" w:hAnsi="仿宋_GB2312" w:eastAsia="仿宋_GB2312" w:cs="仿宋_GB2312"/>
          <w:snapToGrid w:val="0"/>
        </w:rPr>
        <w:t>第五节   二〇三五年的远景目标………………………</w:t>
      </w:r>
      <w:r>
        <w:rPr>
          <w:rFonts w:ascii="仿宋_GB2312" w:hAnsi="仿宋_GB2312" w:eastAsia="仿宋_GB2312" w:cs="仿宋_GB2312"/>
          <w:snapToGrid w:val="0"/>
        </w:rPr>
        <w:t>…</w:t>
      </w:r>
      <w:r>
        <w:rPr>
          <w:rFonts w:hint="eastAsia" w:ascii="Times New Roman" w:hAnsi="Times New Roman" w:eastAsia="仿宋_GB2312" w:cs="仿宋_GB2312"/>
          <w:snapToGrid w:val="0"/>
        </w:rPr>
        <w:t>13</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第六节  战略导向………………………………………</w:t>
      </w:r>
      <w:r>
        <w:rPr>
          <w:rFonts w:hint="eastAsia" w:ascii="Times New Roman" w:hAnsi="Times New Roman" w:eastAsia="仿宋_GB2312" w:cs="仿宋_GB2312"/>
          <w:snapToGrid w:val="0"/>
        </w:rPr>
        <w:t>14</w:t>
      </w:r>
    </w:p>
    <w:p>
      <w:pPr>
        <w:widowControl w:val="0"/>
        <w:adjustRightInd w:val="0"/>
        <w:snapToGrid w:val="0"/>
        <w:spacing w:after="0" w:line="660" w:lineRule="exact"/>
        <w:jc w:val="distribute"/>
        <w:rPr>
          <w:rFonts w:ascii="仿宋_GB2312" w:hAnsi="仿宋_GB2312" w:eastAsia="仿宋_GB2312" w:cs="仿宋_GB2312"/>
          <w:b/>
          <w:bCs/>
          <w:snapToGrid w:val="0"/>
        </w:rPr>
      </w:pPr>
      <w:r>
        <w:rPr>
          <w:rFonts w:hint="eastAsia" w:ascii="仿宋_GB2312" w:hAnsi="仿宋_GB2312" w:eastAsia="仿宋_GB2312" w:cs="仿宋_GB2312"/>
          <w:b/>
          <w:bCs/>
          <w:snapToGrid w:val="0"/>
        </w:rPr>
        <w:t>第三章  强化创新驱动，培育经济高质量发展新动能…</w:t>
      </w:r>
      <w:r>
        <w:rPr>
          <w:rFonts w:hint="eastAsia" w:ascii="Times New Roman" w:hAnsi="Times New Roman" w:eastAsia="仿宋_GB2312" w:cs="仿宋_GB2312"/>
          <w:snapToGrid w:val="0"/>
        </w:rPr>
        <w:t>17</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提升自主创新能力……………………………</w:t>
      </w:r>
      <w:r>
        <w:rPr>
          <w:rFonts w:hint="eastAsia" w:ascii="Times New Roman" w:hAnsi="Times New Roman" w:eastAsia="仿宋_GB2312" w:cs="仿宋_GB2312"/>
          <w:snapToGrid w:val="0"/>
        </w:rPr>
        <w:t>17</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搭建创新创业平台……………………………</w:t>
      </w:r>
      <w:r>
        <w:rPr>
          <w:rFonts w:hint="eastAsia" w:ascii="Times New Roman" w:hAnsi="Times New Roman" w:eastAsia="仿宋_GB2312" w:cs="仿宋_GB2312"/>
          <w:snapToGrid w:val="0"/>
        </w:rPr>
        <w:t>18</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第三节  构筑人才集聚高地……………………………</w:t>
      </w:r>
      <w:r>
        <w:rPr>
          <w:rFonts w:hint="eastAsia" w:ascii="Times New Roman" w:hAnsi="Times New Roman" w:eastAsia="仿宋_GB2312" w:cs="仿宋_GB2312"/>
          <w:snapToGrid w:val="0"/>
        </w:rPr>
        <w:t>19</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第四节  完善创新体制机制……………………………</w:t>
      </w:r>
      <w:r>
        <w:rPr>
          <w:rFonts w:hint="eastAsia" w:ascii="Times New Roman" w:hAnsi="Times New Roman" w:eastAsia="仿宋_GB2312" w:cs="仿宋_GB2312"/>
          <w:snapToGrid w:val="0"/>
        </w:rPr>
        <w:t>20</w:t>
      </w:r>
    </w:p>
    <w:p>
      <w:pPr>
        <w:widowControl w:val="0"/>
        <w:adjustRightInd w:val="0"/>
        <w:snapToGrid w:val="0"/>
        <w:spacing w:after="0" w:line="660" w:lineRule="exact"/>
        <w:jc w:val="distribute"/>
        <w:rPr>
          <w:rFonts w:ascii="仿宋_GB2312" w:hAnsi="仿宋_GB2312" w:eastAsia="仿宋_GB2312" w:cs="仿宋_GB2312"/>
          <w:b/>
          <w:bCs/>
          <w:snapToGrid w:val="0"/>
        </w:rPr>
      </w:pPr>
      <w:r>
        <w:rPr>
          <w:rFonts w:hint="eastAsia" w:ascii="仿宋_GB2312" w:hAnsi="仿宋_GB2312" w:eastAsia="仿宋_GB2312" w:cs="仿宋_GB2312"/>
          <w:b/>
          <w:bCs/>
          <w:snapToGrid w:val="0"/>
        </w:rPr>
        <w:t>第四章  加快制造业转型升级，构建现代化制造业新体系</w:t>
      </w:r>
      <w:r>
        <w:rPr>
          <w:rFonts w:ascii="仿宋_GB2312" w:hAnsi="仿宋_GB2312" w:eastAsia="仿宋_GB2312" w:cs="仿宋_GB2312"/>
          <w:b/>
          <w:bCs/>
          <w:snapToGrid w:val="0"/>
        </w:rPr>
        <w:t>…</w:t>
      </w:r>
      <w:r>
        <w:rPr>
          <w:rFonts w:hint="eastAsia" w:ascii="Times New Roman" w:hAnsi="Times New Roman" w:eastAsia="仿宋_GB2312" w:cs="仿宋_GB2312"/>
          <w:snapToGrid w:val="0"/>
        </w:rPr>
        <w:t>23</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锚定高质量发展方向………………………</w:t>
      </w:r>
      <w:r>
        <w:rPr>
          <w:rFonts w:hint="eastAsia" w:ascii="Times New Roman" w:hAnsi="Times New Roman" w:eastAsia="仿宋_GB2312" w:cs="仿宋_GB2312"/>
          <w:snapToGrid w:val="0"/>
        </w:rPr>
        <w:t>23</w:t>
      </w:r>
      <w:r>
        <w:rPr>
          <w:rFonts w:hint="eastAsia" w:ascii="仿宋_GB2312" w:hAnsi="仿宋_GB2312" w:eastAsia="仿宋_GB2312" w:cs="仿宋_GB2312"/>
          <w:snapToGrid w:val="0"/>
        </w:rPr>
        <w:t xml:space="preserve"> </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壮大现代制造业发展梯队…………………</w:t>
      </w:r>
      <w:r>
        <w:rPr>
          <w:rFonts w:hint="eastAsia" w:ascii="Times New Roman" w:hAnsi="Times New Roman" w:eastAsia="仿宋_GB2312" w:cs="仿宋_GB2312"/>
          <w:snapToGrid w:val="0"/>
        </w:rPr>
        <w:t>24</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第三节  打造空间核心增长极………………………</w:t>
      </w:r>
      <w:r>
        <w:rPr>
          <w:rFonts w:hint="eastAsia" w:ascii="Times New Roman" w:hAnsi="Times New Roman" w:eastAsia="仿宋_GB2312" w:cs="仿宋_GB2312"/>
          <w:snapToGrid w:val="0"/>
        </w:rPr>
        <w:t>25</w:t>
      </w:r>
    </w:p>
    <w:p>
      <w:pPr>
        <w:widowControl w:val="0"/>
        <w:adjustRightInd w:val="0"/>
        <w:snapToGrid w:val="0"/>
        <w:spacing w:after="0" w:line="660" w:lineRule="exact"/>
        <w:jc w:val="distribute"/>
        <w:rPr>
          <w:rFonts w:ascii="Times New Roman" w:hAnsi="Times New Roman" w:eastAsia="仿宋_GB2312" w:cs="仿宋_GB2312"/>
          <w:snapToGrid w:val="0"/>
        </w:rPr>
      </w:pPr>
      <w:r>
        <w:rPr>
          <w:rFonts w:hint="eastAsia" w:ascii="仿宋_GB2312" w:hAnsi="仿宋_GB2312" w:eastAsia="仿宋_GB2312" w:cs="仿宋_GB2312"/>
          <w:b/>
          <w:bCs/>
          <w:snapToGrid w:val="0"/>
        </w:rPr>
        <w:t>第五章  加快服务业提档升级，巩固提升消费市场新优势</w:t>
      </w:r>
      <w:r>
        <w:rPr>
          <w:rFonts w:ascii="仿宋_GB2312" w:hAnsi="仿宋_GB2312" w:eastAsia="仿宋_GB2312" w:cs="仿宋_GB2312"/>
          <w:b/>
          <w:bCs/>
          <w:snapToGrid w:val="0"/>
        </w:rPr>
        <w:t>…</w:t>
      </w:r>
      <w:r>
        <w:rPr>
          <w:rFonts w:hint="eastAsia" w:ascii="Times New Roman" w:hAnsi="Times New Roman" w:eastAsia="仿宋_GB2312" w:cs="仿宋_GB2312"/>
          <w:snapToGrid w:val="0"/>
        </w:rPr>
        <w:t>28</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坚持数字经济赋能发展……………………</w:t>
      </w:r>
      <w:r>
        <w:rPr>
          <w:rFonts w:hint="eastAsia" w:ascii="Times New Roman" w:hAnsi="Times New Roman" w:eastAsia="仿宋_GB2312" w:cs="仿宋_GB2312"/>
          <w:snapToGrid w:val="0"/>
        </w:rPr>
        <w:t>28</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重点培育四大主导产业……………………</w:t>
      </w:r>
      <w:r>
        <w:rPr>
          <w:rFonts w:hint="eastAsia" w:ascii="Times New Roman" w:hAnsi="Times New Roman" w:eastAsia="仿宋_GB2312" w:cs="仿宋_GB2312"/>
          <w:snapToGrid w:val="0"/>
        </w:rPr>
        <w:t>29</w:t>
      </w:r>
      <w:r>
        <w:rPr>
          <w:rFonts w:hint="eastAsia" w:ascii="仿宋_GB2312" w:hAnsi="仿宋_GB2312" w:eastAsia="仿宋_GB2312" w:cs="仿宋_GB2312"/>
          <w:snapToGrid w:val="0"/>
        </w:rPr>
        <w:t xml:space="preserve"> </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第三节  巩固提升传统优势产业……………………</w:t>
      </w:r>
      <w:r>
        <w:rPr>
          <w:rFonts w:hint="eastAsia" w:ascii="Times New Roman" w:hAnsi="Times New Roman" w:eastAsia="仿宋_GB2312" w:cs="仿宋_GB2312"/>
          <w:snapToGrid w:val="0"/>
        </w:rPr>
        <w:t>31</w:t>
      </w:r>
      <w:r>
        <w:rPr>
          <w:rFonts w:hint="eastAsia" w:ascii="仿宋_GB2312" w:hAnsi="仿宋_GB2312" w:eastAsia="仿宋_GB2312" w:cs="仿宋_GB2312"/>
          <w:snapToGrid w:val="0"/>
        </w:rPr>
        <w:t xml:space="preserve"> </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第四节  大力发展新兴成长产业……………………</w:t>
      </w:r>
      <w:r>
        <w:rPr>
          <w:rFonts w:hint="eastAsia" w:ascii="Times New Roman" w:hAnsi="Times New Roman" w:eastAsia="仿宋_GB2312" w:cs="仿宋_GB2312"/>
          <w:snapToGrid w:val="0"/>
        </w:rPr>
        <w:t>33</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第五节  打造高品质服务业商圈……………………</w:t>
      </w:r>
      <w:r>
        <w:rPr>
          <w:rFonts w:hint="eastAsia" w:ascii="Times New Roman" w:hAnsi="Times New Roman" w:eastAsia="仿宋_GB2312" w:cs="仿宋_GB2312"/>
          <w:snapToGrid w:val="0"/>
        </w:rPr>
        <w:t>34</w:t>
      </w:r>
    </w:p>
    <w:p>
      <w:pPr>
        <w:widowControl w:val="0"/>
        <w:adjustRightInd w:val="0"/>
        <w:snapToGrid w:val="0"/>
        <w:spacing w:after="0" w:line="660" w:lineRule="exact"/>
        <w:jc w:val="distribute"/>
        <w:rPr>
          <w:rFonts w:ascii="仿宋_GB2312" w:hAnsi="仿宋_GB2312" w:eastAsia="仿宋_GB2312" w:cs="仿宋_GB2312"/>
          <w:b/>
          <w:bCs/>
          <w:snapToGrid w:val="0"/>
        </w:rPr>
      </w:pPr>
      <w:r>
        <w:rPr>
          <w:rFonts w:hint="eastAsia" w:ascii="仿宋_GB2312" w:hAnsi="仿宋_GB2312" w:eastAsia="仿宋_GB2312" w:cs="仿宋_GB2312"/>
          <w:b/>
          <w:bCs/>
          <w:snapToGrid w:val="0"/>
        </w:rPr>
        <w:t>第六章  提升城区承载能级，展示中心城区宜居新形象…</w:t>
      </w:r>
      <w:r>
        <w:rPr>
          <w:rFonts w:hint="eastAsia" w:ascii="Times New Roman" w:hAnsi="Times New Roman" w:eastAsia="仿宋_GB2312" w:cs="仿宋_GB2312"/>
          <w:snapToGrid w:val="0"/>
        </w:rPr>
        <w:t>35</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高标准打造双创宜居示范区………………</w:t>
      </w:r>
      <w:r>
        <w:rPr>
          <w:rFonts w:hint="eastAsia" w:ascii="Times New Roman" w:hAnsi="Times New Roman" w:eastAsia="仿宋_GB2312" w:cs="仿宋_GB2312"/>
          <w:snapToGrid w:val="0"/>
        </w:rPr>
        <w:t>36</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积极稳妥推进城区改造提升………………</w:t>
      </w:r>
      <w:r>
        <w:rPr>
          <w:rFonts w:hint="eastAsia" w:ascii="Times New Roman" w:hAnsi="Times New Roman" w:eastAsia="仿宋_GB2312" w:cs="仿宋_GB2312"/>
          <w:snapToGrid w:val="0"/>
        </w:rPr>
        <w:t>36</w:t>
      </w:r>
      <w:r>
        <w:rPr>
          <w:rFonts w:hint="eastAsia" w:ascii="仿宋_GB2312" w:hAnsi="仿宋_GB2312" w:eastAsia="仿宋_GB2312" w:cs="仿宋_GB2312"/>
          <w:snapToGrid w:val="0"/>
        </w:rPr>
        <w:t xml:space="preserve"> </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第三节  提升城区综合承载能力……………………</w:t>
      </w:r>
      <w:r>
        <w:rPr>
          <w:rFonts w:hint="eastAsia" w:ascii="Times New Roman" w:hAnsi="Times New Roman" w:eastAsia="仿宋_GB2312" w:cs="仿宋_GB2312"/>
          <w:snapToGrid w:val="0"/>
        </w:rPr>
        <w:t>38</w:t>
      </w:r>
    </w:p>
    <w:p>
      <w:pPr>
        <w:widowControl w:val="0"/>
        <w:adjustRightInd w:val="0"/>
        <w:snapToGrid w:val="0"/>
        <w:spacing w:after="0" w:line="660" w:lineRule="exact"/>
        <w:jc w:val="distribute"/>
        <w:rPr>
          <w:rFonts w:ascii="仿宋_GB2312" w:hAnsi="仿宋_GB2312" w:eastAsia="仿宋_GB2312" w:cs="仿宋_GB2312"/>
          <w:b/>
          <w:bCs/>
          <w:snapToGrid w:val="0"/>
        </w:rPr>
      </w:pPr>
      <w:r>
        <w:rPr>
          <w:rFonts w:hint="eastAsia" w:ascii="仿宋_GB2312" w:hAnsi="仿宋_GB2312" w:eastAsia="仿宋_GB2312" w:cs="仿宋_GB2312"/>
          <w:b/>
          <w:bCs/>
          <w:snapToGrid w:val="0"/>
        </w:rPr>
        <w:t>第七章  坚持绿色发展理念，再上生态环境保护质量新台阶</w:t>
      </w:r>
      <w:r>
        <w:rPr>
          <w:rFonts w:ascii="仿宋_GB2312" w:hAnsi="仿宋_GB2312" w:eastAsia="仿宋_GB2312" w:cs="仿宋_GB2312"/>
          <w:b/>
          <w:bCs/>
          <w:snapToGrid w:val="0"/>
        </w:rPr>
        <w:t>…</w:t>
      </w:r>
      <w:r>
        <w:rPr>
          <w:rFonts w:hint="eastAsia" w:ascii="Times New Roman" w:hAnsi="Times New Roman" w:eastAsia="仿宋_GB2312" w:cs="仿宋_GB2312"/>
          <w:snapToGrid w:val="0"/>
        </w:rPr>
        <w:t>41</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持续加强生态环境治理……………………</w:t>
      </w:r>
      <w:r>
        <w:rPr>
          <w:rFonts w:hint="eastAsia" w:ascii="Times New Roman" w:hAnsi="Times New Roman" w:eastAsia="仿宋_GB2312" w:cs="仿宋_GB2312"/>
          <w:snapToGrid w:val="0"/>
        </w:rPr>
        <w:t>41</w:t>
      </w:r>
      <w:r>
        <w:rPr>
          <w:rFonts w:hint="eastAsia" w:ascii="仿宋_GB2312" w:hAnsi="仿宋_GB2312" w:eastAsia="仿宋_GB2312" w:cs="仿宋_GB2312"/>
          <w:snapToGrid w:val="0"/>
        </w:rPr>
        <w:t xml:space="preserve"> </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加强生态系统建设保护……………………</w:t>
      </w:r>
      <w:r>
        <w:rPr>
          <w:rFonts w:hint="eastAsia" w:ascii="Times New Roman" w:hAnsi="Times New Roman" w:eastAsia="仿宋_GB2312" w:cs="仿宋_GB2312"/>
          <w:snapToGrid w:val="0"/>
        </w:rPr>
        <w:t>42</w:t>
      </w:r>
      <w:r>
        <w:rPr>
          <w:rFonts w:hint="eastAsia" w:ascii="仿宋_GB2312" w:hAnsi="仿宋_GB2312" w:eastAsia="仿宋_GB2312" w:cs="仿宋_GB2312"/>
          <w:snapToGrid w:val="0"/>
        </w:rPr>
        <w:t xml:space="preserve"> </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第三节  积极践行绿色发展方式……………………</w:t>
      </w:r>
      <w:r>
        <w:rPr>
          <w:rFonts w:hint="eastAsia" w:ascii="Times New Roman" w:hAnsi="Times New Roman" w:eastAsia="仿宋_GB2312" w:cs="仿宋_GB2312"/>
          <w:snapToGrid w:val="0"/>
        </w:rPr>
        <w:t>44</w:t>
      </w:r>
      <w:r>
        <w:rPr>
          <w:rFonts w:hint="eastAsia" w:ascii="仿宋_GB2312" w:hAnsi="仿宋_GB2312" w:eastAsia="仿宋_GB2312" w:cs="仿宋_GB2312"/>
          <w:snapToGrid w:val="0"/>
        </w:rPr>
        <w:t xml:space="preserve"> </w:t>
      </w:r>
    </w:p>
    <w:p>
      <w:pPr>
        <w:widowControl w:val="0"/>
        <w:adjustRightInd w:val="0"/>
        <w:snapToGrid w:val="0"/>
        <w:spacing w:after="0" w:line="660" w:lineRule="exact"/>
        <w:ind w:left="680" w:left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第四节  健全现代生态文明治理体系………………</w:t>
      </w:r>
      <w:r>
        <w:rPr>
          <w:rFonts w:hint="eastAsia" w:ascii="Times New Roman" w:hAnsi="Times New Roman" w:eastAsia="仿宋_GB2312" w:cs="仿宋_GB2312"/>
          <w:snapToGrid w:val="0"/>
        </w:rPr>
        <w:t>46</w:t>
      </w:r>
    </w:p>
    <w:p>
      <w:pPr>
        <w:widowControl w:val="0"/>
        <w:adjustRightInd w:val="0"/>
        <w:snapToGrid w:val="0"/>
        <w:spacing w:after="0" w:line="660" w:lineRule="exact"/>
        <w:jc w:val="distribute"/>
        <w:rPr>
          <w:rFonts w:ascii="仿宋_GB2312" w:hAnsi="仿宋_GB2312" w:eastAsia="仿宋_GB2312" w:cs="仿宋_GB2312"/>
          <w:snapToGrid w:val="0"/>
        </w:rPr>
      </w:pPr>
      <w:r>
        <w:rPr>
          <w:rFonts w:hint="eastAsia" w:ascii="仿宋_GB2312" w:hAnsi="仿宋_GB2312" w:eastAsia="仿宋_GB2312" w:cs="仿宋_GB2312"/>
          <w:b/>
          <w:bCs/>
          <w:snapToGrid w:val="0"/>
        </w:rPr>
        <w:t>第八章  深入推进改革开放，激发对内对外发展新活力</w:t>
      </w:r>
      <w:r>
        <w:rPr>
          <w:rFonts w:ascii="仿宋_GB2312" w:hAnsi="仿宋_GB2312" w:eastAsia="仿宋_GB2312" w:cs="仿宋_GB2312"/>
          <w:b/>
          <w:bCs/>
          <w:snapToGrid w:val="0"/>
        </w:rPr>
        <w:t>…</w:t>
      </w:r>
      <w:r>
        <w:rPr>
          <w:rFonts w:hint="eastAsia" w:ascii="Times New Roman" w:hAnsi="Times New Roman" w:eastAsia="仿宋_GB2312" w:cs="仿宋_GB2312"/>
          <w:snapToGrid w:val="0"/>
        </w:rPr>
        <w:t>48</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加快城乡融合发展试验区改革……………</w:t>
      </w:r>
      <w:r>
        <w:rPr>
          <w:rFonts w:hint="eastAsia" w:ascii="Times New Roman" w:hAnsi="Times New Roman" w:eastAsia="仿宋_GB2312" w:cs="仿宋_GB2312"/>
          <w:snapToGrid w:val="0"/>
        </w:rPr>
        <w:t>48</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持续优化营商环境…………………………</w:t>
      </w:r>
      <w:r>
        <w:rPr>
          <w:rFonts w:hint="eastAsia" w:ascii="Times New Roman" w:hAnsi="Times New Roman" w:eastAsia="仿宋_GB2312" w:cs="仿宋_GB2312"/>
          <w:snapToGrid w:val="0"/>
        </w:rPr>
        <w:t>48</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第三节  以开放促发展………………………………</w:t>
      </w:r>
      <w:r>
        <w:rPr>
          <w:rFonts w:hint="eastAsia" w:ascii="Times New Roman" w:hAnsi="Times New Roman" w:eastAsia="仿宋_GB2312" w:cs="仿宋_GB2312"/>
          <w:snapToGrid w:val="0"/>
        </w:rPr>
        <w:t>49</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第四节  创新投融资机制……………………………</w:t>
      </w:r>
      <w:r>
        <w:rPr>
          <w:rFonts w:hint="eastAsia" w:ascii="Times New Roman" w:hAnsi="Times New Roman" w:eastAsia="仿宋_GB2312" w:cs="仿宋_GB2312"/>
          <w:snapToGrid w:val="0"/>
        </w:rPr>
        <w:t>50</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第五节  扩内需促消费………………………………</w:t>
      </w:r>
      <w:r>
        <w:rPr>
          <w:rFonts w:hint="eastAsia" w:ascii="Times New Roman" w:hAnsi="Times New Roman" w:eastAsia="仿宋_GB2312" w:cs="仿宋_GB2312"/>
          <w:snapToGrid w:val="0"/>
        </w:rPr>
        <w:t>51</w:t>
      </w:r>
    </w:p>
    <w:p>
      <w:pPr>
        <w:widowControl w:val="0"/>
        <w:adjustRightInd w:val="0"/>
        <w:snapToGrid w:val="0"/>
        <w:spacing w:after="0" w:line="660" w:lineRule="exact"/>
        <w:jc w:val="both"/>
        <w:rPr>
          <w:rFonts w:ascii="仿宋_GB2312" w:hAnsi="仿宋_GB2312" w:eastAsia="仿宋_GB2312" w:cs="仿宋_GB2312"/>
          <w:snapToGrid w:val="0"/>
        </w:rPr>
      </w:pPr>
      <w:r>
        <w:rPr>
          <w:rFonts w:hint="eastAsia" w:ascii="仿宋_GB2312" w:hAnsi="仿宋_GB2312" w:eastAsia="仿宋_GB2312" w:cs="仿宋_GB2312"/>
          <w:b/>
          <w:bCs/>
          <w:snapToGrid w:val="0"/>
        </w:rPr>
        <w:t>第九章  改善人民生活质量，实现人民幸福感获得感新提升</w:t>
      </w:r>
      <w:r>
        <w:rPr>
          <w:rFonts w:hint="eastAsia" w:ascii="仿宋_GB2312" w:hAnsi="仿宋_GB2312" w:eastAsia="仿宋_GB2312" w:cs="仿宋_GB2312"/>
          <w:b/>
          <w:bCs/>
          <w:snapToGrid w:val="0"/>
        </w:rPr>
        <w:tab/>
      </w:r>
      <w:r>
        <w:rPr>
          <w:rFonts w:ascii="仿宋_GB2312" w:hAnsi="仿宋_GB2312" w:eastAsia="仿宋_GB2312" w:cs="仿宋_GB2312"/>
          <w:b/>
          <w:bCs/>
          <w:snapToGrid w:val="0"/>
        </w:rPr>
        <w:t>…</w:t>
      </w:r>
      <w:r>
        <w:rPr>
          <w:rFonts w:hint="eastAsia" w:ascii="Times New Roman" w:hAnsi="Times New Roman" w:eastAsia="仿宋_GB2312" w:cs="仿宋_GB2312"/>
          <w:snapToGrid w:val="0"/>
        </w:rPr>
        <w:t>53</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推进更高质量充分就业……………………</w:t>
      </w:r>
      <w:r>
        <w:rPr>
          <w:rFonts w:hint="eastAsia" w:ascii="Times New Roman" w:hAnsi="Times New Roman" w:eastAsia="仿宋_GB2312" w:cs="仿宋_GB2312"/>
          <w:snapToGrid w:val="0"/>
        </w:rPr>
        <w:t>53</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加快推进魏都教育现代化…………………</w:t>
      </w:r>
      <w:r>
        <w:rPr>
          <w:rFonts w:hint="eastAsia" w:ascii="Times New Roman" w:hAnsi="Times New Roman" w:eastAsia="仿宋_GB2312" w:cs="仿宋_GB2312"/>
          <w:snapToGrid w:val="0"/>
        </w:rPr>
        <w:t>53</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第三节  建设健康新魏都……………………………</w:t>
      </w:r>
      <w:r>
        <w:rPr>
          <w:rFonts w:hint="eastAsia" w:ascii="Times New Roman" w:hAnsi="Times New Roman" w:eastAsia="仿宋_GB2312" w:cs="仿宋_GB2312"/>
          <w:snapToGrid w:val="0"/>
        </w:rPr>
        <w:t>54</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第四节  建成现代化养老体系………………………</w:t>
      </w:r>
      <w:r>
        <w:rPr>
          <w:rFonts w:hint="eastAsia" w:ascii="Times New Roman" w:hAnsi="Times New Roman" w:eastAsia="仿宋_GB2312" w:cs="仿宋_GB2312"/>
          <w:snapToGrid w:val="0"/>
        </w:rPr>
        <w:t>55</w:t>
      </w:r>
      <w:r>
        <w:rPr>
          <w:rFonts w:hint="eastAsia" w:ascii="仿宋_GB2312" w:hAnsi="仿宋_GB2312" w:eastAsia="仿宋_GB2312" w:cs="仿宋_GB2312"/>
          <w:snapToGrid w:val="0"/>
        </w:rPr>
        <w:t xml:space="preserve"> </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第五节  完善覆盖全民的社会保障体系……………</w:t>
      </w:r>
      <w:r>
        <w:rPr>
          <w:rFonts w:hint="eastAsia" w:ascii="Times New Roman" w:hAnsi="Times New Roman" w:eastAsia="仿宋_GB2312" w:cs="仿宋_GB2312"/>
          <w:snapToGrid w:val="0"/>
        </w:rPr>
        <w:t>56</w:t>
      </w:r>
      <w:r>
        <w:rPr>
          <w:rFonts w:hint="eastAsia" w:ascii="仿宋_GB2312" w:hAnsi="仿宋_GB2312" w:eastAsia="仿宋_GB2312" w:cs="仿宋_GB2312"/>
          <w:snapToGrid w:val="0"/>
        </w:rPr>
        <w:t xml:space="preserve"> </w:t>
      </w:r>
    </w:p>
    <w:p>
      <w:pPr>
        <w:widowControl w:val="0"/>
        <w:adjustRightInd w:val="0"/>
        <w:snapToGrid w:val="0"/>
        <w:spacing w:after="0" w:line="660" w:lineRule="exact"/>
        <w:jc w:val="distribute"/>
        <w:rPr>
          <w:rFonts w:ascii="仿宋_GB2312" w:hAnsi="仿宋_GB2312" w:eastAsia="仿宋_GB2312" w:cs="仿宋_GB2312"/>
          <w:b/>
          <w:bCs/>
          <w:snapToGrid w:val="0"/>
        </w:rPr>
      </w:pPr>
      <w:r>
        <w:rPr>
          <w:rFonts w:hint="eastAsia" w:ascii="仿宋_GB2312" w:hAnsi="仿宋_GB2312" w:eastAsia="仿宋_GB2312" w:cs="仿宋_GB2312"/>
          <w:b/>
          <w:bCs/>
          <w:snapToGrid w:val="0"/>
        </w:rPr>
        <w:t>第十章  统筹做好发展和安全，构建现代社会治理新格局</w:t>
      </w:r>
      <w:r>
        <w:rPr>
          <w:rFonts w:ascii="仿宋_GB2312" w:hAnsi="仿宋_GB2312" w:eastAsia="仿宋_GB2312" w:cs="仿宋_GB2312"/>
          <w:b/>
          <w:bCs/>
          <w:snapToGrid w:val="0"/>
        </w:rPr>
        <w:t>…</w:t>
      </w:r>
      <w:r>
        <w:rPr>
          <w:rFonts w:hint="eastAsia" w:ascii="Times New Roman" w:hAnsi="Times New Roman" w:eastAsia="仿宋_GB2312" w:cs="仿宋_GB2312"/>
          <w:snapToGrid w:val="0"/>
        </w:rPr>
        <w:t>58</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全面推进法治建设…………………………</w:t>
      </w:r>
      <w:r>
        <w:rPr>
          <w:rFonts w:hint="eastAsia" w:ascii="Times New Roman" w:hAnsi="Times New Roman" w:eastAsia="仿宋_GB2312" w:cs="仿宋_GB2312"/>
          <w:snapToGrid w:val="0"/>
        </w:rPr>
        <w:t>58</w:t>
      </w:r>
      <w:r>
        <w:rPr>
          <w:rFonts w:hint="eastAsia" w:ascii="仿宋_GB2312" w:hAnsi="仿宋_GB2312" w:eastAsia="仿宋_GB2312" w:cs="仿宋_GB2312"/>
          <w:snapToGrid w:val="0"/>
        </w:rPr>
        <w:t xml:space="preserve"> </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加强社会治理创新…………………………</w:t>
      </w:r>
      <w:r>
        <w:rPr>
          <w:rFonts w:hint="eastAsia" w:ascii="Times New Roman" w:hAnsi="Times New Roman" w:eastAsia="仿宋_GB2312" w:cs="仿宋_GB2312"/>
          <w:snapToGrid w:val="0"/>
        </w:rPr>
        <w:t>58</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第三节  维护社会大局稳定…………………………</w:t>
      </w:r>
      <w:r>
        <w:rPr>
          <w:rFonts w:hint="eastAsia" w:ascii="Times New Roman" w:hAnsi="Times New Roman" w:eastAsia="仿宋_GB2312" w:cs="仿宋_GB2312"/>
          <w:snapToGrid w:val="0"/>
        </w:rPr>
        <w:t>59</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第四节  筑牢安全发展防线…………………………</w:t>
      </w:r>
      <w:r>
        <w:rPr>
          <w:rFonts w:hint="eastAsia" w:ascii="Times New Roman" w:hAnsi="Times New Roman" w:eastAsia="仿宋_GB2312" w:cs="仿宋_GB2312"/>
          <w:snapToGrid w:val="0"/>
        </w:rPr>
        <w:t>60</w:t>
      </w:r>
    </w:p>
    <w:p>
      <w:pPr>
        <w:widowControl w:val="0"/>
        <w:adjustRightInd w:val="0"/>
        <w:snapToGrid w:val="0"/>
        <w:spacing w:after="0" w:line="660" w:lineRule="exact"/>
        <w:jc w:val="distribute"/>
        <w:rPr>
          <w:rFonts w:ascii="仿宋_GB2312" w:hAnsi="仿宋_GB2312" w:eastAsia="仿宋_GB2312" w:cs="仿宋_GB2312"/>
          <w:b/>
          <w:bCs/>
          <w:snapToGrid w:val="0"/>
        </w:rPr>
      </w:pPr>
      <w:r>
        <w:rPr>
          <w:rFonts w:hint="eastAsia" w:ascii="仿宋_GB2312" w:hAnsi="仿宋_GB2312" w:eastAsia="仿宋_GB2312" w:cs="仿宋_GB2312"/>
          <w:b/>
          <w:bCs/>
          <w:snapToGrid w:val="0"/>
        </w:rPr>
        <w:t xml:space="preserve">第十一章  强化规划实施保障，为实现“十四五”规划提供 </w:t>
      </w:r>
    </w:p>
    <w:p>
      <w:pPr>
        <w:widowControl w:val="0"/>
        <w:adjustRightInd w:val="0"/>
        <w:snapToGrid w:val="0"/>
        <w:spacing w:after="0" w:line="660" w:lineRule="exact"/>
        <w:jc w:val="distribute"/>
        <w:rPr>
          <w:rFonts w:ascii="仿宋_GB2312" w:hAnsi="仿宋_GB2312" w:eastAsia="仿宋_GB2312" w:cs="仿宋_GB2312"/>
          <w:b/>
          <w:bCs/>
          <w:snapToGrid w:val="0"/>
        </w:rPr>
      </w:pPr>
      <w:r>
        <w:rPr>
          <w:rFonts w:hint="eastAsia" w:ascii="仿宋_GB2312" w:hAnsi="仿宋_GB2312" w:eastAsia="仿宋_GB2312" w:cs="仿宋_GB2312"/>
          <w:b/>
          <w:bCs/>
          <w:snapToGrid w:val="0"/>
        </w:rPr>
        <w:t xml:space="preserve">           坚强保障………………………………………</w:t>
      </w:r>
      <w:r>
        <w:rPr>
          <w:rFonts w:hint="eastAsia" w:ascii="Times New Roman" w:hAnsi="Times New Roman" w:eastAsia="仿宋_GB2312" w:cs="仿宋_GB2312"/>
          <w:snapToGrid w:val="0"/>
        </w:rPr>
        <w:t>62</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第一节  提高党领导发展的能力水平………………</w:t>
      </w:r>
      <w:r>
        <w:rPr>
          <w:rFonts w:hint="eastAsia" w:ascii="Times New Roman" w:hAnsi="Times New Roman" w:eastAsia="仿宋_GB2312" w:cs="仿宋_GB2312"/>
          <w:snapToGrid w:val="0"/>
        </w:rPr>
        <w:t>62</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第二节  营造风清气正政治生态……………………</w:t>
      </w:r>
      <w:r>
        <w:rPr>
          <w:rFonts w:hint="eastAsia" w:ascii="Times New Roman" w:hAnsi="Times New Roman" w:eastAsia="仿宋_GB2312" w:cs="仿宋_GB2312"/>
          <w:snapToGrid w:val="0"/>
        </w:rPr>
        <w:t>62</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第三节  广泛凝聚各方智慧力量……………………</w:t>
      </w:r>
      <w:r>
        <w:rPr>
          <w:rFonts w:hint="eastAsia" w:ascii="Times New Roman" w:hAnsi="Times New Roman" w:eastAsia="仿宋_GB2312" w:cs="仿宋_GB2312"/>
          <w:snapToGrid w:val="0"/>
        </w:rPr>
        <w:t>63</w:t>
      </w:r>
      <w:r>
        <w:rPr>
          <w:rFonts w:hint="eastAsia" w:ascii="仿宋_GB2312" w:hAnsi="仿宋_GB2312" w:eastAsia="仿宋_GB2312" w:cs="仿宋_GB2312"/>
          <w:snapToGrid w:val="0"/>
        </w:rPr>
        <w:t xml:space="preserve"> </w:t>
      </w:r>
    </w:p>
    <w:p>
      <w:pPr>
        <w:widowControl w:val="0"/>
        <w:adjustRightInd w:val="0"/>
        <w:snapToGrid w:val="0"/>
        <w:spacing w:after="0" w:line="660" w:lineRule="exact"/>
        <w:ind w:firstLine="680" w:firstLineChars="200"/>
        <w:jc w:val="distribute"/>
        <w:rPr>
          <w:rFonts w:ascii="仿宋_GB2312" w:hAnsi="仿宋_GB2312" w:eastAsia="仿宋_GB2312" w:cs="仿宋_GB2312"/>
          <w:snapToGrid w:val="0"/>
        </w:rPr>
      </w:pPr>
      <w:r>
        <w:rPr>
          <w:rFonts w:hint="eastAsia" w:ascii="仿宋_GB2312" w:hAnsi="仿宋_GB2312" w:eastAsia="仿宋_GB2312" w:cs="仿宋_GB2312"/>
          <w:snapToGrid w:val="0"/>
        </w:rPr>
        <w:t>第四节  确保“十四五”规划目标任务落实…………</w:t>
      </w:r>
      <w:r>
        <w:rPr>
          <w:rFonts w:hint="eastAsia" w:ascii="Times New Roman" w:hAnsi="Times New Roman" w:eastAsia="仿宋_GB2312" w:cs="仿宋_GB2312"/>
          <w:snapToGrid w:val="0"/>
        </w:rPr>
        <w:t>63</w:t>
      </w: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sectPr>
          <w:footerReference r:id="rId12" w:type="default"/>
          <w:pgSz w:w="11906" w:h="16838"/>
          <w:pgMar w:top="1587" w:right="1417" w:bottom="1587" w:left="1417" w:header="851" w:footer="992" w:gutter="0"/>
          <w:pgNumType w:fmt="numberInDash"/>
          <w:cols w:space="0" w:num="1"/>
          <w:titlePg/>
          <w:docGrid w:type="linesAndChars" w:linePitch="595" w:charSpace="4127"/>
        </w:sectPr>
      </w:pPr>
    </w:p>
    <w:p>
      <w:pPr>
        <w:pStyle w:val="4"/>
        <w:keepNext w:val="0"/>
        <w:keepLines w:val="0"/>
        <w:widowControl w:val="0"/>
        <w:adjustRightInd w:val="0"/>
        <w:snapToGrid w:val="0"/>
        <w:spacing w:after="0" w:line="600" w:lineRule="exact"/>
      </w:pPr>
      <w:bookmarkStart w:id="1" w:name="_Toc13512"/>
      <w:r>
        <w:t xml:space="preserve">第一章 </w:t>
      </w:r>
      <w:r>
        <w:rPr>
          <w:rFonts w:hint="eastAsia"/>
        </w:rPr>
        <w:t xml:space="preserve"> </w:t>
      </w:r>
      <w:r>
        <w:t>全面建成小康社会，开启全面建设</w:t>
      </w:r>
      <w:bookmarkEnd w:id="1"/>
    </w:p>
    <w:p>
      <w:pPr>
        <w:pStyle w:val="4"/>
        <w:keepNext w:val="0"/>
        <w:keepLines w:val="0"/>
        <w:widowControl w:val="0"/>
        <w:adjustRightInd w:val="0"/>
        <w:snapToGrid w:val="0"/>
        <w:spacing w:after="0" w:line="600" w:lineRule="exact"/>
      </w:pPr>
      <w:bookmarkStart w:id="2" w:name="_Toc27151"/>
      <w:r>
        <w:t>社会主义现代化魏都新征程</w:t>
      </w:r>
      <w:bookmarkEnd w:id="0"/>
      <w:bookmarkEnd w:id="2"/>
    </w:p>
    <w:p>
      <w:pPr>
        <w:widowControl w:val="0"/>
        <w:overflowPunct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p>
    <w:p>
      <w:pPr>
        <w:widowControl w:val="0"/>
        <w:overflowPunct w:val="0"/>
        <w:adjustRightInd w:val="0"/>
        <w:snapToGrid w:val="0"/>
        <w:spacing w:after="0" w:line="560" w:lineRule="exact"/>
        <w:ind w:firstLine="680" w:firstLineChars="200"/>
        <w:jc w:val="both"/>
        <w:rPr>
          <w:rFonts w:ascii="Times New Roman" w:hAnsi="Times New Roman" w:eastAsia="仿宋_GB2312"/>
          <w:color w:val="000000" w:themeColor="text1"/>
          <w:kern w:val="2"/>
          <w:szCs w:val="32"/>
          <w14:textFill>
            <w14:solidFill>
              <w14:schemeClr w14:val="tx1"/>
            </w14:solidFill>
          </w14:textFill>
        </w:rPr>
      </w:pP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十四五</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时期是我国全面建成小康社会、实现第一个百年奋斗目标之后，乘势而上开启全面建设社会主义现代化国家新征程、向第二个百年奋斗目标进军的第一个五年，也是我区加快推进产业兴区、创新强区、富民安区，建设现代化魏都的关键时期。</w:t>
      </w:r>
      <w:r>
        <w:rPr>
          <w:rFonts w:ascii="Times New Roman" w:hAnsi="Times New Roman" w:eastAsia="仿宋_GB2312"/>
          <w:color w:val="000000" w:themeColor="text1"/>
          <w:kern w:val="2"/>
          <w:szCs w:val="32"/>
          <w14:textFill>
            <w14:solidFill>
              <w14:schemeClr w14:val="tx1"/>
            </w14:solidFill>
          </w14:textFill>
        </w:rPr>
        <w:t>以习近平新时代中国特色社会主义思想为指导，全面总结魏都区</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十三五</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工作成就和存在的问题，分析研判发展环境和支撑条件的深刻变化，准确把握发展趋势和阶段性特征，对于巩固全面建成小康社会成果，开启</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十四五</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时期社</w:t>
      </w:r>
      <w:r>
        <w:rPr>
          <w:rFonts w:ascii="Times New Roman" w:hAnsi="Times New Roman" w:eastAsia="仿宋_GB2312"/>
          <w:color w:val="000000" w:themeColor="text1"/>
          <w:spacing w:val="-19"/>
          <w:kern w:val="2"/>
          <w:szCs w:val="32"/>
          <w14:textFill>
            <w14:solidFill>
              <w14:schemeClr w14:val="tx1"/>
            </w14:solidFill>
          </w14:textFill>
        </w:rPr>
        <w:t>会主义现代化新征程，具有重大的现实意义和深远的历史意义。</w:t>
      </w:r>
    </w:p>
    <w:p>
      <w:pPr>
        <w:pStyle w:val="5"/>
        <w:keepNext w:val="0"/>
        <w:keepLines w:val="0"/>
        <w:widowControl w:val="0"/>
        <w:adjustRightInd w:val="0"/>
        <w:snapToGrid w:val="0"/>
        <w:spacing w:before="297" w:beforeLines="50" w:after="297" w:afterLines="50" w:line="560" w:lineRule="exact"/>
        <w:ind w:firstLine="680"/>
      </w:pPr>
      <w:bookmarkStart w:id="3" w:name="_Toc9549"/>
      <w:bookmarkStart w:id="4" w:name="_Toc10851"/>
      <w:bookmarkStart w:id="5" w:name="_Toc20378"/>
      <w:r>
        <w:t>第一</w:t>
      </w:r>
      <w:bookmarkStart w:id="6" w:name="_Toc19362"/>
      <w:r>
        <w:t>节　决胜全面建成小康社会取得决定性成就</w:t>
      </w:r>
      <w:bookmarkEnd w:id="3"/>
      <w:bookmarkEnd w:id="4"/>
      <w:bookmarkEnd w:id="5"/>
      <w:bookmarkEnd w:id="6"/>
    </w:p>
    <w:p>
      <w:pPr>
        <w:widowControl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十三五</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时期，</w:t>
      </w:r>
      <w:r>
        <w:rPr>
          <w:rFonts w:ascii="Times New Roman" w:hAnsi="Times New Roman" w:eastAsia="仿宋_GB2312"/>
          <w:color w:val="000000" w:themeColor="text1"/>
          <w:szCs w:val="32"/>
          <w14:textFill>
            <w14:solidFill>
              <w14:schemeClr w14:val="tx1"/>
            </w14:solidFill>
          </w14:textFill>
        </w:rPr>
        <w:t>面对错综复杂的国际国内环境、艰巨繁重的改革发展任务和历史罕见的新冠肺炎疫情严重冲击，</w:t>
      </w:r>
      <w:r>
        <w:rPr>
          <w:rFonts w:ascii="Times New Roman" w:hAnsi="Times New Roman" w:eastAsia="仿宋_GB2312"/>
          <w:color w:val="000000" w:themeColor="text1"/>
          <w:kern w:val="2"/>
          <w:szCs w:val="32"/>
          <w14:textFill>
            <w14:solidFill>
              <w14:schemeClr w14:val="tx1"/>
            </w14:solidFill>
          </w14:textFill>
        </w:rPr>
        <w:t>全区上下坚持以习近平新时代中国特色社会主义思想为指导，贯彻落实中央决策部署和省、市党委政府各项安排部署，统筹稳增长、促改革、调结构、惠民生、防风险、保稳定，经济和社会发展再上新台阶，总体完成</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十三五</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规划目标任务，如期实现全面建成小康社会，</w:t>
      </w:r>
      <w:r>
        <w:rPr>
          <w:rFonts w:ascii="Times New Roman" w:hAnsi="Times New Roman" w:eastAsia="仿宋_GB2312"/>
          <w:bCs/>
          <w:color w:val="000000" w:themeColor="text1"/>
          <w:szCs w:val="32"/>
          <w14:textFill>
            <w14:solidFill>
              <w14:schemeClr w14:val="tx1"/>
            </w14:solidFill>
          </w14:textFill>
        </w:rPr>
        <w:t>为</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十四五</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经济社会高质量发展奠定了坚实基础。</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kern w:val="2"/>
          <w:szCs w:val="32"/>
          <w14:textFill>
            <w14:solidFill>
              <w14:schemeClr w14:val="tx1"/>
            </w14:solidFill>
          </w14:textFill>
        </w:rPr>
        <w:t>综合实力显著提升。</w:t>
      </w:r>
      <w:r>
        <w:rPr>
          <w:rFonts w:ascii="Times New Roman" w:hAnsi="Times New Roman" w:eastAsia="仿宋_GB2312"/>
          <w:color w:val="000000" w:themeColor="text1"/>
          <w:kern w:val="2"/>
          <w:szCs w:val="32"/>
          <w14:textFill>
            <w14:solidFill>
              <w14:schemeClr w14:val="tx1"/>
            </w14:solidFill>
          </w14:textFill>
        </w:rPr>
        <w:t>预计</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十三五</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末全区生产总值达到302亿元，</w:t>
      </w:r>
      <w:r>
        <w:rPr>
          <w:rFonts w:ascii="Times New Roman" w:hAnsi="Times New Roman" w:eastAsia="仿宋_GB2312"/>
          <w:color w:val="000000" w:themeColor="text1"/>
          <w:szCs w:val="32"/>
          <w14:textFill>
            <w14:solidFill>
              <w14:schemeClr w14:val="tx1"/>
            </w14:solidFill>
          </w14:textFill>
        </w:rPr>
        <w:t>年均增长7％，五年新增90亿元</w:t>
      </w:r>
      <w:r>
        <w:rPr>
          <w:rFonts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规模以上工业增加值达到年均增长7.5%；全社会固定资产投资年均增长9%；社会消费品零售总额年均增长7.8%；</w:t>
      </w:r>
      <w:r>
        <w:rPr>
          <w:rFonts w:ascii="Times New Roman" w:hAnsi="Times New Roman" w:eastAsia="仿宋_GB2312"/>
          <w:color w:val="000000" w:themeColor="text1"/>
          <w:kern w:val="2"/>
          <w:szCs w:val="32"/>
          <w14:textFill>
            <w14:solidFill>
              <w14:schemeClr w14:val="tx1"/>
            </w14:solidFill>
          </w14:textFill>
        </w:rPr>
        <w:t>人均国内生产总值达到中上等收入经济体标准；</w:t>
      </w:r>
      <w:r>
        <w:rPr>
          <w:rFonts w:ascii="Times New Roman" w:hAnsi="Times New Roman" w:eastAsia="仿宋_GB2312"/>
          <w:color w:val="000000" w:themeColor="text1"/>
          <w:szCs w:val="32"/>
          <w14:textFill>
            <w14:solidFill>
              <w14:schemeClr w14:val="tx1"/>
            </w14:solidFill>
          </w14:textFill>
        </w:rPr>
        <w:t>一般公共预算收入达到10.18亿元，年均增长15.3%。整体上看，经过</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十三五</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的努力，魏都区的家底更加厚实，经济社会发展站在一个新的更高平台上。</w:t>
      </w:r>
    </w:p>
    <w:p>
      <w:pPr>
        <w:pStyle w:val="3"/>
        <w:widowControl w:val="0"/>
        <w:adjustRightInd w:val="0"/>
        <w:snapToGrid w:val="0"/>
        <w:spacing w:after="0"/>
        <w:ind w:firstLine="683"/>
        <w:rPr>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产业转型步伐稳健。</w:t>
      </w:r>
      <w:r>
        <w:rPr>
          <w:color w:val="000000" w:themeColor="text1"/>
          <w:szCs w:val="32"/>
          <w14:textFill>
            <w14:solidFill>
              <w14:schemeClr w14:val="tx1"/>
            </w14:solidFill>
          </w14:textFill>
        </w:rPr>
        <w:t>大力实施</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513</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工业发展行动计划，工业五大园区建设蹄疾步稳，高端制造、新材料和节能环保等3大主导产业链条不断完善，培育了纪年科技、德通振动、爱彼爱和、中航装备等一批高新技术龙头企业。服务业不断提档升级，胖东来时代广场、曹魏古城等一批现代服务业商圈基本形成，</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魏都区服务业孵化基地</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建成投用。抢抓数字赋能产业经济的重大机遇，大力发展数字经济等新业态、新经济，涌现出了中联即送、中华电气网、中华建筑骨料网等一批互联网平台企业。</w:t>
      </w:r>
    </w:p>
    <w:p>
      <w:pPr>
        <w:widowControl w:val="0"/>
        <w:adjustRightInd w:val="0"/>
        <w:snapToGrid w:val="0"/>
        <w:spacing w:after="0" w:line="560" w:lineRule="exact"/>
        <w:ind w:firstLine="680" w:firstLineChars="200"/>
        <w:rPr>
          <w:rFonts w:ascii="Times New Roman" w:hAnsi="Times New Roman"/>
          <w:color w:val="000000" w:themeColor="text1"/>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科技创新势头强劲。</w:t>
      </w:r>
      <w:r>
        <w:rPr>
          <w:rFonts w:ascii="Times New Roman" w:hAnsi="Times New Roman" w:eastAsia="仿宋_GB2312"/>
          <w:color w:val="000000" w:themeColor="text1"/>
          <w:szCs w:val="32"/>
          <w14:textFill>
            <w14:solidFill>
              <w14:schemeClr w14:val="tx1"/>
            </w14:solidFill>
          </w14:textFill>
        </w:rPr>
        <w:t>北理工阻燃材料研发中心、质量检测中心两个国家级平台落户魏都，一批企业技术中心、公共技术服务平台、院士工作站、新型研发机构加快布局。高新技术产业园被评为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省级科技企业孵化器</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，全区国家级高新技术企业达到20家，科技型中小企业达到68家，省、市级研发平台分别达到7个、15个，创新创业洼地优势显现。</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城区环境更加宜居。</w:t>
      </w:r>
      <w:r>
        <w:rPr>
          <w:rFonts w:ascii="Times New Roman" w:hAnsi="Times New Roman" w:eastAsia="仿宋_GB2312"/>
          <w:color w:val="000000" w:themeColor="text1"/>
          <w:szCs w:val="32"/>
          <w14:textFill>
            <w14:solidFill>
              <w14:schemeClr w14:val="tx1"/>
            </w14:solidFill>
          </w14:textFill>
        </w:rPr>
        <w:t>大力实施百城提质工程，着力补短板、强功能、增效能、提品质，基础设施日趋完善，城市承载能力不断提升。建成区绿地率达到36.35%，绿化覆盖率达到41.26%，清潩河、灞陵河、运粮河达到三类水标准，全区河湖水系呈现</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河畅、水清、岸绿、景美</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水生态景观。启动城区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三纵三横</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路网升级改造和</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四改一增</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城市排水治理，顺利通过国家卫生城市、全国文明城市复审考评验收，成功入选全国新时代文明实践中心建设试点。</w:t>
      </w:r>
    </w:p>
    <w:p>
      <w:pPr>
        <w:widowControl w:val="0"/>
        <w:adjustRightInd w:val="0"/>
        <w:snapToGrid w:val="0"/>
        <w:spacing w:after="0" w:line="560" w:lineRule="exact"/>
        <w:ind w:firstLine="680" w:firstLineChars="200"/>
        <w:jc w:val="both"/>
        <w:rPr>
          <w:rFonts w:ascii="楷体_GB2312" w:hAnsi="楷体_GB2312" w:eastAsia="楷体_GB2312" w:cs="楷体_GB2312"/>
          <w:b/>
          <w:bCs/>
          <w:color w:val="000000" w:themeColor="text1"/>
          <w:kern w:val="2"/>
          <w:szCs w:val="32"/>
          <w14:textFill>
            <w14:solidFill>
              <w14:schemeClr w14:val="tx1"/>
            </w14:solidFill>
          </w14:textFill>
        </w:rPr>
      </w:pPr>
      <w:bookmarkStart w:id="7" w:name="_Hlk47789645"/>
      <w:r>
        <w:rPr>
          <w:rFonts w:ascii="楷体_GB2312" w:hAnsi="楷体_GB2312" w:eastAsia="楷体_GB2312" w:cs="楷体_GB2312"/>
          <w:b/>
          <w:bCs/>
          <w:color w:val="000000" w:themeColor="text1"/>
          <w:kern w:val="2"/>
          <w:szCs w:val="32"/>
          <w14:textFill>
            <w14:solidFill>
              <w14:schemeClr w14:val="tx1"/>
            </w14:solidFill>
          </w14:textFill>
        </w:rPr>
        <w:t>民生民本持续改善。</w:t>
      </w:r>
      <w:r>
        <w:rPr>
          <w:rFonts w:ascii="Times New Roman" w:hAnsi="Times New Roman" w:eastAsia="仿宋_GB2312"/>
          <w:color w:val="000000" w:themeColor="text1"/>
          <w:szCs w:val="32"/>
          <w14:textFill>
            <w14:solidFill>
              <w14:schemeClr w14:val="tx1"/>
            </w14:solidFill>
          </w14:textFill>
        </w:rPr>
        <w:t>坚持公共财力大幅度向民生倾斜，民生支出现已占一般公共预算支出的72%。坚持每年实施民生</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365</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工程，</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15分钟民生服务圈</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日益完善，教育、医疗、养老、社保、综治、安全等各项事业全面发展，荣获</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国家慢性病综合防控示范区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，荣获全省唯一</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全国社区治理和服务创新试验区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，市人民医院获批为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三级甲等</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医院，</w:t>
      </w:r>
      <w:r>
        <w:rPr>
          <w:rFonts w:ascii="Times New Roman" w:hAnsi="Times New Roman" w:eastAsia="仿宋_GB2312"/>
          <w:color w:val="000000" w:themeColor="text1"/>
          <w:kern w:val="2"/>
          <w:szCs w:val="32"/>
          <w14:textFill>
            <w14:solidFill>
              <w14:schemeClr w14:val="tx1"/>
            </w14:solidFill>
          </w14:textFill>
        </w:rPr>
        <w:t>人民群众幸福感、获得感、安全感不断增强。</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kern w:val="2"/>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社会治理卓有成效。</w:t>
      </w:r>
      <w:r>
        <w:rPr>
          <w:rFonts w:ascii="Times New Roman" w:hAnsi="Times New Roman" w:eastAsia="仿宋_GB2312"/>
          <w:color w:val="000000" w:themeColor="text1"/>
          <w:kern w:val="2"/>
          <w:szCs w:val="32"/>
          <w14:textFill>
            <w14:solidFill>
              <w14:schemeClr w14:val="tx1"/>
            </w14:solidFill>
          </w14:textFill>
        </w:rPr>
        <w:t>实施党建</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1369</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工程，构建区、街道、社区、网格四级党建引领社会治理体系，按照</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一有七中心</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建设标准，投入2.2亿全面提升86个社区党建阵地，成立了区委社区工作委员会，作为党委组成部门，统一领导基层党建和政权建设，建立了区、街道、社区三级</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三社联动</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平台，得到了国家、省、市的充分肯定。</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总体上看，</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十三五</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期间全区上下戮力同心，砥砺奋进，苦干实干，取得了有目共睹</w:t>
      </w:r>
      <w:r>
        <w:rPr>
          <w:rFonts w:hint="eastAsia" w:ascii="Times New Roman" w:hAnsi="Times New Roman" w:eastAsia="仿宋_GB2312"/>
          <w:color w:val="000000" w:themeColor="text1"/>
          <w14:textFill>
            <w14:solidFill>
              <w14:schemeClr w14:val="tx1"/>
            </w14:solidFill>
          </w14:textFill>
        </w:rPr>
        <w:t>的</w:t>
      </w:r>
      <w:r>
        <w:rPr>
          <w:rFonts w:ascii="Times New Roman" w:hAnsi="Times New Roman" w:eastAsia="仿宋_GB2312"/>
          <w:color w:val="000000" w:themeColor="text1"/>
          <w14:textFill>
            <w14:solidFill>
              <w14:schemeClr w14:val="tx1"/>
            </w14:solidFill>
          </w14:textFill>
        </w:rPr>
        <w:t>成绩。特别是过去一年，面对突如其来的新冠肺炎疫情，全区人民坚决打好疫情防控的人民战争总体战</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阻击战，抓好防控、激活经济，取得了疫情防控和经济社会发展的</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双胜利</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szCs w:val="32"/>
          <w:lang w:val="en"/>
          <w14:textFill>
            <w14:solidFill>
              <w14:schemeClr w14:val="tx1"/>
            </w14:solidFill>
          </w14:textFill>
        </w:rPr>
        <w:t>实践充分证明，我们走过的路是符合中央精神和省委、市委要求的，是切合我区发展实际的，是顺应广大人民群众期盼的。面向未来，我们</w:t>
      </w:r>
      <w:r>
        <w:rPr>
          <w:rFonts w:ascii="Times New Roman" w:hAnsi="Times New Roman" w:eastAsia="仿宋_GB2312"/>
          <w:color w:val="000000" w:themeColor="text1"/>
          <w:szCs w:val="32"/>
          <w14:textFill>
            <w14:solidFill>
              <w14:schemeClr w14:val="tx1"/>
            </w14:solidFill>
          </w14:textFill>
        </w:rPr>
        <w:t>必须</w:t>
      </w:r>
      <w:r>
        <w:rPr>
          <w:rFonts w:ascii="Times New Roman" w:hAnsi="Times New Roman" w:eastAsia="仿宋_GB2312"/>
          <w:color w:val="000000" w:themeColor="text1"/>
          <w:szCs w:val="32"/>
          <w:lang w:val="en"/>
          <w14:textFill>
            <w14:solidFill>
              <w14:schemeClr w14:val="tx1"/>
            </w14:solidFill>
          </w14:textFill>
        </w:rPr>
        <w:t>坚定新发展理念不动摇，守正创新、继往开来，</w:t>
      </w:r>
      <w:r>
        <w:rPr>
          <w:rFonts w:ascii="Times New Roman" w:hAnsi="Times New Roman" w:eastAsia="仿宋_GB2312"/>
          <w:color w:val="000000" w:themeColor="text1"/>
          <w:szCs w:val="32"/>
          <w14:textFill>
            <w14:solidFill>
              <w14:schemeClr w14:val="tx1"/>
            </w14:solidFill>
          </w14:textFill>
        </w:rPr>
        <w:t>全面开启</w:t>
      </w:r>
      <w:r>
        <w:rPr>
          <w:rFonts w:ascii="Times New Roman" w:hAnsi="Times New Roman" w:eastAsia="仿宋_GB2312"/>
          <w:color w:val="000000" w:themeColor="text1"/>
          <w:szCs w:val="32"/>
          <w:lang w:val="en"/>
          <w14:textFill>
            <w14:solidFill>
              <w14:schemeClr w14:val="tx1"/>
            </w14:solidFill>
          </w14:textFill>
        </w:rPr>
        <w:t>社会主义现代化建设新</w:t>
      </w:r>
      <w:r>
        <w:rPr>
          <w:rFonts w:ascii="Times New Roman" w:hAnsi="Times New Roman" w:eastAsia="仿宋_GB2312"/>
          <w:color w:val="000000" w:themeColor="text1"/>
          <w:szCs w:val="32"/>
          <w14:textFill>
            <w14:solidFill>
              <w14:schemeClr w14:val="tx1"/>
            </w14:solidFill>
          </w14:textFill>
        </w:rPr>
        <w:t>征程</w:t>
      </w:r>
      <w:r>
        <w:rPr>
          <w:rFonts w:ascii="Times New Roman" w:hAnsi="Times New Roman" w:eastAsia="仿宋_GB2312"/>
          <w:color w:val="000000" w:themeColor="text1"/>
          <w:szCs w:val="32"/>
          <w:lang w:val="en"/>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 xml:space="preserve"> </w:t>
      </w:r>
    </w:p>
    <w:p>
      <w:pPr>
        <w:pStyle w:val="2"/>
        <w:widowControl w:val="0"/>
        <w:adjustRightInd w:val="0"/>
        <w:snapToGrid w:val="0"/>
        <w:spacing w:after="0" w:line="300" w:lineRule="exact"/>
        <w:ind w:firstLine="340"/>
      </w:pPr>
    </w:p>
    <w:tbl>
      <w:tblPr>
        <w:tblStyle w:val="11"/>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779"/>
        <w:gridCol w:w="1080"/>
        <w:gridCol w:w="2300"/>
        <w:gridCol w:w="1185"/>
        <w:gridCol w:w="1263"/>
        <w:gridCol w:w="109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80" w:hRule="atLeast"/>
          <w:jc w:val="center"/>
        </w:trPr>
        <w:tc>
          <w:tcPr>
            <w:tcW w:w="8978" w:type="dxa"/>
            <w:gridSpan w:val="7"/>
            <w:vAlign w:val="center"/>
          </w:tcPr>
          <w:p>
            <w:pPr>
              <w:widowControl w:val="0"/>
              <w:adjustRightInd w:val="0"/>
              <w:snapToGrid w:val="0"/>
              <w:spacing w:after="0" w:line="400" w:lineRule="exact"/>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专栏</w:t>
            </w:r>
            <w:r>
              <w:rPr>
                <w:rFonts w:hint="eastAsia" w:ascii="Times New Roman" w:hAnsi="Times New Roman" w:eastAsia="黑体" w:cs="黑体"/>
                <w:color w:val="000000" w:themeColor="text1"/>
                <w:sz w:val="30"/>
                <w:szCs w:val="30"/>
                <w14:textFill>
                  <w14:solidFill>
                    <w14:schemeClr w14:val="tx1"/>
                  </w14:solidFill>
                </w14:textFill>
              </w:rPr>
              <w:t>1</w:t>
            </w:r>
            <w:r>
              <w:rPr>
                <w:rFonts w:hint="eastAsia" w:ascii="黑体" w:hAnsi="黑体" w:eastAsia="黑体" w:cs="黑体"/>
                <w:color w:val="000000" w:themeColor="text1"/>
                <w:sz w:val="30"/>
                <w:szCs w:val="30"/>
                <w14:textFill>
                  <w14:solidFill>
                    <w14:schemeClr w14:val="tx1"/>
                  </w14:solidFill>
                </w14:textFill>
              </w:rPr>
              <w:t xml:space="preserve">  魏都区“十三五”主要规划指标完成情况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65" w:hRule="atLeast"/>
          <w:jc w:val="center"/>
        </w:trPr>
        <w:tc>
          <w:tcPr>
            <w:tcW w:w="779" w:type="dxa"/>
            <w:vMerge w:val="restart"/>
            <w:vAlign w:val="center"/>
          </w:tcPr>
          <w:p>
            <w:pPr>
              <w:widowControl w:val="0"/>
              <w:adjustRightInd w:val="0"/>
              <w:snapToGrid w:val="0"/>
              <w:spacing w:after="0" w:line="40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3380" w:type="dxa"/>
            <w:gridSpan w:val="2"/>
            <w:vMerge w:val="restart"/>
            <w:vAlign w:val="center"/>
          </w:tcPr>
          <w:p>
            <w:pPr>
              <w:widowControl w:val="0"/>
              <w:adjustRightInd w:val="0"/>
              <w:snapToGrid w:val="0"/>
              <w:spacing w:after="0" w:line="40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指标名称</w:t>
            </w:r>
          </w:p>
        </w:tc>
        <w:tc>
          <w:tcPr>
            <w:tcW w:w="2448" w:type="dxa"/>
            <w:gridSpan w:val="2"/>
            <w:vAlign w:val="center"/>
          </w:tcPr>
          <w:p>
            <w:pPr>
              <w:widowControl w:val="0"/>
              <w:adjustRightInd w:val="0"/>
              <w:snapToGrid w:val="0"/>
              <w:spacing w:after="0" w:line="40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“十三五”规划目标</w:t>
            </w:r>
          </w:p>
        </w:tc>
        <w:tc>
          <w:tcPr>
            <w:tcW w:w="2371" w:type="dxa"/>
            <w:gridSpan w:val="2"/>
            <w:vAlign w:val="center"/>
          </w:tcPr>
          <w:p>
            <w:pPr>
              <w:widowControl w:val="0"/>
              <w:adjustRightInd w:val="0"/>
              <w:snapToGrid w:val="0"/>
              <w:spacing w:after="0" w:line="40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pacing w:val="-6"/>
                <w:sz w:val="24"/>
                <w14:textFill>
                  <w14:solidFill>
                    <w14:schemeClr w14:val="tx1"/>
                  </w14:solidFill>
                </w14:textFill>
              </w:rPr>
              <w:t>“十三五”完成情况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65" w:hRule="atLeast"/>
          <w:jc w:val="center"/>
        </w:trPr>
        <w:tc>
          <w:tcPr>
            <w:tcW w:w="779" w:type="dxa"/>
            <w:vMerge w:val="continue"/>
            <w:vAlign w:val="center"/>
          </w:tcPr>
          <w:p>
            <w:pPr>
              <w:widowControl w:val="0"/>
              <w:adjustRightInd w:val="0"/>
              <w:snapToGrid w:val="0"/>
              <w:spacing w:after="0" w:line="400" w:lineRule="exact"/>
              <w:jc w:val="center"/>
              <w:rPr>
                <w:rFonts w:ascii="宋体" w:hAnsi="宋体" w:eastAsia="宋体" w:cs="宋体"/>
                <w:b/>
                <w:color w:val="000000" w:themeColor="text1"/>
                <w:sz w:val="24"/>
                <w14:textFill>
                  <w14:solidFill>
                    <w14:schemeClr w14:val="tx1"/>
                  </w14:solidFill>
                </w14:textFill>
              </w:rPr>
            </w:pPr>
          </w:p>
        </w:tc>
        <w:tc>
          <w:tcPr>
            <w:tcW w:w="3380" w:type="dxa"/>
            <w:gridSpan w:val="2"/>
            <w:vMerge w:val="continue"/>
            <w:vAlign w:val="center"/>
          </w:tcPr>
          <w:p>
            <w:pPr>
              <w:widowControl w:val="0"/>
              <w:adjustRightInd w:val="0"/>
              <w:snapToGrid w:val="0"/>
              <w:spacing w:after="0" w:line="400" w:lineRule="exact"/>
              <w:jc w:val="center"/>
              <w:rPr>
                <w:rFonts w:ascii="宋体" w:hAnsi="宋体" w:eastAsia="宋体" w:cs="宋体"/>
                <w:b/>
                <w:color w:val="000000" w:themeColor="text1"/>
                <w:sz w:val="24"/>
                <w14:textFill>
                  <w14:solidFill>
                    <w14:schemeClr w14:val="tx1"/>
                  </w14:solidFill>
                </w14:textFill>
              </w:rPr>
            </w:pPr>
          </w:p>
        </w:tc>
        <w:tc>
          <w:tcPr>
            <w:tcW w:w="1185" w:type="dxa"/>
            <w:vAlign w:val="center"/>
          </w:tcPr>
          <w:p>
            <w:pPr>
              <w:widowControl w:val="0"/>
              <w:adjustRightInd w:val="0"/>
              <w:snapToGrid w:val="0"/>
              <w:spacing w:after="0" w:line="400" w:lineRule="exact"/>
              <w:jc w:val="center"/>
              <w:rPr>
                <w:rFonts w:ascii="宋体" w:hAnsi="宋体"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2020</w:t>
            </w:r>
            <w:r>
              <w:rPr>
                <w:rFonts w:hint="eastAsia" w:ascii="宋体" w:hAnsi="宋体" w:eastAsia="宋体" w:cs="宋体"/>
                <w:b/>
                <w:color w:val="000000" w:themeColor="text1"/>
                <w:sz w:val="24"/>
                <w14:textFill>
                  <w14:solidFill>
                    <w14:schemeClr w14:val="tx1"/>
                  </w14:solidFill>
                </w14:textFill>
              </w:rPr>
              <w:t>年</w:t>
            </w:r>
          </w:p>
        </w:tc>
        <w:tc>
          <w:tcPr>
            <w:tcW w:w="1263" w:type="dxa"/>
            <w:vAlign w:val="center"/>
          </w:tcPr>
          <w:p>
            <w:pPr>
              <w:widowControl w:val="0"/>
              <w:adjustRightInd w:val="0"/>
              <w:snapToGrid w:val="0"/>
              <w:spacing w:after="0" w:line="40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年均增长（%）</w:t>
            </w:r>
          </w:p>
        </w:tc>
        <w:tc>
          <w:tcPr>
            <w:tcW w:w="1095" w:type="dxa"/>
            <w:vAlign w:val="center"/>
          </w:tcPr>
          <w:p>
            <w:pPr>
              <w:widowControl w:val="0"/>
              <w:adjustRightInd w:val="0"/>
              <w:snapToGrid w:val="0"/>
              <w:spacing w:after="0" w:line="400" w:lineRule="exact"/>
              <w:jc w:val="center"/>
              <w:rPr>
                <w:rFonts w:ascii="宋体" w:hAnsi="宋体"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2020</w:t>
            </w:r>
            <w:r>
              <w:rPr>
                <w:rFonts w:hint="eastAsia" w:ascii="宋体" w:hAnsi="宋体" w:eastAsia="宋体" w:cs="宋体"/>
                <w:b/>
                <w:color w:val="000000" w:themeColor="text1"/>
                <w:sz w:val="24"/>
                <w14:textFill>
                  <w14:solidFill>
                    <w14:schemeClr w14:val="tx1"/>
                  </w14:solidFill>
                </w14:textFill>
              </w:rPr>
              <w:t>年</w:t>
            </w:r>
          </w:p>
        </w:tc>
        <w:tc>
          <w:tcPr>
            <w:tcW w:w="1276" w:type="dxa"/>
            <w:vAlign w:val="center"/>
          </w:tcPr>
          <w:p>
            <w:pPr>
              <w:widowControl w:val="0"/>
              <w:adjustRightInd w:val="0"/>
              <w:snapToGrid w:val="0"/>
              <w:spacing w:after="0" w:line="40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12" w:hRule="atLeast"/>
          <w:jc w:val="center"/>
        </w:trPr>
        <w:tc>
          <w:tcPr>
            <w:tcW w:w="8978" w:type="dxa"/>
            <w:gridSpan w:val="7"/>
            <w:vAlign w:val="center"/>
          </w:tcPr>
          <w:p>
            <w:pPr>
              <w:widowControl w:val="0"/>
              <w:adjustRightInd w:val="0"/>
              <w:snapToGrid w:val="0"/>
              <w:spacing w:after="0" w:line="400" w:lineRule="exact"/>
              <w:rPr>
                <w:rFonts w:ascii="Times New Roman" w:hAnsi="Times New Roman" w:eastAsia="楷体_GB2312"/>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地区生产总值（亿元）</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170</w:t>
            </w:r>
            <w:r>
              <w:rPr>
                <w:rFonts w:hint="eastAsia" w:asciiTheme="minorEastAsia" w:hAnsiTheme="minorEastAsia" w:eastAsiaTheme="minorEastAsia" w:cstheme="minorEastAsia"/>
                <w:color w:val="000000" w:themeColor="text1"/>
                <w:sz w:val="24"/>
                <w14:textFill>
                  <w14:solidFill>
                    <w14:schemeClr w14:val="tx1"/>
                  </w14:solidFill>
                </w14:textFill>
              </w:rPr>
              <w:t>以上</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8</w:t>
            </w:r>
            <w:r>
              <w:rPr>
                <w:rFonts w:hint="eastAsia" w:asciiTheme="minorEastAsia" w:hAnsiTheme="minorEastAsia" w:eastAsiaTheme="minorEastAsia" w:cstheme="minorEastAsia"/>
                <w:color w:val="000000" w:themeColor="text1"/>
                <w:sz w:val="24"/>
                <w14:textFill>
                  <w14:solidFill>
                    <w14:schemeClr w14:val="tx1"/>
                  </w14:solidFill>
                </w14:textFill>
              </w:rPr>
              <w:t>以上</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302</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其中：第一产业</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4</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0</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15</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3</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第二产业</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82</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72</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8</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99</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85</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4</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工业</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77</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77</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8</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73</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64</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5</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其中：规模以上工业</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74</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93</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8</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5</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65</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6</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第三产业</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95</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08</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9</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5</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202</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7</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全社会固定资产投资（亿元）</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281</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6</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14</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2</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94</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8</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一般公共预算收入（亿元）</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13</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52</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8</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10</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18</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15</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9</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社会消费品零售总额（亿元）</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225</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8</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12</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253</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10</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外贸进出口总额（万美元）</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44381</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8</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16903</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10</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11</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其中：出口总额</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40279</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8</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13184</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13</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67"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12</w:t>
            </w:r>
          </w:p>
        </w:tc>
        <w:tc>
          <w:tcPr>
            <w:tcW w:w="3380" w:type="dxa"/>
            <w:gridSpan w:val="2"/>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实际利用外商直接投资</w:t>
            </w:r>
          </w:p>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（万美元）</w:t>
            </w:r>
          </w:p>
        </w:tc>
        <w:tc>
          <w:tcPr>
            <w:tcW w:w="118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11240</w:t>
            </w:r>
          </w:p>
        </w:tc>
        <w:tc>
          <w:tcPr>
            <w:tcW w:w="1263"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8</w:t>
            </w:r>
          </w:p>
        </w:tc>
        <w:tc>
          <w:tcPr>
            <w:tcW w:w="1095"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9648</w:t>
            </w:r>
          </w:p>
        </w:tc>
        <w:tc>
          <w:tcPr>
            <w:tcW w:w="1276" w:type="dxa"/>
            <w:vAlign w:val="center"/>
          </w:tcPr>
          <w:p>
            <w:pPr>
              <w:widowControl w:val="0"/>
              <w:adjustRightInd w:val="0"/>
              <w:snapToGrid w:val="0"/>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imes New Roman" w:hAnsi="Times New Roman" w:eastAsiaTheme="minorEastAsia" w:cstheme="minorEastAsia"/>
                <w:color w:val="000000" w:themeColor="text1"/>
                <w:sz w:val="24"/>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8978" w:type="dxa"/>
            <w:gridSpan w:val="7"/>
            <w:vAlign w:val="center"/>
          </w:tcPr>
          <w:p>
            <w:pPr>
              <w:widowControl w:val="0"/>
              <w:adjustRightInd w:val="0"/>
              <w:snapToGrid w:val="0"/>
              <w:spacing w:after="0" w:line="400" w:lineRule="exact"/>
              <w:rPr>
                <w:rFonts w:ascii="Times New Roman" w:hAnsi="Times New Roman" w:eastAsia="楷体_GB2312"/>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二、转型升级和创新驱动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13</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服务业增加值比重(%)</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58</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67</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14</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高新技术产业增加值比重（%）</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3</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27</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5</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15</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研究及开发经费占GDP比重(%)</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23</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16</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万人发明专利拥有量(件)</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6</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27</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9</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8978" w:type="dxa"/>
            <w:gridSpan w:val="7"/>
            <w:vAlign w:val="center"/>
          </w:tcPr>
          <w:p>
            <w:pPr>
              <w:widowControl w:val="0"/>
              <w:adjustRightInd w:val="0"/>
              <w:snapToGrid w:val="0"/>
              <w:spacing w:after="0" w:line="400" w:lineRule="exac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三、民生福祉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17</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城镇居民人均可支配收入(元)</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40009</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8</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36756</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18</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新增城镇就业人数(人)</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16000</w:t>
            </w:r>
            <w:r>
              <w:rPr>
                <w:rFonts w:hint="eastAsia" w:ascii="宋体" w:hAnsi="宋体" w:eastAsia="宋体" w:cs="宋体"/>
                <w:color w:val="000000" w:themeColor="text1"/>
                <w:sz w:val="24"/>
                <w14:textFill>
                  <w14:solidFill>
                    <w14:schemeClr w14:val="tx1"/>
                  </w14:solidFill>
                </w14:textFill>
              </w:rPr>
              <w:t>/年</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11000</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19</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城镇登记失业率（%）</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3</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9</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20</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每千人拥有执业医师数（人）</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3</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21</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养老床位数（张）</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35</w:t>
            </w:r>
            <w:r>
              <w:rPr>
                <w:rFonts w:hint="eastAsia" w:ascii="宋体" w:hAnsi="宋体" w:eastAsia="宋体" w:cs="宋体"/>
                <w:color w:val="000000" w:themeColor="text1"/>
                <w:sz w:val="24"/>
                <w14:textFill>
                  <w14:solidFill>
                    <w14:schemeClr w14:val="tx1"/>
                  </w14:solidFill>
                </w14:textFill>
              </w:rPr>
              <w:t>/千人</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58</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22</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社会保障覆盖率（%）</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100</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98</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8978" w:type="dxa"/>
            <w:gridSpan w:val="7"/>
            <w:vAlign w:val="center"/>
          </w:tcPr>
          <w:p>
            <w:pPr>
              <w:widowControl w:val="0"/>
              <w:adjustRightInd w:val="0"/>
              <w:snapToGrid w:val="0"/>
              <w:spacing w:after="0" w:line="400" w:lineRule="exac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四、生态文明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23</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11"/>
                <w:sz w:val="24"/>
                <w14:textFill>
                  <w14:solidFill>
                    <w14:schemeClr w14:val="tx1"/>
                  </w14:solidFill>
                </w14:textFill>
              </w:rPr>
              <w:t>万元生产总值能耗（吨标准煤）</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完成市下达目标</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完成市定目标</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24</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万元生产总值二氧化碳排放量（吨）</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完成市下达目标</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完成市定目标</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Merge w:val="restart"/>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25</w:t>
            </w:r>
          </w:p>
        </w:tc>
        <w:tc>
          <w:tcPr>
            <w:tcW w:w="1080" w:type="dxa"/>
            <w:vMerge w:val="restart"/>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主要污染物排放量</w:t>
            </w:r>
          </w:p>
        </w:tc>
        <w:tc>
          <w:tcPr>
            <w:tcW w:w="2300"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二氧化硫排放量（万吨）</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完成市下达目标</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3174</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Merge w:val="continue"/>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p>
        </w:tc>
        <w:tc>
          <w:tcPr>
            <w:tcW w:w="1080" w:type="dxa"/>
            <w:vMerge w:val="continue"/>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p>
        </w:tc>
        <w:tc>
          <w:tcPr>
            <w:tcW w:w="2300"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氮氧化物排放量（万吨）</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完成市下达目标</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0847</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Merge w:val="continue"/>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p>
        </w:tc>
        <w:tc>
          <w:tcPr>
            <w:tcW w:w="1080" w:type="dxa"/>
            <w:vMerge w:val="continue"/>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p>
        </w:tc>
        <w:tc>
          <w:tcPr>
            <w:tcW w:w="2300"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化学需氧量排放量（万吨）</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完成市下达目标</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45</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Merge w:val="continue"/>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p>
        </w:tc>
        <w:tc>
          <w:tcPr>
            <w:tcW w:w="1080" w:type="dxa"/>
            <w:vMerge w:val="continue"/>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p>
        </w:tc>
        <w:tc>
          <w:tcPr>
            <w:tcW w:w="2300"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氨氮排放量（万吨）</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完成市下达目标</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0589</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Merge w:val="continue"/>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p>
        </w:tc>
        <w:tc>
          <w:tcPr>
            <w:tcW w:w="1080" w:type="dxa"/>
            <w:vMerge w:val="continue"/>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p>
        </w:tc>
        <w:tc>
          <w:tcPr>
            <w:tcW w:w="2300"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其他国家要求的污染物排放量（%）</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完成市下达目标</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累计</w:t>
            </w:r>
            <w:r>
              <w:rPr>
                <w:rFonts w:hint="eastAsia" w:ascii="Times New Roman" w:hAnsi="Times New Roman" w:eastAsia="宋体" w:cs="宋体"/>
                <w:color w:val="000000" w:themeColor="text1"/>
                <w:sz w:val="24"/>
                <w14:textFill>
                  <w14:solidFill>
                    <w14:schemeClr w14:val="tx1"/>
                  </w14:solidFill>
                </w14:textFill>
              </w:rPr>
              <w:t>45</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5</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26</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城市绿化覆盖率（%）</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39</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41</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28</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9" w:hRule="atLeast"/>
          <w:jc w:val="center"/>
        </w:trPr>
        <w:tc>
          <w:tcPr>
            <w:tcW w:w="779"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27</w:t>
            </w:r>
          </w:p>
        </w:tc>
        <w:tc>
          <w:tcPr>
            <w:tcW w:w="3380" w:type="dxa"/>
            <w:gridSpan w:val="2"/>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城市空气质量优良天数比例（%）</w:t>
            </w:r>
          </w:p>
        </w:tc>
        <w:tc>
          <w:tcPr>
            <w:tcW w:w="118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完成市下达目标</w:t>
            </w:r>
          </w:p>
        </w:tc>
        <w:tc>
          <w:tcPr>
            <w:tcW w:w="1263"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95"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71</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23</w:t>
            </w:r>
          </w:p>
        </w:tc>
        <w:tc>
          <w:tcPr>
            <w:tcW w:w="1276" w:type="dxa"/>
            <w:vAlign w:val="center"/>
          </w:tcPr>
          <w:p>
            <w:pPr>
              <w:widowControl w:val="0"/>
              <w:adjustRightInd w:val="0"/>
              <w:snapToGrid w:val="0"/>
              <w:spacing w:after="0"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bl>
    <w:p>
      <w:pPr>
        <w:pStyle w:val="5"/>
        <w:keepNext w:val="0"/>
        <w:keepLines w:val="0"/>
        <w:widowControl w:val="0"/>
        <w:adjustRightInd w:val="0"/>
        <w:snapToGrid w:val="0"/>
        <w:spacing w:before="297" w:beforeLines="50" w:after="297" w:afterLines="50" w:line="560" w:lineRule="exact"/>
        <w:ind w:firstLine="680"/>
      </w:pPr>
      <w:bookmarkStart w:id="8" w:name="_Toc1272"/>
      <w:bookmarkStart w:id="9" w:name="_Toc6472"/>
      <w:r>
        <w:t xml:space="preserve">第二节 </w:t>
      </w:r>
      <w:r>
        <w:rPr>
          <w:rFonts w:hint="eastAsia"/>
        </w:rPr>
        <w:t xml:space="preserve"> “</w:t>
      </w:r>
      <w:r>
        <w:t>十四五</w:t>
      </w:r>
      <w:r>
        <w:rPr>
          <w:rFonts w:hint="eastAsia"/>
        </w:rPr>
        <w:t>”</w:t>
      </w:r>
      <w:r>
        <w:t>面</w:t>
      </w:r>
      <w:r>
        <w:rPr>
          <w:rFonts w:hint="eastAsia"/>
        </w:rPr>
        <w:t>临</w:t>
      </w:r>
      <w:r>
        <w:t>发展机遇与挑战</w:t>
      </w:r>
      <w:bookmarkEnd w:id="8"/>
      <w:bookmarkEnd w:id="9"/>
    </w:p>
    <w:p>
      <w:pPr>
        <w:widowControl w:val="0"/>
        <w:adjustRightInd w:val="0"/>
        <w:snapToGrid w:val="0"/>
        <w:spacing w:after="0" w:line="560" w:lineRule="exact"/>
        <w:ind w:firstLine="680" w:firstLineChars="200"/>
        <w:rPr>
          <w:rFonts w:ascii="Times New Roman" w:hAnsi="Times New Roman" w:eastAsia="仿宋_GB2312"/>
          <w:color w:val="000000" w:themeColor="text1"/>
          <w:kern w:val="2"/>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当今世界正经历百年未有之大变局，全球新冠肺炎疫情带来了巨大影响，国际经济、政治、治理格局发生深刻变化，机遇和挑战都有新的发展变化。</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从发展机遇上看</w:t>
      </w:r>
      <w:bookmarkStart w:id="10" w:name="_Hlk59363874"/>
      <w:bookmarkEnd w:id="10"/>
      <w:r>
        <w:rPr>
          <w:rFonts w:ascii="Times New Roman" w:hAnsi="Times New Roman" w:eastAsia="仿宋_GB2312"/>
          <w:color w:val="000000" w:themeColor="text1"/>
          <w:szCs w:val="32"/>
          <w14:textFill>
            <w14:solidFill>
              <w14:schemeClr w14:val="tx1"/>
            </w14:solidFill>
          </w14:textFill>
        </w:rPr>
        <w:t>，</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十四五</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时期，我国由高速增长转向高质量发展的战略导向不会改变，经济长期向好的基本面不会改变。黄河流域生态保护和高质量发展、中部崛起等国家战略的相继实施，许昌市加快推进</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智造之都、宜居之城</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建设，这些都</w:t>
      </w:r>
      <w:r>
        <w:rPr>
          <w:rFonts w:hint="eastAsia" w:ascii="Times New Roman" w:hAnsi="Times New Roman" w:eastAsia="仿宋_GB2312"/>
          <w:color w:val="000000" w:themeColor="text1"/>
          <w:szCs w:val="32"/>
          <w14:textFill>
            <w14:solidFill>
              <w14:schemeClr w14:val="tx1"/>
            </w14:solidFill>
          </w14:textFill>
        </w:rPr>
        <w:t>有</w:t>
      </w:r>
      <w:r>
        <w:rPr>
          <w:rFonts w:ascii="Times New Roman" w:hAnsi="Times New Roman" w:eastAsia="仿宋_GB2312"/>
          <w:color w:val="000000" w:themeColor="text1"/>
          <w:szCs w:val="32"/>
          <w14:textFill>
            <w14:solidFill>
              <w14:schemeClr w14:val="tx1"/>
            </w14:solidFill>
          </w14:textFill>
        </w:rPr>
        <w:t>利于我们接受更多辐射、享受更多红利，在新的起点乘势而上、大有作为。新一轮科技革命加速催化产业变革，</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数字经济</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赋能产业发展趋势明显，这些都有利于我区加快推进产业转型，培育高端制造、新材料、节能环保主导产业，实现增长动力的</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换挡升级</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w:t>
      </w:r>
    </w:p>
    <w:p>
      <w:pPr>
        <w:pStyle w:val="2"/>
        <w:widowControl w:val="0"/>
        <w:adjustRightInd w:val="0"/>
        <w:snapToGrid w:val="0"/>
        <w:spacing w:after="0"/>
        <w:ind w:firstLine="680" w:firstLineChars="200"/>
        <w:jc w:val="both"/>
        <w:rPr>
          <w:color w:val="000000" w:themeColor="text1"/>
          <w:szCs w:val="32"/>
          <w14:textFill>
            <w14:solidFill>
              <w14:schemeClr w14:val="tx1"/>
            </w14:solidFill>
          </w14:textFill>
        </w:rPr>
      </w:pPr>
      <w:r>
        <w:rPr>
          <w:color w:val="000000" w:themeColor="text1"/>
          <w:szCs w:val="32"/>
          <w14:textFill>
            <w14:solidFill>
              <w14:schemeClr w14:val="tx1"/>
            </w14:solidFill>
          </w14:textFill>
        </w:rPr>
        <w:t>从面临挑战上看，国内外发展环境更加错综复杂，不稳定</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不确定</w:t>
      </w:r>
      <w:r>
        <w:rPr>
          <w:rFonts w:hint="eastAsia"/>
          <w:color w:val="000000" w:themeColor="text1"/>
          <w:szCs w:val="32"/>
          <w14:textFill>
            <w14:solidFill>
              <w14:schemeClr w14:val="tx1"/>
            </w14:solidFill>
          </w14:textFill>
        </w:rPr>
        <w:t>因素</w:t>
      </w:r>
      <w:r>
        <w:rPr>
          <w:color w:val="000000" w:themeColor="text1"/>
          <w:szCs w:val="32"/>
          <w14:textFill>
            <w14:solidFill>
              <w14:schemeClr w14:val="tx1"/>
            </w14:solidFill>
          </w14:textFill>
        </w:rPr>
        <w:t>明显增加，我区发展也面临更多挑战。要素制约日趋紧张，发展空间受限的问题亟待解决。工业三大主导产业的链条还较短，引领作用、集群效应还不明显。服务业还主要以批发零售、住宿餐饮等传统行业为主，创意研发、工业设计、金融保险、中介服务等生产性服务业发展还较为滞后，与工业经济融合发展的程度不高。企业自主创新能力薄弱，研发投入不足，科技创新难以满足新常态下创新驱动发展的新要求。城中村（棚户区）改造的任务还十分繁重，承载发展的能力还有待提升。政府财政收入增速将进一步放缓，而群众对养老、教育、医疗等基本公共服务的需求将进一步提升，民生改善、民生保障任务非常艰巨。</w:t>
      </w:r>
    </w:p>
    <w:p>
      <w:pPr>
        <w:widowControl w:val="0"/>
        <w:autoSpaceDE w:val="0"/>
        <w:autoSpaceDN w:val="0"/>
        <w:adjustRightInd w:val="0"/>
        <w:snapToGrid w:val="0"/>
        <w:spacing w:after="0" w:line="560" w:lineRule="exact"/>
        <w:ind w:firstLine="680" w:firstLineChars="200"/>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综合研判，</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十四五</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时期国内外环境严峻，发展面临的挑战前所未有，疫情防控情况是最大变数。但我国经济潜力足、韧性强，我省和许昌市具有两大国家战略叠加效应，战略回旋空间大、政策工具多。同时，</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十三五</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魏都区的全面进步和不断转型，使全区经济社会结构具备较强的韧性和抗压能力，我们有基础、有能力抢抓机遇、应对挑战，</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十四五</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魏都区仍然大有可为。站在新的历史起点上，全区必须始终坚持发展第一要务，厚植发展优势，放大比较优势，在应对挑战中保持定力，在改革创新中释放活力，在重要领域和关键环节担当作为，率先探索新发展阶段下高质量发展新路径。</w:t>
      </w: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4"/>
        <w:keepNext w:val="0"/>
        <w:keepLines w:val="0"/>
        <w:widowControl w:val="0"/>
        <w:adjustRightInd w:val="0"/>
        <w:snapToGrid w:val="0"/>
        <w:spacing w:after="0" w:line="600" w:lineRule="exact"/>
      </w:pPr>
      <w:bookmarkStart w:id="11" w:name="_Toc28158"/>
      <w:bookmarkStart w:id="12" w:name="_Toc28313"/>
      <w:bookmarkStart w:id="13" w:name="_Toc11058"/>
      <w:bookmarkStart w:id="14" w:name="_Toc26924"/>
      <w:r>
        <w:t>第二章  未来五年发展蓝图和</w:t>
      </w:r>
      <w:bookmarkEnd w:id="11"/>
    </w:p>
    <w:p>
      <w:pPr>
        <w:pStyle w:val="4"/>
        <w:keepNext w:val="0"/>
        <w:keepLines w:val="0"/>
        <w:widowControl w:val="0"/>
        <w:adjustRightInd w:val="0"/>
        <w:snapToGrid w:val="0"/>
        <w:spacing w:after="0" w:line="600" w:lineRule="exact"/>
      </w:pPr>
      <w:bookmarkStart w:id="15" w:name="_Toc14479"/>
      <w:r>
        <w:rPr>
          <w:rFonts w:hint="eastAsia" w:ascii="Times New Roman" w:hAnsi="Times New Roman"/>
        </w:rPr>
        <w:t>二〇三五</w:t>
      </w:r>
      <w:r>
        <w:t>年远景目标</w:t>
      </w:r>
      <w:bookmarkEnd w:id="12"/>
      <w:bookmarkEnd w:id="13"/>
      <w:bookmarkEnd w:id="14"/>
      <w:bookmarkEnd w:id="15"/>
    </w:p>
    <w:p>
      <w:pPr>
        <w:widowControl w:val="0"/>
        <w:adjustRightInd w:val="0"/>
        <w:snapToGrid w:val="0"/>
        <w:spacing w:after="0" w:line="560" w:lineRule="exact"/>
        <w:jc w:val="both"/>
        <w:rPr>
          <w:rFonts w:ascii="Times New Roman" w:hAnsi="Times New Roman" w:eastAsia="仿宋"/>
          <w:color w:val="000000" w:themeColor="text1"/>
          <w:szCs w:val="32"/>
          <w14:textFill>
            <w14:solidFill>
              <w14:schemeClr w14:val="tx1"/>
            </w14:solidFill>
          </w14:textFill>
        </w:rPr>
      </w:pPr>
    </w:p>
    <w:p>
      <w:pPr>
        <w:widowControl w:val="0"/>
        <w:adjustRightInd w:val="0"/>
        <w:snapToGrid w:val="0"/>
        <w:spacing w:after="0" w:line="560" w:lineRule="exact"/>
        <w:ind w:firstLine="680" w:firstLineChars="200"/>
        <w:jc w:val="both"/>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按照党的十九大确定的全面建设社会主义现代化国家两个阶段的战略安排，体现高质量发展要求和以人民为中心的发展思想，凝聚推进合力，实现高质量跨越式发展。</w:t>
      </w:r>
    </w:p>
    <w:p>
      <w:pPr>
        <w:pStyle w:val="5"/>
        <w:keepNext w:val="0"/>
        <w:keepLines w:val="0"/>
        <w:widowControl w:val="0"/>
        <w:adjustRightInd w:val="0"/>
        <w:snapToGrid w:val="0"/>
        <w:spacing w:before="297" w:beforeLines="50" w:after="297" w:afterLines="50" w:line="560" w:lineRule="exact"/>
        <w:ind w:firstLine="0" w:firstLineChars="0"/>
      </w:pPr>
      <w:bookmarkStart w:id="16" w:name="_Toc1095"/>
      <w:bookmarkStart w:id="17" w:name="_Toc9456"/>
      <w:r>
        <w:t>第一节  指导思想</w:t>
      </w:r>
      <w:bookmarkEnd w:id="16"/>
      <w:bookmarkEnd w:id="17"/>
    </w:p>
    <w:p>
      <w:pPr>
        <w:pStyle w:val="2"/>
        <w:widowControl w:val="0"/>
        <w:adjustRightInd w:val="0"/>
        <w:snapToGrid w:val="0"/>
        <w:spacing w:after="0"/>
        <w:ind w:firstLine="680" w:firstLineChars="200"/>
        <w:jc w:val="both"/>
        <w:rPr>
          <w:color w:val="000000" w:themeColor="text1"/>
          <w:szCs w:val="32"/>
          <w14:textFill>
            <w14:solidFill>
              <w14:schemeClr w14:val="tx1"/>
            </w14:solidFill>
          </w14:textFill>
        </w:rPr>
      </w:pPr>
      <w:bookmarkStart w:id="18" w:name="_Toc20347"/>
      <w:r>
        <w:rPr>
          <w:color w:val="000000" w:themeColor="text1"/>
          <w14:textFill>
            <w14:solidFill>
              <w14:schemeClr w14:val="tx1"/>
            </w14:solidFill>
          </w14:textFill>
        </w:rPr>
        <w:t>以习近平新时代中国特色社会主义思想为指导，全面贯彻党的十九大和十九届二中、三中、四中、五中全会精神，全面贯彻党的基本理论、基本路线、基本方略，统筹推进</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五位一体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总体布局，协调推进</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四个全面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战略布局，坚定不移贯彻新发展理念，坚持稳中求进总基调，以推动高质量发展为主题，以深化供给侧改革为主线，以改革创新为根本动力，以满</w:t>
      </w:r>
      <w:r>
        <w:rPr>
          <w:color w:val="000000" w:themeColor="text1"/>
          <w:spacing w:val="-2"/>
          <w14:textFill>
            <w14:solidFill>
              <w14:schemeClr w14:val="tx1"/>
            </w14:solidFill>
          </w14:textFill>
        </w:rPr>
        <w:t>足人民群众日益增长的美好生活需求为根本目的，统筹发展和安全，强力推进产业兴区、创新强区、富民安区，加快建设现代化魏都，</w:t>
      </w:r>
      <w:r>
        <w:rPr>
          <w:color w:val="000000" w:themeColor="text1"/>
          <w:spacing w:val="-2"/>
          <w:szCs w:val="32"/>
          <w14:textFill>
            <w14:solidFill>
              <w14:schemeClr w14:val="tx1"/>
            </w14:solidFill>
          </w14:textFill>
        </w:rPr>
        <w:t>为谱写新时代中原更加出彩的绚丽篇章作出新贡献。</w:t>
      </w:r>
    </w:p>
    <w:p>
      <w:pPr>
        <w:pStyle w:val="5"/>
        <w:keepNext w:val="0"/>
        <w:keepLines w:val="0"/>
        <w:widowControl w:val="0"/>
        <w:adjustRightInd w:val="0"/>
        <w:snapToGrid w:val="0"/>
        <w:spacing w:before="297" w:beforeLines="50" w:after="297" w:afterLines="50" w:line="560" w:lineRule="exact"/>
        <w:ind w:firstLine="0" w:firstLineChars="0"/>
      </w:pPr>
      <w:bookmarkStart w:id="19" w:name="_Toc18689"/>
      <w:r>
        <w:t>第二节  发展定位</w:t>
      </w:r>
      <w:bookmarkEnd w:id="18"/>
      <w:bookmarkEnd w:id="19"/>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按照区委</w:t>
      </w:r>
      <w:r>
        <w:rPr>
          <w:rFonts w:hint="eastAsia" w:ascii="Times New Roman" w:hAnsi="Times New Roman" w:eastAsia="仿宋_GB2312"/>
          <w:color w:val="000000" w:themeColor="text1"/>
          <w:szCs w:val="32"/>
          <w:lang w:val="en"/>
          <w14:textFill>
            <w14:solidFill>
              <w14:schemeClr w14:val="tx1"/>
            </w14:solidFill>
          </w14:textFill>
        </w:rPr>
        <w:t>“</w:t>
      </w:r>
      <w:r>
        <w:rPr>
          <w:rFonts w:ascii="Times New Roman" w:hAnsi="Times New Roman" w:eastAsia="仿宋_GB2312"/>
          <w:color w:val="000000" w:themeColor="text1"/>
          <w:szCs w:val="32"/>
          <w:lang w:val="en"/>
          <w14:textFill>
            <w14:solidFill>
              <w14:schemeClr w14:val="tx1"/>
            </w14:solidFill>
          </w14:textFill>
        </w:rPr>
        <w:t>产业兴区、创新强区、富民安区</w:t>
      </w:r>
      <w:r>
        <w:rPr>
          <w:rFonts w:hint="eastAsia" w:ascii="Times New Roman" w:hAnsi="Times New Roman" w:eastAsia="仿宋_GB2312"/>
          <w:color w:val="000000" w:themeColor="text1"/>
          <w:szCs w:val="32"/>
          <w:lang w:val="en"/>
          <w14:textFill>
            <w14:solidFill>
              <w14:schemeClr w14:val="tx1"/>
            </w14:solidFill>
          </w14:textFill>
        </w:rPr>
        <w:t>”</w:t>
      </w:r>
      <w:r>
        <w:rPr>
          <w:rFonts w:ascii="Times New Roman" w:hAnsi="Times New Roman" w:eastAsia="仿宋_GB2312"/>
          <w:color w:val="000000" w:themeColor="text1"/>
          <w:szCs w:val="32"/>
          <w:lang w:val="en"/>
          <w14:textFill>
            <w14:solidFill>
              <w14:schemeClr w14:val="tx1"/>
            </w14:solidFill>
          </w14:textFill>
        </w:rPr>
        <w:t>发展思路</w:t>
      </w:r>
      <w:r>
        <w:rPr>
          <w:rFonts w:ascii="Times New Roman" w:hAnsi="Times New Roman" w:eastAsia="仿宋_GB2312"/>
          <w:color w:val="000000" w:themeColor="text1"/>
          <w:szCs w:val="32"/>
          <w14:textFill>
            <w14:solidFill>
              <w14:schemeClr w14:val="tx1"/>
            </w14:solidFill>
          </w14:textFill>
        </w:rPr>
        <w:t>，综合考虑综合实力、发展基础、政策机遇和发展潜力，提出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十四五</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时期我区的发展定位：</w:t>
      </w:r>
    </w:p>
    <w:p>
      <w:pPr>
        <w:widowControl w:val="0"/>
        <w:adjustRightInd w:val="0"/>
        <w:snapToGrid w:val="0"/>
        <w:spacing w:after="0" w:line="54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——高质量发展示范区。</w:t>
      </w:r>
      <w:r>
        <w:rPr>
          <w:rFonts w:ascii="Times New Roman" w:hAnsi="Times New Roman" w:eastAsia="仿宋_GB2312"/>
          <w:color w:val="000000" w:themeColor="text1"/>
          <w:szCs w:val="32"/>
          <w14:textFill>
            <w14:solidFill>
              <w14:schemeClr w14:val="tx1"/>
            </w14:solidFill>
          </w14:textFill>
        </w:rPr>
        <w:t>对标国家、省和市关于高质量发展的目标要求，</w:t>
      </w:r>
      <w:bookmarkStart w:id="20" w:name="_Hlk55774569"/>
      <w:r>
        <w:rPr>
          <w:rFonts w:ascii="Times New Roman" w:hAnsi="Times New Roman" w:eastAsia="仿宋_GB2312"/>
          <w:color w:val="000000" w:themeColor="text1"/>
          <w:szCs w:val="32"/>
          <w14:textFill>
            <w14:solidFill>
              <w14:schemeClr w14:val="tx1"/>
            </w14:solidFill>
          </w14:textFill>
        </w:rPr>
        <w:t>把产业支撑作用放在更加突出的位置，积极抢抓国内、国际产业转移新机遇，持续引进、培育</w:t>
      </w:r>
      <w:bookmarkStart w:id="21" w:name="_Hlk58216617"/>
      <w:r>
        <w:rPr>
          <w:rFonts w:ascii="Times New Roman" w:hAnsi="Times New Roman" w:eastAsia="仿宋_GB2312"/>
          <w:color w:val="000000" w:themeColor="text1"/>
          <w:szCs w:val="32"/>
          <w14:textFill>
            <w14:solidFill>
              <w14:schemeClr w14:val="tx1"/>
            </w14:solidFill>
          </w14:textFill>
        </w:rPr>
        <w:t>和壮大高端制造、新材料、节能环保</w:t>
      </w:r>
      <w:bookmarkEnd w:id="20"/>
      <w:r>
        <w:rPr>
          <w:rFonts w:ascii="Times New Roman" w:hAnsi="Times New Roman" w:eastAsia="仿宋_GB2312"/>
          <w:color w:val="000000" w:themeColor="text1"/>
          <w:szCs w:val="32"/>
          <w14:textFill>
            <w14:solidFill>
              <w14:schemeClr w14:val="tx1"/>
            </w14:solidFill>
          </w14:textFill>
        </w:rPr>
        <w:t>三大主导产业，积极推动数字赋能实体经济升级</w:t>
      </w:r>
      <w:bookmarkEnd w:id="21"/>
      <w:r>
        <w:rPr>
          <w:rFonts w:ascii="Times New Roman" w:hAnsi="Times New Roman" w:eastAsia="仿宋_GB2312"/>
          <w:color w:val="000000" w:themeColor="text1"/>
          <w:szCs w:val="32"/>
          <w14:textFill>
            <w14:solidFill>
              <w14:schemeClr w14:val="tx1"/>
            </w14:solidFill>
          </w14:textFill>
        </w:rPr>
        <w:t>；以党的建设高质量引领带动全区经济发展、社会治理、文化建设、生态保护的高质量，成为全市高质量发展的示范区。</w:t>
      </w:r>
    </w:p>
    <w:p>
      <w:pPr>
        <w:widowControl w:val="0"/>
        <w:adjustRightInd w:val="0"/>
        <w:snapToGrid w:val="0"/>
        <w:spacing w:after="0" w:line="54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——改革创新活力区。</w:t>
      </w:r>
      <w:r>
        <w:rPr>
          <w:rFonts w:ascii="Times New Roman" w:hAnsi="Times New Roman" w:eastAsia="仿宋_GB2312"/>
          <w:color w:val="000000" w:themeColor="text1"/>
          <w:szCs w:val="32"/>
          <w14:textFill>
            <w14:solidFill>
              <w14:schemeClr w14:val="tx1"/>
            </w14:solidFill>
          </w14:textFill>
        </w:rPr>
        <w:t>抢抓国家新一轮创新改革试验机遇，持续深化投融资等重点领域、关键环节改革，加快建设高标准市场体系，推动</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有效市场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和</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有为政府</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有机结合，营商环境走在全市前列。加快完善综合创新生态体系，增强企业自主创新能力，激发全社会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双创</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潜力，打造全省改革发展活力区。</w:t>
      </w:r>
    </w:p>
    <w:p>
      <w:pPr>
        <w:widowControl w:val="0"/>
        <w:adjustRightInd w:val="0"/>
        <w:snapToGrid w:val="0"/>
        <w:spacing w:after="0" w:line="540" w:lineRule="exact"/>
        <w:ind w:firstLine="680" w:firstLineChars="200"/>
        <w:rPr>
          <w:rFonts w:ascii="Times New Roman" w:hAnsi="Times New Roman" w:eastAsia="仿宋_GB2312"/>
          <w:color w:val="000000" w:themeColor="text1"/>
          <w:szCs w:val="32"/>
          <w14:textFill>
            <w14:solidFill>
              <w14:schemeClr w14:val="tx1"/>
            </w14:solidFill>
          </w14:textFill>
        </w:rPr>
      </w:pPr>
      <w:bookmarkStart w:id="22" w:name="_Hlk58209979"/>
      <w:r>
        <w:rPr>
          <w:rFonts w:ascii="楷体_GB2312" w:hAnsi="楷体_GB2312" w:eastAsia="楷体_GB2312" w:cs="楷体_GB2312"/>
          <w:b/>
          <w:bCs/>
          <w:color w:val="000000" w:themeColor="text1"/>
          <w:kern w:val="2"/>
          <w:szCs w:val="32"/>
          <w14:textFill>
            <w14:solidFill>
              <w14:schemeClr w14:val="tx1"/>
            </w14:solidFill>
          </w14:textFill>
        </w:rPr>
        <w:t>——美丽和谐宜居区</w:t>
      </w:r>
      <w:bookmarkEnd w:id="22"/>
      <w:r>
        <w:rPr>
          <w:rFonts w:ascii="楷体_GB2312" w:hAnsi="楷体_GB2312" w:eastAsia="楷体_GB2312" w:cs="楷体_GB2312"/>
          <w:b/>
          <w:bCs/>
          <w:color w:val="000000" w:themeColor="text1"/>
          <w:kern w:val="2"/>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抓牢国家级城乡融合发展试验区建设的重大机遇，高标准规划、高质量推进</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双创宜居示范区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建设。坚持绿色、低碳和循环发展理念，持续优化生态环境，健全生态治理现代化体系，巩固创建工作在全市的领先地位。积极创建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全国社区治理和服务创新试验区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，推进社会治理能力和水平向更高层次迈进。不断优化教育、医疗、养老等公共资源供给，建设更加美丽、和谐、宜居的新魏都。</w:t>
      </w:r>
    </w:p>
    <w:p>
      <w:pPr>
        <w:pStyle w:val="5"/>
        <w:keepNext w:val="0"/>
        <w:keepLines w:val="0"/>
        <w:widowControl w:val="0"/>
        <w:adjustRightInd w:val="0"/>
        <w:snapToGrid w:val="0"/>
        <w:spacing w:before="297" w:beforeLines="50" w:after="297" w:afterLines="50" w:line="540" w:lineRule="exact"/>
        <w:ind w:firstLine="0" w:firstLineChars="0"/>
      </w:pPr>
      <w:bookmarkStart w:id="23" w:name="_Toc32082"/>
      <w:bookmarkStart w:id="24" w:name="_Toc30951"/>
      <w:r>
        <w:t>第三节  基本原则</w:t>
      </w:r>
      <w:bookmarkEnd w:id="23"/>
      <w:bookmarkEnd w:id="24"/>
    </w:p>
    <w:p>
      <w:pPr>
        <w:pStyle w:val="2"/>
        <w:widowControl w:val="0"/>
        <w:adjustRightInd w:val="0"/>
        <w:snapToGrid w:val="0"/>
        <w:spacing w:after="0" w:line="540" w:lineRule="exact"/>
        <w:ind w:firstLine="680" w:firstLineChars="200"/>
        <w:rPr>
          <w:color w:val="000000" w:themeColor="text1"/>
          <w14:textFill>
            <w14:solidFill>
              <w14:schemeClr w14:val="tx1"/>
            </w14:solidFill>
          </w14:textFill>
        </w:rPr>
      </w:pPr>
      <w:r>
        <w:rPr>
          <w:color w:val="000000" w:themeColor="text1"/>
          <w14:textFill>
            <w14:solidFill>
              <w14:schemeClr w14:val="tx1"/>
            </w14:solidFill>
          </w14:textFill>
        </w:rPr>
        <w:t>实现上述发展定位，必须遵循以下基本原则：</w:t>
      </w:r>
    </w:p>
    <w:p>
      <w:pPr>
        <w:widowControl w:val="0"/>
        <w:adjustRightInd w:val="0"/>
        <w:snapToGrid w:val="0"/>
        <w:spacing w:after="0" w:line="540" w:lineRule="exact"/>
        <w:ind w:firstLine="680" w:firstLineChars="200"/>
        <w:rPr>
          <w:rFonts w:ascii="Times New Roman" w:hAnsi="Times New Roman" w:eastAsia="仿宋_GB2312"/>
          <w:color w:val="000000" w:themeColor="text1"/>
          <w:szCs w:val="32"/>
          <w14:textFill>
            <w14:solidFill>
              <w14:schemeClr w14:val="tx1"/>
            </w14:solidFill>
          </w14:textFill>
        </w:rPr>
      </w:pPr>
      <w:bookmarkStart w:id="25" w:name="_Toc48893429"/>
      <w:bookmarkStart w:id="26" w:name="_Toc26854"/>
      <w:bookmarkStart w:id="27" w:name="_Toc57637216"/>
      <w:bookmarkStart w:id="28" w:name="_Toc57626907"/>
      <w:r>
        <w:rPr>
          <w:rFonts w:ascii="楷体_GB2312" w:hAnsi="楷体_GB2312" w:eastAsia="楷体_GB2312" w:cs="楷体_GB2312"/>
          <w:b/>
          <w:bCs/>
          <w:color w:val="000000" w:themeColor="text1"/>
          <w:kern w:val="2"/>
          <w:szCs w:val="32"/>
          <w14:textFill>
            <w14:solidFill>
              <w14:schemeClr w14:val="tx1"/>
            </w14:solidFill>
          </w14:textFill>
        </w:rPr>
        <w:t>坚持党的全面领导。</w:t>
      </w:r>
      <w:r>
        <w:rPr>
          <w:rFonts w:ascii="Times New Roman" w:hAnsi="Times New Roman" w:eastAsia="仿宋_GB2312"/>
          <w:color w:val="000000" w:themeColor="text1"/>
          <w:szCs w:val="32"/>
          <w14:textFill>
            <w14:solidFill>
              <w14:schemeClr w14:val="tx1"/>
            </w14:solidFill>
          </w14:textFill>
        </w:rPr>
        <w:t>加强党对经济社会发展的全面领导，增强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四个意识</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、坚定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四个自信</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、做到</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两个维护</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，引导全区上下凝聚共识、汇聚力量，为实现高质量发展提供坚实保障。</w:t>
      </w:r>
    </w:p>
    <w:p>
      <w:pPr>
        <w:pStyle w:val="2"/>
        <w:widowControl w:val="0"/>
        <w:adjustRightInd w:val="0"/>
        <w:snapToGrid w:val="0"/>
        <w:spacing w:after="0"/>
        <w:ind w:firstLine="680" w:firstLineChars="200"/>
        <w:rPr>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坚持以人民为中心。</w:t>
      </w:r>
      <w:r>
        <w:rPr>
          <w:color w:val="000000" w:themeColor="text1"/>
          <w:szCs w:val="32"/>
          <w14:textFill>
            <w14:solidFill>
              <w14:schemeClr w14:val="tx1"/>
            </w14:solidFill>
          </w14:textFill>
        </w:rPr>
        <w:t>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pStyle w:val="2"/>
        <w:widowControl w:val="0"/>
        <w:adjustRightInd w:val="0"/>
        <w:snapToGrid w:val="0"/>
        <w:spacing w:after="0"/>
        <w:ind w:firstLine="680" w:firstLineChars="200"/>
        <w:rPr>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坚持新发展理念。</w:t>
      </w:r>
      <w:r>
        <w:rPr>
          <w:color w:val="000000" w:themeColor="text1"/>
          <w:szCs w:val="32"/>
          <w14:textFill>
            <w14:solidFill>
              <w14:schemeClr w14:val="tx1"/>
            </w14:solidFill>
          </w14:textFill>
        </w:rPr>
        <w:t>把新发展理念贯穿发展全过程和各领域，构建新发展格局，切实转变发展方式，推动质量变革、效率变革、动力变革，实现更高质量、更有效率、更加公平、更可持续、更为安全的发展。</w:t>
      </w:r>
    </w:p>
    <w:p>
      <w:pPr>
        <w:pStyle w:val="2"/>
        <w:widowControl w:val="0"/>
        <w:adjustRightInd w:val="0"/>
        <w:snapToGrid w:val="0"/>
        <w:spacing w:after="0"/>
        <w:ind w:firstLine="680" w:firstLineChars="200"/>
        <w:rPr>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坚持系统观念。</w:t>
      </w:r>
      <w:r>
        <w:rPr>
          <w:color w:val="000000" w:themeColor="text1"/>
          <w:szCs w:val="32"/>
          <w14:textFill>
            <w14:solidFill>
              <w14:schemeClr w14:val="tx1"/>
            </w14:solidFill>
          </w14:textFill>
        </w:rPr>
        <w:t>加强前瞻性思考、全局性谋划、战略性布局、整体性推进，办好发展安全两件大事，更好的发挥各方面积极性，着力固根基、扬优势、补短板、强弱项，注重防范化解重大风险挑战，实现发展质量、结构、规模、速度</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效益、安全相统一。</w:t>
      </w:r>
    </w:p>
    <w:p>
      <w:pPr>
        <w:pStyle w:val="2"/>
        <w:widowControl w:val="0"/>
        <w:adjustRightInd w:val="0"/>
        <w:snapToGrid w:val="0"/>
        <w:spacing w:after="0"/>
        <w:ind w:firstLine="680" w:firstLineChars="200"/>
        <w:rPr>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坚持融入新发展格局。</w:t>
      </w:r>
      <w:r>
        <w:rPr>
          <w:color w:val="000000" w:themeColor="text1"/>
          <w:szCs w:val="32"/>
          <w14:textFill>
            <w14:solidFill>
              <w14:schemeClr w14:val="tx1"/>
            </w14:solidFill>
          </w14:textFill>
        </w:rPr>
        <w:t>立足双循环，把握发展大势，找准角色定位，发挥比较优势，着力打通生产、分配、流通、消费各个环节，充分利用国内国际两个市场、两种资源，主动服务和深度融入中部崛起、郑州大都市区建设、黄河流域生态保护和高质量发展等国家战略，积极探索融入新发展格局的有效路径，在服务全市全省全国构建新发展格局中展现更大作为。</w:t>
      </w:r>
    </w:p>
    <w:p>
      <w:pPr>
        <w:pStyle w:val="2"/>
        <w:widowControl w:val="0"/>
        <w:adjustRightInd w:val="0"/>
        <w:snapToGrid w:val="0"/>
        <w:spacing w:after="0"/>
        <w:ind w:firstLine="680" w:firstLineChars="200"/>
        <w:jc w:val="both"/>
        <w:rPr>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坚持求真务实。</w:t>
      </w:r>
      <w:r>
        <w:rPr>
          <w:color w:val="000000" w:themeColor="text1"/>
          <w:szCs w:val="32"/>
          <w14:textFill>
            <w14:solidFill>
              <w14:schemeClr w14:val="tx1"/>
            </w14:solidFill>
          </w14:textFill>
        </w:rPr>
        <w:t>把求真务实贯穿于工作落实全过程，作</w:t>
      </w:r>
      <w:r>
        <w:rPr>
          <w:color w:val="000000" w:themeColor="text1"/>
          <w:spacing w:val="3"/>
          <w:szCs w:val="32"/>
          <w14:textFill>
            <w14:solidFill>
              <w14:schemeClr w14:val="tx1"/>
            </w14:solidFill>
          </w14:textFill>
        </w:rPr>
        <w:t>决策必须立足区情，从实际出发，切实发扬钉钉子的精神，</w:t>
      </w:r>
      <w:r>
        <w:rPr>
          <w:color w:val="000000" w:themeColor="text1"/>
          <w:szCs w:val="32"/>
          <w14:textFill>
            <w14:solidFill>
              <w14:schemeClr w14:val="tx1"/>
            </w14:solidFill>
          </w14:textFill>
        </w:rPr>
        <w:t>抓具体、具体抓，推动工作目标计划落到实处，取得实效。</w:t>
      </w:r>
    </w:p>
    <w:p>
      <w:pPr>
        <w:pStyle w:val="5"/>
        <w:keepNext w:val="0"/>
        <w:keepLines w:val="0"/>
        <w:widowControl w:val="0"/>
        <w:adjustRightInd w:val="0"/>
        <w:snapToGrid w:val="0"/>
        <w:spacing w:before="297" w:beforeLines="50" w:after="297" w:afterLines="50" w:line="560" w:lineRule="exact"/>
        <w:ind w:firstLine="0" w:firstLineChars="0"/>
      </w:pPr>
      <w:bookmarkStart w:id="29" w:name="_Toc19926"/>
      <w:r>
        <w:t>第四节</w:t>
      </w:r>
      <w:r>
        <w:rPr>
          <w:rFonts w:hint="eastAsia"/>
        </w:rPr>
        <w:t xml:space="preserve"> </w:t>
      </w:r>
      <w:r>
        <w:t xml:space="preserve"> </w:t>
      </w:r>
      <w:r>
        <w:rPr>
          <w:rFonts w:hint="eastAsia"/>
        </w:rPr>
        <w:t>“</w:t>
      </w:r>
      <w:r>
        <w:t>十四五</w:t>
      </w:r>
      <w:r>
        <w:rPr>
          <w:rFonts w:hint="eastAsia"/>
        </w:rPr>
        <w:t>”</w:t>
      </w:r>
      <w:r>
        <w:t>时期经济社会发展目标</w:t>
      </w:r>
      <w:bookmarkEnd w:id="25"/>
      <w:bookmarkEnd w:id="26"/>
      <w:bookmarkEnd w:id="27"/>
      <w:bookmarkEnd w:id="28"/>
      <w:bookmarkEnd w:id="29"/>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高质量发展迈上新台阶。</w:t>
      </w:r>
      <w:r>
        <w:rPr>
          <w:rFonts w:ascii="Times New Roman" w:hAnsi="Times New Roman" w:eastAsia="仿宋_GB2312"/>
          <w:color w:val="000000" w:themeColor="text1"/>
          <w:szCs w:val="32"/>
          <w14:textFill>
            <w14:solidFill>
              <w14:schemeClr w14:val="tx1"/>
            </w14:solidFill>
          </w14:textFill>
        </w:rPr>
        <w:t>综合经济实力显著提升，主要经济指标年均增速高于全市平均水平。产业体系整体迈向中高端水平，主导产业链现代化水平明显提升，基本形成现代制造业与现代服务业融合发展的新格局，率先在全市进入数字化、网络化、智能化、移动化的数字经济时代，高质量发展水平走在全市前列。</w:t>
      </w:r>
    </w:p>
    <w:p>
      <w:pPr>
        <w:widowControl w:val="0"/>
        <w:autoSpaceDE w:val="0"/>
        <w:autoSpaceDN w:val="0"/>
        <w:adjustRightInd w:val="0"/>
        <w:snapToGrid w:val="0"/>
        <w:spacing w:after="0" w:line="560" w:lineRule="exact"/>
        <w:ind w:firstLine="680" w:firstLineChars="200"/>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改革创新取得新成就。</w:t>
      </w:r>
      <w:r>
        <w:rPr>
          <w:rFonts w:ascii="Times New Roman" w:hAnsi="Times New Roman" w:eastAsia="仿宋_GB2312"/>
          <w:color w:val="000000" w:themeColor="text1"/>
          <w:szCs w:val="32"/>
          <w14:textFill>
            <w14:solidFill>
              <w14:schemeClr w14:val="tx1"/>
            </w14:solidFill>
          </w14:textFill>
        </w:rPr>
        <w:t>高标准市场体系基本建成，市场主体更加充满活力，更高水平开放型经济体制基本形成。</w:t>
      </w:r>
      <w:r>
        <w:rPr>
          <w:rFonts w:ascii="Times New Roman" w:hAnsi="Times New Roman" w:eastAsia="仿宋_GB2312"/>
          <w:bCs/>
          <w:color w:val="000000" w:themeColor="text1"/>
          <w:szCs w:val="32"/>
          <w14:textFill>
            <w14:solidFill>
              <w14:schemeClr w14:val="tx1"/>
            </w14:solidFill>
          </w14:textFill>
        </w:rPr>
        <w:t>创新驱动发展的体制机制更加健全完善，拥有一批知名科研机构和骨干企业（团队），全社会研究开发投入、科技进步贡献率等主要创新指标高于全市平均水平。</w:t>
      </w:r>
    </w:p>
    <w:p>
      <w:pPr>
        <w:pStyle w:val="3"/>
        <w:widowControl w:val="0"/>
        <w:adjustRightInd w:val="0"/>
        <w:snapToGrid w:val="0"/>
        <w:spacing w:after="0"/>
        <w:ind w:firstLine="683"/>
        <w:rPr>
          <w:bCs/>
          <w:color w:val="000000" w:themeColor="text1"/>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生态文明实现新进步。</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文明城市</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无废城市</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创建工作走在全市前列，生产生活方式绿色转型成效显著，能源资源利用效率大幅提高，生态环境持续改善，生态安全屏障更加牢固，生态环境明显改善。</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社会文明得到新提高。</w:t>
      </w:r>
      <w:r>
        <w:rPr>
          <w:rFonts w:ascii="Times New Roman" w:hAnsi="Times New Roman" w:eastAsia="仿宋_GB2312"/>
          <w:color w:val="000000" w:themeColor="text1"/>
          <w:szCs w:val="32"/>
          <w14:textFill>
            <w14:solidFill>
              <w14:schemeClr w14:val="tx1"/>
            </w14:solidFill>
          </w14:textFill>
        </w:rPr>
        <w:t>社会主义核心价值观深入人心，人民思想道德素质、科学文化素质和身心健康素质明显提高，社会正能量进一步弘扬。公共文化服务体系更加健全，文化、旅游、商业深度融合，曹魏文化内涵深入挖掘，曹魏古城的修复和开发基本完成，积极争创国家级</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三国文化保护利用示范区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民生福祉达到新高度。</w:t>
      </w:r>
      <w:r>
        <w:rPr>
          <w:rFonts w:ascii="Times New Roman" w:hAnsi="Times New Roman" w:eastAsia="仿宋_GB2312"/>
          <w:color w:val="000000" w:themeColor="text1"/>
          <w:spacing w:val="-8"/>
          <w:szCs w:val="32"/>
          <w14:textFill>
            <w14:solidFill>
              <w14:schemeClr w14:val="tx1"/>
            </w14:solidFill>
          </w14:textFill>
        </w:rPr>
        <w:t>居民收入增长和经济增长基本同步，中、高收入群体规模明显扩大。基本公共服务均等化水平明显提高，实现更加充分、更高质量就业，义务教育质量领先全市，卫生健康体系更加完善，多层次社会保障体系更加健全，立体化公共安全网编织形成，人民享有更多获得感、幸福感和安全感。</w:t>
      </w:r>
    </w:p>
    <w:p>
      <w:pPr>
        <w:pStyle w:val="3"/>
        <w:widowControl w:val="0"/>
        <w:adjustRightInd w:val="0"/>
        <w:snapToGrid w:val="0"/>
        <w:spacing w:after="0"/>
        <w:ind w:firstLine="683"/>
        <w:jc w:val="both"/>
        <w:rPr>
          <w:color w:val="000000" w:themeColor="text1"/>
          <w:spacing w:val="-6"/>
          <w:szCs w:val="32"/>
          <w14:textFill>
            <w14:solidFill>
              <w14:schemeClr w14:val="tx1"/>
            </w14:solidFill>
          </w14:textFill>
        </w:rPr>
      </w:pPr>
      <w:r>
        <w:rPr>
          <w:rFonts w:ascii="楷体_GB2312" w:hAnsi="楷体_GB2312" w:eastAsia="楷体_GB2312" w:cs="楷体_GB2312"/>
          <w:b/>
          <w:bCs/>
          <w:color w:val="000000" w:themeColor="text1"/>
          <w:kern w:val="2"/>
          <w:szCs w:val="32"/>
          <w14:textFill>
            <w14:solidFill>
              <w14:schemeClr w14:val="tx1"/>
            </w14:solidFill>
          </w14:textFill>
        </w:rPr>
        <w:t>治理效能得到新提升。</w:t>
      </w:r>
      <w:r>
        <w:rPr>
          <w:color w:val="000000" w:themeColor="text1"/>
          <w:spacing w:val="-6"/>
          <w:szCs w:val="32"/>
          <w14:textFill>
            <w14:solidFill>
              <w14:schemeClr w14:val="tx1"/>
            </w14:solidFill>
          </w14:textFill>
        </w:rPr>
        <w:t>法治魏都建设深入推进，社会公平正义进一步彰显，行政效率和公信力显著提升，营商环境持续优化，治理水平进一步提升，防范化解重大风险体制机制不断健全，突发公共事件应急能力显著增强，发展安全保障更加有力。</w:t>
      </w:r>
    </w:p>
    <w:tbl>
      <w:tblPr>
        <w:tblStyle w:val="11"/>
        <w:tblpPr w:leftFromText="180" w:rightFromText="180" w:vertAnchor="text" w:horzAnchor="page" w:tblpXSpec="center" w:tblpY="286"/>
        <w:tblOverlap w:val="never"/>
        <w:tblW w:w="8760" w:type="dxa"/>
        <w:jc w:val="center"/>
        <w:tblLayout w:type="autofit"/>
        <w:tblCellMar>
          <w:top w:w="0" w:type="dxa"/>
          <w:left w:w="108" w:type="dxa"/>
          <w:bottom w:w="0" w:type="dxa"/>
          <w:right w:w="108" w:type="dxa"/>
        </w:tblCellMar>
      </w:tblPr>
      <w:tblGrid>
        <w:gridCol w:w="460"/>
        <w:gridCol w:w="2145"/>
        <w:gridCol w:w="1039"/>
        <w:gridCol w:w="1194"/>
        <w:gridCol w:w="1188"/>
        <w:gridCol w:w="1264"/>
        <w:gridCol w:w="1470"/>
      </w:tblGrid>
      <w:tr>
        <w:tblPrEx>
          <w:tblCellMar>
            <w:top w:w="0" w:type="dxa"/>
            <w:left w:w="108" w:type="dxa"/>
            <w:bottom w:w="0" w:type="dxa"/>
            <w:right w:w="108" w:type="dxa"/>
          </w:tblCellMar>
        </w:tblPrEx>
        <w:trPr>
          <w:trHeight w:val="680" w:hRule="atLeast"/>
          <w:jc w:val="center"/>
        </w:trPr>
        <w:tc>
          <w:tcPr>
            <w:tcW w:w="8760" w:type="dxa"/>
            <w:gridSpan w:val="7"/>
            <w:vMerge w:val="restart"/>
            <w:tcBorders>
              <w:top w:val="single" w:color="000000" w:sz="4" w:space="0"/>
              <w:left w:val="single" w:color="000000" w:sz="4" w:space="0"/>
              <w:bottom w:val="nil"/>
              <w:right w:val="single" w:color="000000" w:sz="4" w:space="0"/>
            </w:tcBorders>
            <w:noWrap/>
            <w:vAlign w:val="center"/>
          </w:tcPr>
          <w:p>
            <w:pPr>
              <w:widowControl w:val="0"/>
              <w:adjustRightInd w:val="0"/>
              <w:snapToGrid w:val="0"/>
              <w:spacing w:after="0" w:line="400" w:lineRule="exact"/>
              <w:jc w:val="center"/>
              <w:textAlignment w:val="center"/>
              <w:rPr>
                <w:rFonts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Cs/>
                <w:color w:val="000000" w:themeColor="text1"/>
                <w:sz w:val="28"/>
                <w:szCs w:val="28"/>
                <w:lang w:bidi="ar"/>
                <w14:textFill>
                  <w14:solidFill>
                    <w14:schemeClr w14:val="tx1"/>
                  </w14:solidFill>
                </w14:textFill>
              </w:rPr>
              <w:t>表</w:t>
            </w:r>
            <w:r>
              <w:rPr>
                <w:rFonts w:hint="eastAsia" w:ascii="Times New Roman" w:hAnsi="Times New Roman" w:eastAsia="黑体" w:cs="黑体"/>
                <w:bCs/>
                <w:color w:val="000000" w:themeColor="text1"/>
                <w:sz w:val="28"/>
                <w:szCs w:val="28"/>
                <w:lang w:bidi="ar"/>
                <w14:textFill>
                  <w14:solidFill>
                    <w14:schemeClr w14:val="tx1"/>
                  </w14:solidFill>
                </w14:textFill>
              </w:rPr>
              <w:t>2</w:t>
            </w:r>
            <w:r>
              <w:rPr>
                <w:rFonts w:hint="eastAsia" w:ascii="黑体" w:hAnsi="黑体" w:eastAsia="黑体" w:cs="黑体"/>
                <w:bCs/>
                <w:color w:val="000000" w:themeColor="text1"/>
                <w:sz w:val="28"/>
                <w:szCs w:val="28"/>
                <w:lang w:bidi="ar"/>
                <w14:textFill>
                  <w14:solidFill>
                    <w14:schemeClr w14:val="tx1"/>
                  </w14:solidFill>
                </w14:textFill>
              </w:rPr>
              <w:t>：魏都区“十四五”经济社会发展主要指标计划</w:t>
            </w:r>
          </w:p>
        </w:tc>
      </w:tr>
      <w:tr>
        <w:tblPrEx>
          <w:tblCellMar>
            <w:top w:w="0" w:type="dxa"/>
            <w:left w:w="108" w:type="dxa"/>
            <w:bottom w:w="0" w:type="dxa"/>
            <w:right w:w="108" w:type="dxa"/>
          </w:tblCellMar>
        </w:tblPrEx>
        <w:trPr>
          <w:trHeight w:val="680" w:hRule="atLeast"/>
          <w:jc w:val="center"/>
        </w:trPr>
        <w:tc>
          <w:tcPr>
            <w:tcW w:w="8760" w:type="dxa"/>
            <w:gridSpan w:val="7"/>
            <w:vMerge w:val="continue"/>
            <w:tcBorders>
              <w:top w:val="single" w:color="000000" w:sz="4" w:space="0"/>
              <w:left w:val="single" w:color="000000" w:sz="4" w:space="0"/>
              <w:bottom w:val="nil"/>
              <w:right w:val="single" w:color="000000" w:sz="4" w:space="0"/>
            </w:tcBorders>
            <w:noWrap/>
            <w:vAlign w:val="center"/>
          </w:tcPr>
          <w:p>
            <w:pPr>
              <w:widowControl w:val="0"/>
              <w:adjustRightInd w:val="0"/>
              <w:snapToGrid w:val="0"/>
              <w:spacing w:after="0" w:line="400" w:lineRule="exact"/>
              <w:jc w:val="center"/>
              <w:rPr>
                <w:rFonts w:ascii="Times New Roman" w:hAnsi="Times New Roman" w:eastAsia="宋体"/>
                <w:b/>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26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指 标</w:t>
            </w:r>
          </w:p>
        </w:tc>
        <w:tc>
          <w:tcPr>
            <w:tcW w:w="22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“十三五”基数</w:t>
            </w:r>
          </w:p>
        </w:tc>
        <w:tc>
          <w:tcPr>
            <w:tcW w:w="245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“十四五”目标</w:t>
            </w: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属性</w:t>
            </w:r>
          </w:p>
        </w:tc>
      </w:tr>
      <w:tr>
        <w:tblPrEx>
          <w:tblCellMar>
            <w:top w:w="0" w:type="dxa"/>
            <w:left w:w="108" w:type="dxa"/>
            <w:bottom w:w="0" w:type="dxa"/>
            <w:right w:w="108" w:type="dxa"/>
          </w:tblCellMar>
        </w:tblPrEx>
        <w:trPr>
          <w:trHeight w:val="680" w:hRule="atLeast"/>
          <w:jc w:val="center"/>
        </w:trPr>
        <w:tc>
          <w:tcPr>
            <w:tcW w:w="2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rPr>
                <w:rFonts w:ascii="Times New Roman" w:hAnsi="Times New Roman" w:eastAsia="宋体"/>
                <w:b/>
                <w:color w:val="000000" w:themeColor="text1"/>
                <w:sz w:val="20"/>
                <w:szCs w:val="20"/>
                <w14:textFill>
                  <w14:solidFill>
                    <w14:schemeClr w14:val="tx1"/>
                  </w14:solidFill>
                </w14:textFill>
              </w:rPr>
            </w:pPr>
          </w:p>
        </w:tc>
        <w:tc>
          <w:tcPr>
            <w:tcW w:w="22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rPr>
                <w:rFonts w:ascii="Times New Roman" w:hAnsi="Times New Roman" w:eastAsia="宋体"/>
                <w:b/>
                <w:color w:val="000000" w:themeColor="text1"/>
                <w:sz w:val="20"/>
                <w:szCs w:val="20"/>
                <w14:textFill>
                  <w14:solidFill>
                    <w14:schemeClr w14:val="tx1"/>
                  </w14:solidFill>
                </w14:textFill>
              </w:rPr>
            </w:pPr>
          </w:p>
        </w:tc>
        <w:tc>
          <w:tcPr>
            <w:tcW w:w="24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Times New Roman" w:hAnsi="Times New Roman" w:eastAsiaTheme="minorEastAsia"/>
                <w:b/>
                <w:color w:val="000000" w:themeColor="text1"/>
                <w:sz w:val="22"/>
                <w:lang w:bidi="ar"/>
                <w14:textFill>
                  <w14:solidFill>
                    <w14:schemeClr w14:val="tx1"/>
                  </w14:solidFill>
                </w14:textFill>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Times New Roman" w:hAnsi="Times New Roman" w:eastAsiaTheme="minorEastAsia"/>
                <w:bCs/>
                <w:color w:val="000000" w:themeColor="text1"/>
                <w:sz w:val="22"/>
                <w:lang w:bidi="ar"/>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2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rPr>
                <w:rFonts w:ascii="Times New Roman" w:hAnsi="Times New Roman" w:eastAsia="宋体"/>
                <w:b/>
                <w:color w:val="000000" w:themeColor="text1"/>
                <w:sz w:val="20"/>
                <w:szCs w:val="20"/>
                <w14:textFill>
                  <w14:solidFill>
                    <w14:schemeClr w14:val="tx1"/>
                  </w14:solidFill>
                </w14:textFill>
              </w:rPr>
            </w:pPr>
          </w:p>
        </w:tc>
        <w:tc>
          <w:tcPr>
            <w:tcW w:w="1039"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b/>
                <w:color w:val="000000" w:themeColor="text1"/>
                <w:sz w:val="22"/>
                <w14:textFill>
                  <w14:solidFill>
                    <w14:schemeClr w14:val="tx1"/>
                  </w14:solidFill>
                </w14:textFill>
              </w:rPr>
            </w:pPr>
            <w:r>
              <w:rPr>
                <w:rFonts w:hint="eastAsia" w:ascii="Times New Roman" w:hAnsi="Times New Roman" w:eastAsia="宋体" w:cs="宋体"/>
                <w:b/>
                <w:color w:val="000000" w:themeColor="text1"/>
                <w:sz w:val="22"/>
                <w:lang w:bidi="ar"/>
                <w14:textFill>
                  <w14:solidFill>
                    <w14:schemeClr w14:val="tx1"/>
                  </w14:solidFill>
                </w14:textFill>
              </w:rPr>
              <w:t>2020</w:t>
            </w:r>
            <w:r>
              <w:rPr>
                <w:rFonts w:hint="eastAsia" w:ascii="宋体" w:hAnsi="宋体" w:eastAsia="宋体" w:cs="宋体"/>
                <w:b/>
                <w:color w:val="000000" w:themeColor="text1"/>
                <w:sz w:val="22"/>
                <w:lang w:bidi="ar"/>
                <w14:textFill>
                  <w14:solidFill>
                    <w14:schemeClr w14:val="tx1"/>
                  </w14:solidFill>
                </w14:textFill>
              </w:rPr>
              <w:t>年绝对值</w:t>
            </w:r>
          </w:p>
        </w:tc>
        <w:tc>
          <w:tcPr>
            <w:tcW w:w="1194"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年均增长（%）</w:t>
            </w:r>
          </w:p>
        </w:tc>
        <w:tc>
          <w:tcPr>
            <w:tcW w:w="1188"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b/>
                <w:color w:val="000000" w:themeColor="text1"/>
                <w:sz w:val="22"/>
                <w:lang w:bidi="ar"/>
                <w14:textFill>
                  <w14:solidFill>
                    <w14:schemeClr w14:val="tx1"/>
                  </w14:solidFill>
                </w14:textFill>
              </w:rPr>
            </w:pPr>
            <w:r>
              <w:rPr>
                <w:rFonts w:hint="eastAsia" w:ascii="Times New Roman" w:hAnsi="Times New Roman" w:eastAsia="宋体" w:cs="宋体"/>
                <w:b/>
                <w:color w:val="000000" w:themeColor="text1"/>
                <w:sz w:val="22"/>
                <w:lang w:bidi="ar"/>
                <w14:textFill>
                  <w14:solidFill>
                    <w14:schemeClr w14:val="tx1"/>
                  </w14:solidFill>
                </w14:textFill>
              </w:rPr>
              <w:t>2025</w:t>
            </w:r>
            <w:r>
              <w:rPr>
                <w:rFonts w:hint="eastAsia" w:ascii="宋体" w:hAnsi="宋体" w:eastAsia="宋体" w:cs="宋体"/>
                <w:b/>
                <w:color w:val="000000" w:themeColor="text1"/>
                <w:sz w:val="22"/>
                <w:lang w:bidi="ar"/>
                <w14:textFill>
                  <w14:solidFill>
                    <w14:schemeClr w14:val="tx1"/>
                  </w14:solidFill>
                </w14:textFill>
              </w:rPr>
              <w:t>年</w:t>
            </w:r>
          </w:p>
          <w:p>
            <w:pPr>
              <w:widowControl w:val="0"/>
              <w:adjustRightInd w:val="0"/>
              <w:snapToGrid w:val="0"/>
              <w:spacing w:after="0" w:line="400" w:lineRule="exact"/>
              <w:jc w:val="center"/>
              <w:textAlignment w:val="top"/>
              <w:rPr>
                <w:rFonts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绝对值</w:t>
            </w:r>
          </w:p>
        </w:tc>
        <w:tc>
          <w:tcPr>
            <w:tcW w:w="1264"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年均增长（%）</w:t>
            </w: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Times New Roman" w:hAnsi="Times New Roman" w:eastAsiaTheme="minorEastAsia"/>
                <w:bCs/>
                <w:color w:val="000000" w:themeColor="text1"/>
                <w:sz w:val="22"/>
                <w:lang w:bidi="ar"/>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8760" w:type="dxa"/>
            <w:gridSpan w:val="7"/>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textAlignment w:val="top"/>
              <w:rPr>
                <w:rFonts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一、经济发展</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1</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地区生产总值增长（%）</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7</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6</w:t>
            </w: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2</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全员劳动生产率增长（元/人，</w:t>
            </w:r>
            <w:r>
              <w:rPr>
                <w:rFonts w:hint="eastAsia" w:ascii="Times New Roman" w:hAnsi="Times New Roman" w:eastAsia="宋体" w:cs="宋体"/>
                <w:color w:val="000000" w:themeColor="text1"/>
                <w:sz w:val="22"/>
                <w:lang w:bidi="ar"/>
                <w14:textFill>
                  <w14:solidFill>
                    <w14:schemeClr w14:val="tx1"/>
                  </w14:solidFill>
                </w14:textFill>
              </w:rPr>
              <w:t>2020</w:t>
            </w:r>
            <w:r>
              <w:rPr>
                <w:rFonts w:hint="eastAsia" w:ascii="宋体" w:hAnsi="宋体" w:eastAsia="宋体" w:cs="宋体"/>
                <w:color w:val="000000" w:themeColor="text1"/>
                <w:sz w:val="22"/>
                <w:lang w:bidi="ar"/>
                <w14:textFill>
                  <w14:solidFill>
                    <w14:schemeClr w14:val="tx1"/>
                  </w14:solidFill>
                </w14:textFill>
              </w:rPr>
              <w:t>年价格）</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6</w:t>
            </w:r>
            <w:r>
              <w:rPr>
                <w:rFonts w:hint="eastAsia" w:ascii="宋体" w:hAnsi="宋体" w:eastAsia="宋体" w:cs="宋体"/>
                <w:color w:val="000000" w:themeColor="text1"/>
                <w:sz w:val="20"/>
                <w:szCs w:val="20"/>
                <w14:textFill>
                  <w14:solidFill>
                    <w14:schemeClr w14:val="tx1"/>
                  </w14:solidFill>
                </w14:textFill>
              </w:rPr>
              <w:t>.</w:t>
            </w:r>
            <w:r>
              <w:rPr>
                <w:rFonts w:hint="eastAsia" w:ascii="Times New Roman" w:hAnsi="Times New Roman" w:eastAsia="宋体" w:cs="宋体"/>
                <w:color w:val="000000" w:themeColor="text1"/>
                <w:sz w:val="20"/>
                <w:szCs w:val="20"/>
                <w14:textFill>
                  <w14:solidFill>
                    <w14:schemeClr w14:val="tx1"/>
                  </w14:solidFill>
                </w14:textFill>
              </w:rPr>
              <w:t>2</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5</w:t>
            </w: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lang w:bidi="ar"/>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3</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lang w:bidi="ar"/>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固定资产投资增长（%）</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lang w:bidi="ar"/>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9</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lang w:bidi="ar"/>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lang w:bidi="ar"/>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lang w:bidi="ar"/>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4</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社会消费品零售总额增长（%）</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7</w:t>
            </w:r>
            <w:r>
              <w:rPr>
                <w:rFonts w:hint="eastAsia" w:ascii="宋体" w:hAnsi="宋体" w:eastAsia="宋体" w:cs="宋体"/>
                <w:color w:val="000000" w:themeColor="text1"/>
                <w:sz w:val="20"/>
                <w:szCs w:val="20"/>
                <w14:textFill>
                  <w14:solidFill>
                    <w14:schemeClr w14:val="tx1"/>
                  </w14:solidFill>
                </w14:textFill>
              </w:rPr>
              <w:t>.</w:t>
            </w:r>
            <w:r>
              <w:rPr>
                <w:rFonts w:hint="eastAsia" w:ascii="Times New Roman" w:hAnsi="Times New Roman" w:eastAsia="宋体" w:cs="宋体"/>
                <w:color w:val="000000" w:themeColor="text1"/>
                <w:sz w:val="20"/>
                <w:szCs w:val="20"/>
                <w14:textFill>
                  <w14:solidFill>
                    <w14:schemeClr w14:val="tx1"/>
                  </w14:solidFill>
                </w14:textFill>
              </w:rPr>
              <w:t>8</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7</w:t>
            </w: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8</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kern w:val="2"/>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5</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kern w:val="2"/>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常住人口城镇化率（%）</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kern w:val="2"/>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100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kern w:val="2"/>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100</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kern w:val="2"/>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8760" w:type="dxa"/>
            <w:gridSpan w:val="7"/>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lang w:bidi="ar"/>
                <w14:textFill>
                  <w14:solidFill>
                    <w14:schemeClr w14:val="tx1"/>
                  </w14:solidFill>
                </w14:textFill>
              </w:rPr>
              <w:t>二、创新驱动</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6</w:t>
            </w:r>
          </w:p>
        </w:tc>
        <w:tc>
          <w:tcPr>
            <w:tcW w:w="2145" w:type="dxa"/>
            <w:tcBorders>
              <w:top w:val="single" w:color="000000" w:sz="4" w:space="0"/>
              <w:left w:val="single" w:color="000000" w:sz="4" w:space="0"/>
              <w:bottom w:val="single" w:color="000000" w:sz="4" w:space="0"/>
              <w:right w:val="nil"/>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研发经费投入增长（%）</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94"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2</w:t>
            </w: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5</w:t>
            </w:r>
          </w:p>
        </w:tc>
        <w:tc>
          <w:tcPr>
            <w:tcW w:w="1188"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264" w:type="dxa"/>
            <w:tcBorders>
              <w:top w:val="single" w:color="000000" w:sz="4" w:space="0"/>
              <w:left w:val="nil"/>
              <w:bottom w:val="single" w:color="auto"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10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14:textFill>
                  <w14:solidFill>
                    <w14:schemeClr w14:val="tx1"/>
                  </w14:solidFill>
                </w14:textFill>
              </w:rPr>
              <w:t>7</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每万人口发明专利拥有量（件）</w:t>
            </w:r>
          </w:p>
        </w:tc>
        <w:tc>
          <w:tcPr>
            <w:tcW w:w="1039" w:type="dxa"/>
            <w:tcBorders>
              <w:top w:val="nil"/>
              <w:left w:val="single" w:color="000000" w:sz="4" w:space="0"/>
              <w:bottom w:val="single" w:color="000000" w:sz="4" w:space="0"/>
              <w:right w:val="single" w:color="auto"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27</w:t>
            </w:r>
            <w:r>
              <w:rPr>
                <w:rFonts w:hint="eastAsia" w:ascii="宋体" w:hAnsi="宋体" w:eastAsia="宋体" w:cs="宋体"/>
                <w:color w:val="000000" w:themeColor="text1"/>
                <w:sz w:val="20"/>
                <w:szCs w:val="20"/>
                <w14:textFill>
                  <w14:solidFill>
                    <w14:schemeClr w14:val="tx1"/>
                  </w14:solidFill>
                </w14:textFill>
              </w:rPr>
              <w:t>.</w:t>
            </w:r>
            <w:r>
              <w:rPr>
                <w:rFonts w:hint="eastAsia" w:ascii="Times New Roman" w:hAnsi="Times New Roman" w:eastAsia="宋体" w:cs="宋体"/>
                <w:color w:val="000000" w:themeColor="text1"/>
                <w:sz w:val="20"/>
                <w:szCs w:val="20"/>
                <w14:textFill>
                  <w14:solidFill>
                    <w14:schemeClr w14:val="tx1"/>
                  </w14:solidFill>
                </w14:textFill>
              </w:rPr>
              <w:t>9</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32</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470"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8760" w:type="dxa"/>
            <w:gridSpan w:val="7"/>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lang w:bidi="ar"/>
                <w14:textFill>
                  <w14:solidFill>
                    <w14:schemeClr w14:val="tx1"/>
                  </w14:solidFill>
                </w14:textFill>
              </w:rPr>
              <w:t>三、民生福祉</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8</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居民人均可支配收入增长（%）</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6</w:t>
            </w:r>
            <w:r>
              <w:rPr>
                <w:rFonts w:hint="eastAsia" w:ascii="宋体" w:hAnsi="宋体" w:eastAsia="宋体" w:cs="宋体"/>
                <w:color w:val="000000" w:themeColor="text1"/>
                <w:sz w:val="20"/>
                <w:szCs w:val="20"/>
                <w14:textFill>
                  <w14:solidFill>
                    <w14:schemeClr w14:val="tx1"/>
                  </w14:solidFill>
                </w14:textFill>
              </w:rPr>
              <w:t>.</w:t>
            </w:r>
            <w:r>
              <w:rPr>
                <w:rFonts w:hint="eastAsia" w:ascii="Times New Roman" w:hAnsi="Times New Roman" w:eastAsia="宋体" w:cs="宋体"/>
                <w:color w:val="000000" w:themeColor="text1"/>
                <w:sz w:val="20"/>
                <w:szCs w:val="20"/>
                <w14:textFill>
                  <w14:solidFill>
                    <w14:schemeClr w14:val="tx1"/>
                  </w14:solidFill>
                </w14:textFill>
              </w:rPr>
              <w:t>75</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6</w:t>
            </w: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9</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每千人拥有执业助理医师数（人）</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3</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3</w:t>
            </w: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2</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10</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基本养老保险参保率（%）</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100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100</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11</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人均预期寿命(岁）</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77</w:t>
            </w:r>
            <w:r>
              <w:rPr>
                <w:rFonts w:hint="eastAsia" w:ascii="宋体" w:hAnsi="宋体" w:eastAsia="宋体" w:cs="宋体"/>
                <w:color w:val="000000" w:themeColor="text1"/>
                <w:sz w:val="20"/>
                <w:szCs w:val="20"/>
                <w14:textFill>
                  <w14:solidFill>
                    <w14:schemeClr w14:val="tx1"/>
                  </w14:solidFill>
                </w14:textFill>
              </w:rPr>
              <w:t>.</w:t>
            </w:r>
            <w:r>
              <w:rPr>
                <w:rFonts w:hint="eastAsia" w:ascii="Times New Roman" w:hAnsi="Times New Roman" w:eastAsia="宋体" w:cs="宋体"/>
                <w:color w:val="000000" w:themeColor="text1"/>
                <w:sz w:val="20"/>
                <w:szCs w:val="20"/>
                <w14:textFill>
                  <w14:solidFill>
                    <w14:schemeClr w14:val="tx1"/>
                  </w14:solidFill>
                </w14:textFill>
              </w:rPr>
              <w:t>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1</w:t>
            </w:r>
            <w:r>
              <w:rPr>
                <w:rFonts w:hint="eastAsia" w:ascii="宋体" w:hAnsi="宋体" w:eastAsia="宋体" w:cs="宋体"/>
                <w:color w:val="000000" w:themeColor="text1"/>
                <w:sz w:val="20"/>
                <w:szCs w:val="20"/>
                <w:lang w:bidi="ar"/>
                <w14:textFill>
                  <w14:solidFill>
                    <w14:schemeClr w14:val="tx1"/>
                  </w14:solidFill>
                </w14:textFill>
              </w:rPr>
              <w:t>]</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预期性</w:t>
            </w:r>
          </w:p>
        </w:tc>
      </w:tr>
      <w:tr>
        <w:tblPrEx>
          <w:tblCellMar>
            <w:top w:w="0" w:type="dxa"/>
            <w:left w:w="108" w:type="dxa"/>
            <w:bottom w:w="0" w:type="dxa"/>
            <w:right w:w="108" w:type="dxa"/>
          </w:tblCellMar>
        </w:tblPrEx>
        <w:trPr>
          <w:trHeight w:val="680" w:hRule="atLeast"/>
          <w:jc w:val="center"/>
        </w:trPr>
        <w:tc>
          <w:tcPr>
            <w:tcW w:w="8760" w:type="dxa"/>
            <w:gridSpan w:val="7"/>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lang w:bidi="ar"/>
                <w14:textFill>
                  <w14:solidFill>
                    <w14:schemeClr w14:val="tx1"/>
                  </w14:solidFill>
                </w14:textFill>
              </w:rPr>
              <w:t>四、绿色生态</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12</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单位GDP能源消耗降幅（%）</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25</w:t>
            </w:r>
            <w:r>
              <w:rPr>
                <w:rFonts w:hint="eastAsia" w:ascii="宋体" w:hAnsi="宋体" w:eastAsia="宋体" w:cs="宋体"/>
                <w:color w:val="000000" w:themeColor="text1"/>
                <w:sz w:val="20"/>
                <w:szCs w:val="20"/>
                <w:lang w:bidi="ar"/>
                <w14:textFill>
                  <w14:solidFill>
                    <w14:schemeClr w14:val="tx1"/>
                  </w14:solidFill>
                </w14:textFill>
              </w:rPr>
              <w:t>]</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控制在市目标内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约束性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13</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单位GDP二氧化碳排放量降低（%）</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待定</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控制在市目标内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约束性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14</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城市空气优良天数比率（%）</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71</w:t>
            </w:r>
            <w:r>
              <w:rPr>
                <w:rFonts w:hint="eastAsia" w:ascii="宋体" w:hAnsi="宋体" w:eastAsia="宋体" w:cs="宋体"/>
                <w:color w:val="000000" w:themeColor="text1"/>
                <w:sz w:val="20"/>
                <w:szCs w:val="20"/>
                <w:lang w:bidi="ar"/>
                <w14:textFill>
                  <w14:solidFill>
                    <w14:schemeClr w14:val="tx1"/>
                  </w14:solidFill>
                </w14:textFill>
              </w:rPr>
              <w:t>.</w:t>
            </w:r>
            <w:r>
              <w:rPr>
                <w:rFonts w:hint="eastAsia" w:ascii="Times New Roman" w:hAnsi="Times New Roman" w:eastAsia="宋体" w:cs="宋体"/>
                <w:color w:val="000000" w:themeColor="text1"/>
                <w:sz w:val="20"/>
                <w:szCs w:val="20"/>
                <w:lang w:bidi="ar"/>
                <w14:textFill>
                  <w14:solidFill>
                    <w14:schemeClr w14:val="tx1"/>
                  </w14:solidFill>
                </w14:textFill>
              </w:rPr>
              <w:t>23</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控制在市目标内</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约束性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15</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达到或好于|||类水体占地表水比例（%）</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lang w:bidi="ar"/>
                <w14:textFill>
                  <w14:solidFill>
                    <w14:schemeClr w14:val="tx1"/>
                  </w14:solidFill>
                </w14:textFill>
              </w:rPr>
              <w:t>100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控制在市目标内</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约束性</w:t>
            </w:r>
          </w:p>
        </w:tc>
      </w:tr>
      <w:tr>
        <w:tblPrEx>
          <w:tblCellMar>
            <w:top w:w="0" w:type="dxa"/>
            <w:left w:w="108" w:type="dxa"/>
            <w:bottom w:w="0" w:type="dxa"/>
            <w:right w:w="108" w:type="dxa"/>
          </w:tblCellMar>
        </w:tblPrEx>
        <w:trPr>
          <w:trHeight w:val="6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16</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300" w:lineRule="exact"/>
              <w:textAlignment w:val="top"/>
              <w:rPr>
                <w:rFonts w:ascii="宋体" w:hAnsi="宋体" w:eastAsia="宋体" w:cs="宋体"/>
                <w:color w:val="000000" w:themeColor="text1"/>
                <w:sz w:val="22"/>
                <w:lang w:bidi="ar"/>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森林覆盖率（%）</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sz w:val="22"/>
                <w:lang w:bidi="ar"/>
                <w14:textFill>
                  <w14:solidFill>
                    <w14:schemeClr w14:val="tx1"/>
                  </w14:solidFill>
                </w14:textFill>
              </w:rPr>
              <w:t>41</w:t>
            </w:r>
            <w:r>
              <w:rPr>
                <w:rFonts w:hint="eastAsia" w:ascii="宋体" w:hAnsi="宋体" w:eastAsia="宋体" w:cs="宋体"/>
                <w:color w:val="000000" w:themeColor="text1"/>
                <w:sz w:val="22"/>
                <w:lang w:bidi="ar"/>
                <w14:textFill>
                  <w14:solidFill>
                    <w14:schemeClr w14:val="tx1"/>
                  </w14:solidFill>
                </w14:textFill>
              </w:rPr>
              <w:t>.</w:t>
            </w:r>
            <w:r>
              <w:rPr>
                <w:rFonts w:hint="eastAsia" w:ascii="Times New Roman" w:hAnsi="Times New Roman" w:eastAsia="宋体" w:cs="宋体"/>
                <w:color w:val="000000" w:themeColor="text1"/>
                <w:sz w:val="22"/>
                <w:lang w:bidi="ar"/>
                <w14:textFill>
                  <w14:solidFill>
                    <w14:schemeClr w14:val="tx1"/>
                  </w14:solidFill>
                </w14:textFill>
              </w:rPr>
              <w:t>26</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按市下达目标</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bidi="ar"/>
                <w14:textFill>
                  <w14:solidFill>
                    <w14:schemeClr w14:val="tx1"/>
                  </w14:solidFill>
                </w14:textFill>
              </w:rPr>
              <w:t>约束性</w:t>
            </w:r>
          </w:p>
        </w:tc>
      </w:tr>
      <w:tr>
        <w:tblPrEx>
          <w:tblCellMar>
            <w:top w:w="0" w:type="dxa"/>
            <w:left w:w="108" w:type="dxa"/>
            <w:bottom w:w="0" w:type="dxa"/>
            <w:right w:w="108" w:type="dxa"/>
          </w:tblCellMar>
        </w:tblPrEx>
        <w:trPr>
          <w:trHeight w:val="680" w:hRule="atLeast"/>
          <w:jc w:val="center"/>
        </w:trPr>
        <w:tc>
          <w:tcPr>
            <w:tcW w:w="8760" w:type="dxa"/>
            <w:gridSpan w:val="7"/>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400" w:lineRule="exact"/>
              <w:jc w:val="center"/>
              <w:textAlignment w:val="top"/>
              <w:rPr>
                <w:rFonts w:ascii="Times New Roman" w:hAnsi="Times New Roman" w:eastAsia="仿宋_GB2312"/>
                <w:color w:val="000000" w:themeColor="text1"/>
                <w:sz w:val="22"/>
                <w14:textFill>
                  <w14:solidFill>
                    <w14:schemeClr w14:val="tx1"/>
                  </w14:solidFill>
                </w14:textFill>
              </w:rPr>
            </w:pPr>
            <w:r>
              <w:rPr>
                <w:rFonts w:ascii="Times New Roman" w:hAnsi="Times New Roman" w:eastAsia="仿宋_GB2312"/>
                <w:b/>
                <w:bCs/>
                <w:color w:val="000000" w:themeColor="text1"/>
                <w:sz w:val="22"/>
                <w:lang w:bidi="ar"/>
                <w14:textFill>
                  <w14:solidFill>
                    <w14:schemeClr w14:val="tx1"/>
                  </w14:solidFill>
                </w14:textFill>
              </w:rPr>
              <w:t>注</w:t>
            </w:r>
            <w:r>
              <w:rPr>
                <w:rFonts w:ascii="Times New Roman" w:hAnsi="Times New Roman" w:eastAsia="仿宋_GB2312"/>
                <w:color w:val="000000" w:themeColor="text1"/>
                <w:sz w:val="22"/>
                <w:lang w:bidi="ar"/>
                <w14:textFill>
                  <w14:solidFill>
                    <w14:schemeClr w14:val="tx1"/>
                  </w14:solidFill>
                </w14:textFill>
              </w:rPr>
              <w:t>：1.地区生产总值年均增速为扣除价格因素的实际增长速度。2.[ ]为五年累计数。</w:t>
            </w:r>
          </w:p>
        </w:tc>
      </w:tr>
    </w:tbl>
    <w:p>
      <w:pPr>
        <w:pStyle w:val="5"/>
        <w:keepNext w:val="0"/>
        <w:keepLines w:val="0"/>
        <w:widowControl w:val="0"/>
        <w:adjustRightInd w:val="0"/>
        <w:snapToGrid w:val="0"/>
        <w:spacing w:before="297" w:beforeLines="50" w:after="297" w:afterLines="50" w:line="560" w:lineRule="exact"/>
        <w:ind w:firstLine="680"/>
      </w:pPr>
      <w:bookmarkStart w:id="30" w:name="_Toc7309"/>
      <w:bookmarkStart w:id="31" w:name="_Toc13903"/>
      <w:r>
        <w:t>第五节  二〇三五年的远景目标</w:t>
      </w:r>
      <w:bookmarkEnd w:id="30"/>
      <w:bookmarkEnd w:id="31"/>
    </w:p>
    <w:p>
      <w:pPr>
        <w:widowControl w:val="0"/>
        <w:adjustRightInd w:val="0"/>
        <w:snapToGrid w:val="0"/>
        <w:spacing w:after="0" w:line="564" w:lineRule="exact"/>
        <w:ind w:firstLine="704" w:firstLineChars="200"/>
        <w:jc w:val="both"/>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pacing w:val="6"/>
          <w:szCs w:val="32"/>
          <w14:textFill>
            <w14:solidFill>
              <w14:schemeClr w14:val="tx1"/>
            </w14:solidFill>
          </w14:textFill>
        </w:rPr>
        <w:t>对标国家、河南省和许昌市二〇三五年远景目标，到</w:t>
      </w:r>
      <w:r>
        <w:rPr>
          <w:rFonts w:ascii="Times New Roman" w:hAnsi="Times New Roman" w:eastAsia="仿宋_GB2312"/>
          <w:color w:val="000000" w:themeColor="text1"/>
          <w:szCs w:val="32"/>
          <w14:textFill>
            <w14:solidFill>
              <w14:schemeClr w14:val="tx1"/>
            </w14:solidFill>
          </w14:textFill>
        </w:rPr>
        <w:t>二〇三五年魏都区基本实现社会主义现代化，基本建成更加富强、民主、文明、和谐、美丽的现代化魏都。经济实力、创新能力大幅提升，发展质量和效益大幅提升，进入全省创新型强区之列。基本实现新型工业化、信息化、城镇化和农业农村现代化，建成现代化经济体系。乡村振兴全面推进，城乡发展差距进一步缩小。基本实现治理体系和治理能力现代化，人民平等参与、平等发展权利得到充分保障，基本建成法治魏都。生态环境更加宜居，广泛形成绿色生产生活方式，基本实现人与自然和谐共生的现代化。安全发展体制机制更加健全，政治安全、社会安定、人民安宁全面实现。建成现代化公共卫生防控体系和医疗卫生服务体系，居民健康指标优于全市平均水平。人民群众的素质和社会文明程度达到新高度，文化软实力显著增强。城乡居民人均收入迈上新台阶，中、高等收入群体显着扩大，基本公共服务实现均等化，人的全面发展、全区人民共同富裕取得更为明显的实质性进展。</w:t>
      </w:r>
    </w:p>
    <w:p>
      <w:pPr>
        <w:pStyle w:val="5"/>
        <w:keepNext w:val="0"/>
        <w:keepLines w:val="0"/>
        <w:widowControl w:val="0"/>
        <w:adjustRightInd w:val="0"/>
        <w:snapToGrid w:val="0"/>
        <w:spacing w:before="297" w:beforeLines="50" w:after="297" w:afterLines="50" w:line="566" w:lineRule="exact"/>
        <w:ind w:firstLine="0" w:firstLineChars="0"/>
      </w:pPr>
      <w:bookmarkStart w:id="32" w:name="_Toc23903"/>
      <w:bookmarkStart w:id="33" w:name="_Toc18309"/>
      <w:r>
        <w:t>第六节  战略导向</w:t>
      </w:r>
      <w:bookmarkEnd w:id="32"/>
      <w:bookmarkEnd w:id="33"/>
    </w:p>
    <w:p>
      <w:pPr>
        <w:widowControl w:val="0"/>
        <w:adjustRightInd w:val="0"/>
        <w:snapToGrid w:val="0"/>
        <w:spacing w:after="0" w:line="566"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实现</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十四五</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发展目标，必须突出战略重点，着眼解决制约经济社会持续健康发展的全局性、根本性、长远性问题，紧紧围绕加快</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产业兴区、创新强区、富民安区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建设，突出六大战略导向。</w:t>
      </w:r>
    </w:p>
    <w:p>
      <w:pPr>
        <w:widowControl w:val="0"/>
        <w:adjustRightInd w:val="0"/>
        <w:snapToGrid w:val="0"/>
        <w:spacing w:after="0" w:line="566"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w:t>
      </w:r>
      <w:r>
        <w:rPr>
          <w:rFonts w:hint="eastAsia" w:ascii="楷体_GB2312" w:hAnsi="楷体_GB2312" w:eastAsia="楷体_GB2312" w:cs="楷体_GB2312"/>
          <w:b/>
          <w:bCs/>
          <w:color w:val="000000" w:themeColor="text1"/>
          <w14:textFill>
            <w14:solidFill>
              <w14:schemeClr w14:val="tx1"/>
            </w14:solidFill>
          </w14:textFill>
        </w:rPr>
        <w:t>突出产业培育。</w:t>
      </w:r>
      <w:r>
        <w:rPr>
          <w:rFonts w:ascii="Times New Roman" w:hAnsi="Times New Roman" w:eastAsia="仿宋_GB2312"/>
          <w:color w:val="000000" w:themeColor="text1"/>
          <w:szCs w:val="32"/>
          <w14:textFill>
            <w14:solidFill>
              <w14:schemeClr w14:val="tx1"/>
            </w14:solidFill>
          </w14:textFill>
        </w:rPr>
        <w:t>制定出台产业兴区优惠奖励扶持政策，成立产业发展基金，依托5大园区主平台，做优做强高端制造、新材料、节能环保三大主导产业，升级改造传统产业，做精做特新兴产业，集聚一批</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旗舰型</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骨干企业，稳定供应链、优化产业链、提升价值链。顺应和把握消费升级大趋势，引进和发展时尚、旅游、文化、体育、健康、养老和教育新业态新品牌，大力提升科技服务、检测检验、工业设计、信息服务、装备租赁等与制造业紧密相关的生产性服务业发展水平，以消费环境改善和市场秩序规范释放新空间，以扩大有效供给和品质提升满足新需求，促进我区服务业向便捷化、精细化和高品质转变。</w:t>
      </w:r>
    </w:p>
    <w:p>
      <w:pPr>
        <w:widowControl w:val="0"/>
        <w:adjustRightInd w:val="0"/>
        <w:snapToGrid w:val="0"/>
        <w:spacing w:after="0" w:line="566"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——突出创新驱动。</w:t>
      </w:r>
      <w:r>
        <w:rPr>
          <w:rFonts w:ascii="Times New Roman" w:hAnsi="Times New Roman" w:eastAsia="仿宋_GB2312"/>
          <w:color w:val="000000" w:themeColor="text1"/>
          <w:szCs w:val="32"/>
          <w14:textFill>
            <w14:solidFill>
              <w14:schemeClr w14:val="tx1"/>
            </w14:solidFill>
          </w14:textFill>
        </w:rPr>
        <w:t>把创新摆在发展全局的突出位置，培育经济高质量发展新动能。瞄准高端制造、新材料、节能环保，以及数字经济和信息化产业领域，实施一批具有前瞻性、战略性的重大科技项目，建设一批智能化工业技术创新与转化平台。积极争取国家和省重大科学中心、综合性产业创新中心等落地布局，着力打造集产业创新服务综合体、众创空间、科技孵化器于一体的创新平台。强化企业创新主体地位，大力培育科技小巨人企业。完善科技创新体制机制，优化人才引进的服务保障体系，激发人才创新活力。完善新型企业培育机制，实施更大力度的企业研发投入财政奖补政策，推动科技创新全区覆盖，促进新技术产业化规模化应用。</w:t>
      </w:r>
    </w:p>
    <w:p>
      <w:pPr>
        <w:pStyle w:val="3"/>
        <w:widowControl w:val="0"/>
        <w:adjustRightInd w:val="0"/>
        <w:snapToGrid w:val="0"/>
        <w:spacing w:after="0" w:line="566" w:lineRule="exact"/>
        <w:ind w:firstLine="683"/>
        <w:rPr>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——突出开放带动。</w:t>
      </w:r>
      <w:r>
        <w:rPr>
          <w:snapToGrid w:val="0"/>
          <w:color w:val="000000" w:themeColor="text1"/>
          <w:szCs w:val="32"/>
          <w14:textFill>
            <w14:solidFill>
              <w14:schemeClr w14:val="tx1"/>
            </w14:solidFill>
          </w14:textFill>
        </w:rPr>
        <w:t>积极探索和运用网上招商、代理招商、委托招商、以商招商等多种形式，紧紧围绕主导产业、龙头企业、重点项目，积极参加省内外招商活动，着力提高招商实效。</w:t>
      </w:r>
      <w:r>
        <w:rPr>
          <w:color w:val="000000" w:themeColor="text1"/>
          <w:szCs w:val="32"/>
          <w14:textFill>
            <w14:solidFill>
              <w14:schemeClr w14:val="tx1"/>
            </w14:solidFill>
          </w14:textFill>
        </w:rPr>
        <w:t>把握国家支持中部地区承接东部沿海和国外产业转移机遇，依托工业5大园区主平台吸引优质项目落地。持续寻求与国内外高端研发机构协作，搭建公共卫生、数字经济、绿色发展、</w:t>
      </w:r>
      <w:r>
        <w:rPr>
          <w:color w:val="000000" w:themeColor="text1"/>
          <w:spacing w:val="6"/>
          <w:szCs w:val="32"/>
          <w14:textFill>
            <w14:solidFill>
              <w14:schemeClr w14:val="tx1"/>
            </w14:solidFill>
          </w14:textFill>
        </w:rPr>
        <w:t>科技教育常态化交流合作机制平台，积极开创开放发展新格</w:t>
      </w:r>
      <w:r>
        <w:rPr>
          <w:color w:val="000000" w:themeColor="text1"/>
          <w:szCs w:val="32"/>
          <w14:textFill>
            <w14:solidFill>
              <w14:schemeClr w14:val="tx1"/>
            </w14:solidFill>
          </w14:textFill>
        </w:rPr>
        <w:t>局。</w:t>
      </w:r>
    </w:p>
    <w:p>
      <w:pPr>
        <w:pStyle w:val="3"/>
        <w:widowControl w:val="0"/>
        <w:adjustRightInd w:val="0"/>
        <w:snapToGrid w:val="0"/>
        <w:spacing w:after="0" w:line="566" w:lineRule="exact"/>
        <w:ind w:firstLine="683"/>
        <w:rPr>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——突出资本运作。</w:t>
      </w:r>
      <w:r>
        <w:rPr>
          <w:color w:val="000000" w:themeColor="text1"/>
          <w:szCs w:val="32"/>
          <w14:textFill>
            <w14:solidFill>
              <w14:schemeClr w14:val="tx1"/>
            </w14:solidFill>
          </w14:textFill>
        </w:rPr>
        <w:t>依托魏都投资总公司，进一步做大做强政府融资平台，整合更多资源纳入平台公司资产包，鼓励政府平台公司以合作入股等方式与优质项目进行合作，通过资本运作助力产业快速发展。紧抓国家证券注册制改革机遇，精心挑选一批发展前景好、市场潜力大的</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专精特新</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小巨人企业、</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隐形冠军企业</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和高新技术企业，壮大上市后备企业储备库，强化企业上市服务指导，推动上市企业进一步扩大规模，整体提升魏都区地域品牌和企业知名度。</w:t>
      </w:r>
    </w:p>
    <w:p>
      <w:pPr>
        <w:pStyle w:val="3"/>
        <w:widowControl w:val="0"/>
        <w:adjustRightInd w:val="0"/>
        <w:snapToGrid w:val="0"/>
        <w:spacing w:after="0" w:line="566" w:lineRule="exact"/>
        <w:ind w:firstLine="683"/>
        <w:rPr>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——突出绿色发展。</w:t>
      </w:r>
      <w:r>
        <w:rPr>
          <w:color w:val="000000" w:themeColor="text1"/>
          <w:szCs w:val="32"/>
          <w14:textFill>
            <w14:solidFill>
              <w14:schemeClr w14:val="tx1"/>
            </w14:solidFill>
          </w14:textFill>
        </w:rPr>
        <w:t>坚持</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绿水青山就是金山银山</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发展理念，促进经济社会发展全面绿色转型。结合静脉产业园建设完善垃圾分类收集处置体系，实现资源循环化、智能化回收处理，推进</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无废城市</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建设。持续抓好污染防治，推进工业、建筑、交通等重点领域节能减排，推进清洁生产，推动空气质量持续好转。开展绿色生产、绿色包装、绿色采购，推广清洁利用技术和绿色建筑，提倡装配式、可循环利用的建筑方式。倡导绿色生活方式，形成全区生态共建、环境共治、成果共享的良好格局，为经济社会高质量发展提供坚实的环境支撑。</w:t>
      </w:r>
    </w:p>
    <w:p>
      <w:pPr>
        <w:pStyle w:val="3"/>
        <w:widowControl w:val="0"/>
        <w:adjustRightInd w:val="0"/>
        <w:snapToGrid w:val="0"/>
        <w:spacing w:after="0" w:line="566" w:lineRule="exact"/>
        <w:ind w:firstLine="683"/>
        <w:rPr>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——突出治理创新。</w:t>
      </w:r>
      <w:r>
        <w:rPr>
          <w:color w:val="000000" w:themeColor="text1"/>
          <w:szCs w:val="32"/>
          <w14:textFill>
            <w14:solidFill>
              <w14:schemeClr w14:val="tx1"/>
            </w14:solidFill>
          </w14:textFill>
        </w:rPr>
        <w:t>健全党建引领下的自治、法治、德治相结合的基层治理体系，实现政府治理同社会调节、居民自治良性互动。发挥群团组织和社会组织在社会治理中的作用，畅通和规范市场主体、新社会阶层、社会工作者和志愿者等参与社会治理的途径，构建网格化管理、精细化服务、信息化支撑、开放共享的基层管理服务平台。坚持和发展新时代</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枫桥经验</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，畅通和规范群众诉求表达、利益协调、权益保障通道。完善各类调解联动工作体系，构建源头防控、排查梳理、纠纷化解、应急处置的社会矛盾综合治理机制。</w:t>
      </w:r>
    </w:p>
    <w:p>
      <w:pPr>
        <w:pStyle w:val="4"/>
        <w:keepNext w:val="0"/>
        <w:keepLines w:val="0"/>
        <w:widowControl w:val="0"/>
        <w:adjustRightInd w:val="0"/>
        <w:snapToGrid w:val="0"/>
        <w:spacing w:after="0" w:line="600" w:lineRule="exact"/>
      </w:pPr>
      <w:bookmarkStart w:id="34" w:name="_Toc29362"/>
      <w:bookmarkStart w:id="35" w:name="_Toc14290"/>
      <w:bookmarkStart w:id="36" w:name="_Toc2758"/>
      <w:r>
        <w:t xml:space="preserve">第三章 </w:t>
      </w:r>
      <w:r>
        <w:rPr>
          <w:rFonts w:hint="eastAsia"/>
        </w:rPr>
        <w:t xml:space="preserve"> </w:t>
      </w:r>
      <w:r>
        <w:t>强化创新驱动，培育经济高质量</w:t>
      </w:r>
      <w:bookmarkEnd w:id="34"/>
    </w:p>
    <w:p>
      <w:pPr>
        <w:pStyle w:val="4"/>
        <w:keepNext w:val="0"/>
        <w:keepLines w:val="0"/>
        <w:widowControl w:val="0"/>
        <w:adjustRightInd w:val="0"/>
        <w:snapToGrid w:val="0"/>
        <w:spacing w:after="0" w:line="600" w:lineRule="exact"/>
      </w:pPr>
      <w:bookmarkStart w:id="37" w:name="_Toc22700"/>
      <w:r>
        <w:t>发展新动能</w:t>
      </w:r>
      <w:bookmarkEnd w:id="35"/>
      <w:bookmarkEnd w:id="36"/>
      <w:bookmarkEnd w:id="37"/>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bookmarkStart w:id="38" w:name="_Toc52578174"/>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加快完善综合创新生态体系，增强自主创新能力，激发全社会的创新活力和创造潜能，提升魏都区在全市创新体系中的地位，打造在全省有重要影响力的创新强区。</w:t>
      </w:r>
    </w:p>
    <w:bookmarkEnd w:id="38"/>
    <w:p>
      <w:pPr>
        <w:pStyle w:val="5"/>
        <w:keepNext w:val="0"/>
        <w:keepLines w:val="0"/>
        <w:widowControl w:val="0"/>
        <w:adjustRightInd w:val="0"/>
        <w:snapToGrid w:val="0"/>
        <w:spacing w:before="297" w:beforeLines="50" w:after="297" w:afterLines="50" w:line="560" w:lineRule="exact"/>
        <w:ind w:firstLine="0" w:firstLineChars="0"/>
      </w:pPr>
      <w:bookmarkStart w:id="39" w:name="_Toc26991"/>
      <w:bookmarkStart w:id="40" w:name="_Toc9328"/>
      <w:r>
        <w:t>第一节   提升自主创新能力</w:t>
      </w:r>
      <w:bookmarkEnd w:id="39"/>
      <w:bookmarkEnd w:id="40"/>
    </w:p>
    <w:p>
      <w:pPr>
        <w:widowControl w:val="0"/>
        <w:adjustRightInd w:val="0"/>
        <w:snapToGrid w:val="0"/>
        <w:spacing w:after="0" w:line="560" w:lineRule="exact"/>
        <w:ind w:firstLine="641"/>
        <w:jc w:val="both"/>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强化企业创新主体地位，促进各类创新要素向企业集聚，以市场为导向，推进创新链与产业链深度融合，加大统筹利用创新资源力度，提升企业原始创新、集成创新和引进消化吸收再创新能力。</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加强创新型企业培育。</w:t>
      </w:r>
      <w:r>
        <w:rPr>
          <w:rFonts w:ascii="Times New Roman" w:hAnsi="Times New Roman" w:eastAsia="仿宋_GB2312"/>
          <w:color w:val="000000" w:themeColor="text1"/>
          <w:szCs w:val="32"/>
          <w14:textFill>
            <w14:solidFill>
              <w14:schemeClr w14:val="tx1"/>
            </w14:solidFill>
          </w14:textFill>
        </w:rPr>
        <w:t>加大前沿科技、战略性新兴产业等支持力度，支持企业基础研究平台发展，大力提升企业技术创新主体地位。全面落实高新技术企业所得税优惠、研发费用加计扣除等普惠性政策，实施更大力度的企业研发投入财政奖补政策，推动科技创新政策全覆盖，引导企业加大研发投入。大力培育创新龙头企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瞪羚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企业（科技小巨人企业），构建高新技术企业培育机制，建立高新技术企业认定后备库，实现高新技术企业和科技型中小企业数量倍增，壮大以高新技术企业为主体的创新型企业集群。</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推动产业链融通创新。</w:t>
      </w:r>
      <w:r>
        <w:rPr>
          <w:rFonts w:ascii="Times New Roman" w:hAnsi="Times New Roman" w:eastAsia="仿宋_GB2312"/>
          <w:color w:val="000000" w:themeColor="text1"/>
          <w:szCs w:val="32"/>
          <w14:textFill>
            <w14:solidFill>
              <w14:schemeClr w14:val="tx1"/>
            </w14:solidFill>
          </w14:textFill>
        </w:rPr>
        <w:t>发挥大企业引领支撑作用，开展主导产业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龙头企业创新转型试点，支持纪年科技、河南爱彼爱和、恩诺格、许昌远方工贸等行业骨干企业建设国家级重点实验室、企业技术中心、工业设计中心等重大创新平台，加强共性技术平台建设，推动产业链上中下游、大中小企业融通创新，支持创新型中小微企业成长为创新重要发源地。</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组建创新联合体。</w:t>
      </w:r>
      <w:r>
        <w:rPr>
          <w:rFonts w:ascii="Times New Roman" w:hAnsi="Times New Roman" w:eastAsia="仿宋_GB2312"/>
          <w:color w:val="000000" w:themeColor="text1"/>
          <w:szCs w:val="32"/>
          <w14:textFill>
            <w14:solidFill>
              <w14:schemeClr w14:val="tx1"/>
            </w14:solidFill>
          </w14:textFill>
        </w:rPr>
        <w:t>支持龙头企业牵头组建创新联合体，以实体平台和具体项目为纽带推进产学研深度融合。瞄准先进制造业、新材料、节能环保、数字经济等领域，实施一批具有前瞻性、战略性的重大科技项目，争取国家级重点研发计划项目、省、市、区联动实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十百千</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转型升级创新专项，开展关键技术攻关，推进创新示范应用。鼓励企业运用网络平台集聚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对接社会创新资源，建立首席技师、工匠工作室等机制，带动职工投入制造环节创新，提高新产品开发能力，提升产品品质。</w:t>
      </w:r>
    </w:p>
    <w:p>
      <w:pPr>
        <w:pStyle w:val="5"/>
        <w:keepNext w:val="0"/>
        <w:keepLines w:val="0"/>
        <w:widowControl w:val="0"/>
        <w:adjustRightInd w:val="0"/>
        <w:snapToGrid w:val="0"/>
        <w:spacing w:before="297" w:beforeLines="50" w:after="297" w:afterLines="50" w:line="560" w:lineRule="exact"/>
        <w:ind w:firstLine="0" w:firstLineChars="0"/>
      </w:pPr>
      <w:bookmarkStart w:id="41" w:name="_Toc27518"/>
      <w:bookmarkStart w:id="42" w:name="_Toc13702"/>
      <w:r>
        <w:t>第二节  搭建创新创业平台</w:t>
      </w:r>
      <w:bookmarkEnd w:id="41"/>
      <w:bookmarkEnd w:id="42"/>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充分发挥各类创新创业综合体带动作用，汇聚各类创新要素，形成集群创新效应，引领创新驱动发展。</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构建综合创新服务平台</w:t>
      </w:r>
      <w:r>
        <w:rPr>
          <w:rFonts w:ascii="Times New Roman" w:hAnsi="Times New Roman" w:eastAsia="仿宋_GB2312"/>
          <w:b/>
          <w:bCs/>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高标准推进魏都区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市民之家</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创新创业综合体建设，加快双创基地、专业化众创空间、科技企业孵化器、星创天地等各类创新创业孵化平台建设，构建集</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互联网+</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技术信息、交易、转让、融资、孵化等为一体的综合服务平台，建成科技成果交易转化中心。</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推进产业创新中心建设。</w:t>
      </w:r>
      <w:r>
        <w:rPr>
          <w:rFonts w:ascii="Times New Roman" w:hAnsi="Times New Roman" w:eastAsia="仿宋_GB2312"/>
          <w:color w:val="000000" w:themeColor="text1"/>
          <w:szCs w:val="32"/>
          <w14:textFill>
            <w14:solidFill>
              <w14:schemeClr w14:val="tx1"/>
            </w14:solidFill>
          </w14:textFill>
        </w:rPr>
        <w:t>鼓励龙头企业牵头，聚焦主导产业，联合高等院校、科研院所，以产学研合作形式设立产业技术研发机构，依托北理工两个分中心，积极争取国家和省重大科学中心、综合性产业创新中心等落地布局。鼓励国家重点（工程）实验室、国家工程（技术）研究中心、企业技术中心等各类创新平台开展应用示范，举办好全国阻燃学术年会和国际阻燃峰会高峰论坛，开放共享创新资源。</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建设创新型平台机构。</w:t>
      </w:r>
      <w:r>
        <w:rPr>
          <w:rFonts w:ascii="Times New Roman" w:hAnsi="Times New Roman" w:eastAsia="仿宋_GB2312"/>
          <w:color w:val="000000" w:themeColor="text1"/>
          <w:szCs w:val="32"/>
          <w14:textFill>
            <w14:solidFill>
              <w14:schemeClr w14:val="tx1"/>
            </w14:solidFill>
          </w14:textFill>
        </w:rPr>
        <w:t>加快建设一批创新设计、公共监测、科技信息和专业技术平台。引导支持有条件的企业组建中原学者工作站。支持国内外一流科研院所、高等院校、科技研发平台、大型企业以及研发机构等设立或共建新型研发机构。充分挖掘创新创业资源，分层次布局建设科技企业孵化器、众创空间、</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双创</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基地等创新创业孵化平台。加强科技企业孵化器从业人员和管理人员培训，全面提升创新创业孵化平台的服务能力与水平。</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深化军民融合协同创新。</w:t>
      </w:r>
      <w:r>
        <w:rPr>
          <w:rFonts w:ascii="Times New Roman" w:hAnsi="Times New Roman" w:eastAsia="仿宋_GB2312"/>
          <w:color w:val="000000" w:themeColor="text1"/>
          <w:szCs w:val="32"/>
          <w14:textFill>
            <w14:solidFill>
              <w14:schemeClr w14:val="tx1"/>
            </w14:solidFill>
          </w14:textFill>
        </w:rPr>
        <w:t>统筹军地科技创新资源，积极推进魏都区军民融合企业加快发展，鼓励</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军转民</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民参军</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，强化国防科技关键技术</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卡脖子</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攻关，推进共性关键技术转化为生产力。</w:t>
      </w:r>
      <w:bookmarkStart w:id="43" w:name="_Toc764"/>
    </w:p>
    <w:p>
      <w:pPr>
        <w:pStyle w:val="5"/>
        <w:keepNext w:val="0"/>
        <w:keepLines w:val="0"/>
        <w:widowControl w:val="0"/>
        <w:adjustRightInd w:val="0"/>
        <w:snapToGrid w:val="0"/>
        <w:spacing w:before="297" w:beforeLines="50" w:after="297" w:afterLines="50" w:line="560" w:lineRule="exact"/>
        <w:ind w:firstLine="0" w:firstLineChars="0"/>
      </w:pPr>
      <w:bookmarkStart w:id="44" w:name="_Toc27893"/>
      <w:r>
        <w:t>第三节  构筑人才集聚高地</w:t>
      </w:r>
      <w:bookmarkEnd w:id="43"/>
      <w:bookmarkEnd w:id="44"/>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深入实施人才强区战略，实行更加积极、更加开放、更加有效的人才政策，深化人才发展体制机制改革，全方位培养、引进、用好人才，加强科技人才队伍和创新团队建设。</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完善多元化人才引育机制。</w:t>
      </w:r>
      <w:r>
        <w:rPr>
          <w:rFonts w:ascii="Times New Roman" w:hAnsi="Times New Roman" w:eastAsia="仿宋_GB2312"/>
          <w:color w:val="000000" w:themeColor="text1"/>
          <w:szCs w:val="32"/>
          <w14:textFill>
            <w14:solidFill>
              <w14:schemeClr w14:val="tx1"/>
            </w14:solidFill>
          </w14:textFill>
        </w:rPr>
        <w:t>深入实施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许昌英才计划</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，大力引进一批</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高精尖缺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的战略科技人才、科技领军人才和创新团队，推动河南籍人才特别是科技型人才回许昌创业创新。发展壮大重点产业人才队伍，加快引进和培育专业拔尖、掌握核心技术的产业领军人才。加强技能人才队伍建设，完善现代技工教育和职业培训体系，推动校企合作办学和新型学徒制人才培养，实施劳动者技能素质提升工程，多渠道有针对性地培养高技能人才。加强职业教育教学专家、学术技术带头人选拔培养等，加强专业技术人才队伍建设。加大本地科技人才培养支持力度，争取进入国家、省科技创新人才计划。</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健全创新人才激励和保障机制。</w:t>
      </w:r>
      <w:r>
        <w:rPr>
          <w:rFonts w:ascii="Times New Roman" w:hAnsi="Times New Roman" w:eastAsia="仿宋_GB2312"/>
          <w:color w:val="000000" w:themeColor="text1"/>
          <w:szCs w:val="32"/>
          <w14:textFill>
            <w14:solidFill>
              <w14:schemeClr w14:val="tx1"/>
            </w14:solidFill>
          </w14:textFill>
        </w:rPr>
        <w:t>建立以创新能力、质量、实效、贡献为导向的科技人才评价体系。构建充分体现知识、技术等创新要素价值的收益分配机制，完善科研人员职务发明成果权益分享机制。强化科研成果激励机制，加大对作出重大科技贡献的优秀创新团队和人才的奖励，激发人才创新创业活力。加强创新型、应用型、技能型人才培养，实施知识更新工程、技能提升行动，壮大高水平工程师、高技能人才和高层次跨专业实干型人才队伍。实施人才安居工程，优化高层次人才安居政策，高标准建设一批人才社区、人才公寓。进一步促进事业单位优化岗位设置，完善聘用管理办法，深入推进职称制度改革。</w:t>
      </w:r>
    </w:p>
    <w:p>
      <w:pPr>
        <w:pStyle w:val="5"/>
        <w:keepNext w:val="0"/>
        <w:keepLines w:val="0"/>
        <w:widowControl w:val="0"/>
        <w:adjustRightInd w:val="0"/>
        <w:snapToGrid w:val="0"/>
        <w:spacing w:before="297" w:beforeLines="50" w:after="297" w:afterLines="50" w:line="560" w:lineRule="exact"/>
        <w:ind w:firstLine="0" w:firstLineChars="0"/>
      </w:pPr>
      <w:bookmarkStart w:id="45" w:name="_Toc1944"/>
      <w:bookmarkStart w:id="46" w:name="_Toc9113"/>
      <w:r>
        <w:t>第四节  完善创新体制机制</w:t>
      </w:r>
      <w:bookmarkEnd w:id="45"/>
      <w:bookmarkEnd w:id="46"/>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深入推进科技体制改革，完善科技治理体系，优化科技规划体系和运行机制，推动重点领域项目、基地、人才、资金一体化配置。</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改进科技项目组织管理方式。</w:t>
      </w:r>
      <w:r>
        <w:rPr>
          <w:rFonts w:ascii="Times New Roman" w:hAnsi="Times New Roman" w:eastAsia="仿宋_GB2312"/>
          <w:color w:val="000000" w:themeColor="text1"/>
          <w:szCs w:val="32"/>
          <w14:textFill>
            <w14:solidFill>
              <w14:schemeClr w14:val="tx1"/>
            </w14:solidFill>
          </w14:textFill>
        </w:rPr>
        <w:t>建立市场导向的技术创新项目立项和组织方式，实行重大创新需求公开征集定期发布制度，实施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揭榜挂帅</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、定向委托、择优委托等形式。探索科研项目经理人制度，推动赋予科研人员更大的人财物支配权和技术路线决策权。健全科学分类、合理多元的科研绩效评价机制，提高科技攻关效率。</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加大技术创新投入力度。</w:t>
      </w:r>
      <w:r>
        <w:rPr>
          <w:rFonts w:ascii="Times New Roman" w:hAnsi="Times New Roman" w:eastAsia="仿宋_GB2312"/>
          <w:color w:val="000000" w:themeColor="text1"/>
          <w:szCs w:val="32"/>
          <w14:textFill>
            <w14:solidFill>
              <w14:schemeClr w14:val="tx1"/>
            </w14:solidFill>
          </w14:textFill>
        </w:rPr>
        <w:t>健全政府投入、社会多渠道投入机制。持续稳定财政科技投入增长，优化投入方向和重点，加大基础研究和前沿科技研发支持力度，加强重大创新平台运行保障，同等条件下政府优先采购创新产品。更多运用财政后补助、间接投入等方式带动社会资本投入。完善金融支持创新体系，创新投贷联动、股债结合、知识产权质押、专利保险等产品和服务，实行更有效率的政府基金管理运营机制，完善科技融资担保风险补偿政策，加快发展创业投资和产业投资基金。构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基础研究+技术攻关+成果产业化+科技金融</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的全过程科技创新生态链，建立金融大数据库，打通政府、金融机构、企业信息通道。</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加快科技成果转移转化。</w:t>
      </w:r>
      <w:r>
        <w:rPr>
          <w:rFonts w:ascii="Times New Roman" w:hAnsi="Times New Roman" w:eastAsia="仿宋_GB2312"/>
          <w:color w:val="000000" w:themeColor="text1"/>
          <w:szCs w:val="32"/>
          <w14:textFill>
            <w14:solidFill>
              <w14:schemeClr w14:val="tx1"/>
            </w14:solidFill>
          </w14:textFill>
        </w:rPr>
        <w:t>加强知识产权保护、应用和服务，建立健全知识产权行政执法、纠纷解决等机制，探索引入侵权惩罚性赔偿制度，大幅提高科技成果转移转化成效。推动科学发现、技术发明和产业一体化发展，组织实施技术成果应用示范计划，大力推进高技术产业化工程，促进产业核心技术和关键技术的应用推广和成果转化。鼓励使用首台（套）重大技术装备，加大创新产品和服务采购力度，带动</w:t>
      </w:r>
      <w:r>
        <w:rPr>
          <w:rFonts w:ascii="Times New Roman" w:hAnsi="Times New Roman" w:eastAsia="仿宋_GB2312"/>
          <w:color w:val="000000" w:themeColor="text1"/>
          <w:spacing w:val="-6"/>
          <w:szCs w:val="32"/>
          <w14:textFill>
            <w14:solidFill>
              <w14:schemeClr w14:val="tx1"/>
            </w14:solidFill>
          </w14:textFill>
        </w:rPr>
        <w:t>创新产品规模化应用。积极发展技术交易服务市场，鼓励社会资本进入科技成果转化服务领域，增强科技成果转化综合服务功能，提供信息交流、价值评价、技术交易等</w:t>
      </w:r>
      <w:r>
        <w:rPr>
          <w:rFonts w:hint="eastAsia" w:ascii="Times New Roman" w:hAnsi="Times New Roman" w:eastAsia="仿宋_GB2312"/>
          <w:color w:val="000000" w:themeColor="text1"/>
          <w:spacing w:val="-6"/>
          <w:szCs w:val="32"/>
          <w14:textFill>
            <w14:solidFill>
              <w14:schemeClr w14:val="tx1"/>
            </w14:solidFill>
          </w14:textFill>
        </w:rPr>
        <w:t>“</w:t>
      </w:r>
      <w:r>
        <w:rPr>
          <w:rFonts w:ascii="Times New Roman" w:hAnsi="Times New Roman" w:eastAsia="仿宋_GB2312"/>
          <w:color w:val="000000" w:themeColor="text1"/>
          <w:spacing w:val="-6"/>
          <w:szCs w:val="32"/>
          <w14:textFill>
            <w14:solidFill>
              <w14:schemeClr w14:val="tx1"/>
            </w14:solidFill>
          </w14:textFill>
        </w:rPr>
        <w:t>一站式</w:t>
      </w:r>
      <w:r>
        <w:rPr>
          <w:rFonts w:hint="eastAsia" w:ascii="Times New Roman" w:hAnsi="Times New Roman" w:eastAsia="仿宋_GB2312"/>
          <w:color w:val="000000" w:themeColor="text1"/>
          <w:spacing w:val="-6"/>
          <w:szCs w:val="32"/>
          <w14:textFill>
            <w14:solidFill>
              <w14:schemeClr w14:val="tx1"/>
            </w14:solidFill>
          </w14:textFill>
        </w:rPr>
        <w:t>”</w:t>
      </w:r>
      <w:r>
        <w:rPr>
          <w:rFonts w:ascii="Times New Roman" w:hAnsi="Times New Roman" w:eastAsia="仿宋_GB2312"/>
          <w:color w:val="000000" w:themeColor="text1"/>
          <w:spacing w:val="-6"/>
          <w:szCs w:val="32"/>
          <w14:textFill>
            <w14:solidFill>
              <w14:schemeClr w14:val="tx1"/>
            </w14:solidFill>
          </w14:textFill>
        </w:rPr>
        <w:t>服务</w:t>
      </w:r>
      <w:r>
        <w:rPr>
          <w:rFonts w:ascii="Times New Roman" w:hAnsi="Times New Roman" w:eastAsia="仿宋_GB2312"/>
          <w:color w:val="000000" w:themeColor="text1"/>
          <w:szCs w:val="32"/>
          <w14:textFill>
            <w14:solidFill>
              <w14:schemeClr w14:val="tx1"/>
            </w14:solidFill>
          </w14:textFill>
        </w:rPr>
        <w:t>。</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营造崇尚创新良好氛围。</w:t>
      </w:r>
      <w:r>
        <w:rPr>
          <w:rFonts w:ascii="Times New Roman" w:hAnsi="Times New Roman" w:eastAsia="仿宋_GB2312"/>
          <w:color w:val="000000" w:themeColor="text1"/>
          <w:szCs w:val="32"/>
          <w14:textFill>
            <w14:solidFill>
              <w14:schemeClr w14:val="tx1"/>
            </w14:solidFill>
          </w14:textFill>
        </w:rPr>
        <w:t>弘扬科学精神和工匠精神，加强科研诚信建设，加强科普工作。给予企业家更多的包容和鼓励，实施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企业家队伍培养十百千行动计划</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围绕现代企业管理、宏观经济形势、产业发展形势、科技发展前沿等内容对企业家开展培训。促进大众创业万众创新和新经济蓬勃发展，组织开展创新创业大赛，举办投资路演、创业训练营等各类创新创业活动，全面激发科技人员创业热情，审慎包容监管新技术</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新业态</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新模式。宣传创新文化，树立创新先进人物，总结创新有益做法，大力营造敢于创新、宽容失败的社会氛围。</w:t>
      </w:r>
      <w:bookmarkStart w:id="47" w:name="_Toc9265"/>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2"/>
        <w:widowControl w:val="0"/>
        <w:adjustRightInd w:val="0"/>
        <w:snapToGrid w:val="0"/>
        <w:spacing w:after="0" w:line="590" w:lineRule="exact"/>
        <w:ind w:firstLine="340"/>
      </w:pPr>
    </w:p>
    <w:p>
      <w:pPr>
        <w:pStyle w:val="4"/>
        <w:keepNext w:val="0"/>
        <w:keepLines w:val="0"/>
        <w:widowControl w:val="0"/>
        <w:adjustRightInd w:val="0"/>
        <w:snapToGrid w:val="0"/>
        <w:spacing w:after="0" w:line="600" w:lineRule="exact"/>
      </w:pPr>
      <w:bookmarkStart w:id="48" w:name="_Toc27702"/>
      <w:bookmarkStart w:id="49" w:name="_Toc20934"/>
      <w:r>
        <w:t xml:space="preserve">第四章  </w:t>
      </w:r>
      <w:bookmarkEnd w:id="47"/>
      <w:r>
        <w:t>加快制造业转型升级，</w:t>
      </w:r>
      <w:bookmarkEnd w:id="48"/>
      <w:bookmarkEnd w:id="49"/>
      <w:bookmarkStart w:id="50" w:name="_Toc1887"/>
      <w:r>
        <w:t>构建现代化制造业新体系</w:t>
      </w:r>
      <w:bookmarkEnd w:id="50"/>
      <w:r>
        <w:t xml:space="preserve"> </w:t>
      </w:r>
    </w:p>
    <w:p>
      <w:pPr>
        <w:widowControl w:val="0"/>
        <w:adjustRightInd w:val="0"/>
        <w:snapToGrid w:val="0"/>
        <w:spacing w:after="0" w:line="560" w:lineRule="exact"/>
        <w:ind w:firstLine="680" w:firstLineChars="200"/>
        <w:rPr>
          <w:rFonts w:ascii="Times New Roman" w:hAnsi="Times New Roman" w:eastAsia="仿宋"/>
          <w:color w:val="000000" w:themeColor="text1"/>
          <w:szCs w:val="32"/>
          <w14:textFill>
            <w14:solidFill>
              <w14:schemeClr w14:val="tx1"/>
            </w14:solidFill>
          </w14:textFill>
        </w:rPr>
      </w:pPr>
      <w:bookmarkStart w:id="51" w:name="_Toc31416"/>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坚持把经济发展的主要着力点放在制造业上，大力实施工业“</w:t>
      </w:r>
      <w:r>
        <w:rPr>
          <w:rFonts w:hint="eastAsia" w:ascii="Times New Roman" w:hAnsi="Times New Roman" w:eastAsia="仿宋_GB2312" w:cs="仿宋_GB2312"/>
          <w:color w:val="000000" w:themeColor="text1"/>
          <w:szCs w:val="32"/>
          <w14:textFill>
            <w14:solidFill>
              <w14:schemeClr w14:val="tx1"/>
            </w14:solidFill>
          </w14:textFill>
        </w:rPr>
        <w:t>1355</w:t>
      </w:r>
      <w:r>
        <w:rPr>
          <w:rFonts w:hint="eastAsia" w:ascii="仿宋_GB2312" w:hAnsi="仿宋_GB2312" w:eastAsia="仿宋_GB2312" w:cs="仿宋_GB2312"/>
          <w:color w:val="000000" w:themeColor="text1"/>
          <w:szCs w:val="32"/>
          <w14:textFill>
            <w14:solidFill>
              <w14:schemeClr w14:val="tx1"/>
            </w14:solidFill>
          </w14:textFill>
        </w:rPr>
        <w:t>”行动计划，加快制造业转型升级</w:t>
      </w:r>
      <w:r>
        <w:rPr>
          <w:rFonts w:ascii="Times New Roman" w:hAnsi="Times New Roman" w:eastAsia="仿宋_GB2312"/>
          <w:color w:val="000000" w:themeColor="text1"/>
          <w:szCs w:val="32"/>
          <w14:textFill>
            <w14:solidFill>
              <w14:schemeClr w14:val="tx1"/>
            </w14:solidFill>
          </w14:textFill>
        </w:rPr>
        <w:t>，厚植实体经济优势，增强制造业的核心竞争力。</w:t>
      </w:r>
    </w:p>
    <w:p>
      <w:pPr>
        <w:pStyle w:val="5"/>
        <w:keepNext w:val="0"/>
        <w:keepLines w:val="0"/>
        <w:widowControl w:val="0"/>
        <w:adjustRightInd w:val="0"/>
        <w:snapToGrid w:val="0"/>
        <w:spacing w:before="297" w:beforeLines="50" w:after="297" w:afterLines="50" w:line="560" w:lineRule="exact"/>
        <w:ind w:firstLine="0" w:firstLineChars="0"/>
      </w:pPr>
      <w:bookmarkStart w:id="52" w:name="_Toc17126"/>
      <w:r>
        <w:t xml:space="preserve">第一节 </w:t>
      </w:r>
      <w:r>
        <w:rPr>
          <w:rFonts w:hint="eastAsia"/>
        </w:rPr>
        <w:t xml:space="preserve"> </w:t>
      </w:r>
      <w:r>
        <w:t>锚定高质量发展方向</w:t>
      </w:r>
      <w:bookmarkEnd w:id="51"/>
      <w:bookmarkEnd w:id="52"/>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实施产业基础再造工程。</w:t>
      </w:r>
      <w:r>
        <w:rPr>
          <w:rFonts w:ascii="Times New Roman" w:hAnsi="Times New Roman" w:eastAsia="仿宋_GB2312"/>
          <w:color w:val="000000" w:themeColor="text1"/>
          <w:szCs w:val="32"/>
          <w14:textFill>
            <w14:solidFill>
              <w14:schemeClr w14:val="tx1"/>
            </w14:solidFill>
          </w14:textFill>
        </w:rPr>
        <w:t>大力实施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三大改造</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，深入推进</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两业融合</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，引导一批企业完成两化融合对标、贯标工作，提升产业基础能力和产业链现代化水平，推进产业基础高级化。坚持数字经济赋能制造业发展，重点抢抓</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5G</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技术应用带来的新机遇，依托纪年科技、万里交科等重点企业和重大项目，高标准建设</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5G+工业互联网</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平台。推进企业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上云用数赋智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全覆盖，加快云计算、区块链、物联网、大数据、人工智能等新一代信息技术在制造业领域内的嵌入和应用，打造数字化转型企业标杆和典型应用场景，引领带动全区制造业新旧动能转换，抢占未来发展的制高点。</w:t>
      </w:r>
    </w:p>
    <w:p>
      <w:pPr>
        <w:widowControl w:val="0"/>
        <w:adjustRightInd w:val="0"/>
        <w:snapToGrid w:val="0"/>
        <w:spacing w:after="0" w:line="560" w:lineRule="exact"/>
        <w:ind w:firstLine="680" w:firstLineChars="200"/>
        <w:rPr>
          <w:rFonts w:ascii="Times New Roman" w:hAnsi="Times New Roman" w:eastAsia="仿宋_GB2312"/>
          <w:color w:val="000000" w:themeColor="text1"/>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培育</w:t>
      </w:r>
      <w:r>
        <w:rPr>
          <w:rFonts w:hint="eastAsia" w:ascii="楷体_GB2312" w:hAnsi="楷体_GB2312" w:eastAsia="楷体_GB2312" w:cs="楷体_GB2312"/>
          <w:b/>
          <w:bCs/>
          <w:color w:val="000000" w:themeColor="text1"/>
          <w:szCs w:val="32"/>
          <w14:textFill>
            <w14:solidFill>
              <w14:schemeClr w14:val="tx1"/>
            </w14:solidFill>
          </w14:textFill>
        </w:rPr>
        <w:t>“</w:t>
      </w:r>
      <w:r>
        <w:rPr>
          <w:rFonts w:ascii="楷体_GB2312" w:hAnsi="楷体_GB2312" w:eastAsia="楷体_GB2312" w:cs="楷体_GB2312"/>
          <w:b/>
          <w:bCs/>
          <w:color w:val="000000" w:themeColor="text1"/>
          <w:szCs w:val="32"/>
          <w14:textFill>
            <w14:solidFill>
              <w14:schemeClr w14:val="tx1"/>
            </w14:solidFill>
          </w14:textFill>
        </w:rPr>
        <w:t>魏都质量</w:t>
      </w:r>
      <w:r>
        <w:rPr>
          <w:rFonts w:hint="eastAsia" w:ascii="楷体_GB2312" w:hAnsi="楷体_GB2312" w:eastAsia="楷体_GB2312" w:cs="楷体_GB2312"/>
          <w:b/>
          <w:bCs/>
          <w:color w:val="000000" w:themeColor="text1"/>
          <w:szCs w:val="32"/>
          <w14:textFill>
            <w14:solidFill>
              <w14:schemeClr w14:val="tx1"/>
            </w14:solidFill>
          </w14:textFill>
        </w:rPr>
        <w:t>”</w:t>
      </w:r>
      <w:r>
        <w:rPr>
          <w:rFonts w:ascii="楷体_GB2312" w:hAnsi="楷体_GB2312" w:eastAsia="楷体_GB2312" w:cs="楷体_GB2312"/>
          <w:b/>
          <w:bCs/>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支持我区龙头企业主导或参与地方标准、行业标准的制定、修订，掌握产业技术标准话语权。开展质量标杆和领先企业示范活动，加强强制性标准管理，支持企业制定实施严于国家标准的企业标准，引导中小微企业贯标达标。完善企业质量档案和产品质量信用信息记录，实施企业质量信用分级分类监管，完善质量信用评价体系。探索建立企业质量信用信息公示制度，鼓励企业主动发布质量信用报告，严格实施产品</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三包</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、召回等制度。</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叫响</w:t>
      </w:r>
      <w:r>
        <w:rPr>
          <w:rFonts w:hint="eastAsia" w:ascii="楷体_GB2312" w:hAnsi="楷体_GB2312" w:eastAsia="楷体_GB2312" w:cs="楷体_GB2312"/>
          <w:b/>
          <w:bCs/>
          <w:color w:val="000000" w:themeColor="text1"/>
          <w:szCs w:val="32"/>
          <w14:textFill>
            <w14:solidFill>
              <w14:schemeClr w14:val="tx1"/>
            </w14:solidFill>
          </w14:textFill>
        </w:rPr>
        <w:t>“</w:t>
      </w:r>
      <w:r>
        <w:rPr>
          <w:rFonts w:ascii="楷体_GB2312" w:hAnsi="楷体_GB2312" w:eastAsia="楷体_GB2312" w:cs="楷体_GB2312"/>
          <w:b/>
          <w:bCs/>
          <w:color w:val="000000" w:themeColor="text1"/>
          <w:szCs w:val="32"/>
          <w14:textFill>
            <w14:solidFill>
              <w14:schemeClr w14:val="tx1"/>
            </w14:solidFill>
          </w14:textFill>
        </w:rPr>
        <w:t>魏都品牌</w:t>
      </w:r>
      <w:r>
        <w:rPr>
          <w:rFonts w:hint="eastAsia" w:ascii="楷体_GB2312" w:hAnsi="楷体_GB2312" w:eastAsia="楷体_GB2312" w:cs="楷体_GB2312"/>
          <w:b/>
          <w:bCs/>
          <w:color w:val="000000" w:themeColor="text1"/>
          <w:szCs w:val="32"/>
          <w14:textFill>
            <w14:solidFill>
              <w14:schemeClr w14:val="tx1"/>
            </w14:solidFill>
          </w14:textFill>
        </w:rPr>
        <w:t>”</w:t>
      </w:r>
      <w:r>
        <w:rPr>
          <w:rFonts w:ascii="楷体_GB2312" w:hAnsi="楷体_GB2312" w:eastAsia="楷体_GB2312" w:cs="楷体_GB2312"/>
          <w:b/>
          <w:bCs/>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依托我区企业现有品牌资源，围绕研发创新、生产制造、质量管理和营销服务全过程，挖掘优势，培育我区制造业品牌体系。鼓励龙头企业利用自己拥有的品牌、技术、资本和人才等优势，采取输出管理，输出技术等方式，加快品牌扩张和延伸，鼓励中小企业加入行业骨干企业和品牌产品的产业链，形成名牌产品的专业化协作配套体系，培育造就更多的强势企业和名牌产品，叫响</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魏都制造</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品牌。</w:t>
      </w:r>
    </w:p>
    <w:p>
      <w:pPr>
        <w:pStyle w:val="5"/>
        <w:keepNext w:val="0"/>
        <w:keepLines w:val="0"/>
        <w:widowControl w:val="0"/>
        <w:adjustRightInd w:val="0"/>
        <w:snapToGrid w:val="0"/>
        <w:spacing w:before="297" w:beforeLines="50" w:after="297" w:afterLines="50" w:line="560" w:lineRule="exact"/>
        <w:ind w:firstLine="0" w:firstLineChars="0"/>
      </w:pPr>
      <w:bookmarkStart w:id="53" w:name="_Toc7948"/>
      <w:bookmarkStart w:id="54" w:name="_Toc25933"/>
      <w:r>
        <w:t>第二节  壮大现代制造业发展梯队</w:t>
      </w:r>
      <w:bookmarkEnd w:id="53"/>
      <w:bookmarkEnd w:id="54"/>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优先壮大三大主导产业。</w:t>
      </w:r>
      <w:r>
        <w:rPr>
          <w:rFonts w:ascii="Times New Roman" w:hAnsi="Times New Roman" w:eastAsia="仿宋_GB2312"/>
          <w:color w:val="000000" w:themeColor="text1"/>
          <w:szCs w:val="32"/>
          <w14:textFill>
            <w14:solidFill>
              <w14:schemeClr w14:val="tx1"/>
            </w14:solidFill>
          </w14:textFill>
        </w:rPr>
        <w:t>进一步培育壮大高端制造、新材料、环保科技三大主导产业，</w:t>
      </w:r>
      <w:r>
        <w:rPr>
          <w:rFonts w:ascii="Times New Roman" w:hAnsi="Times New Roman" w:eastAsia="仿宋_GB2312"/>
          <w:color w:val="000000" w:themeColor="text1"/>
          <w:kern w:val="2"/>
          <w:szCs w:val="32"/>
          <w14:textFill>
            <w14:solidFill>
              <w14:schemeClr w14:val="tx1"/>
            </w14:solidFill>
          </w14:textFill>
        </w:rPr>
        <w:t>以纪年科技、德通振动、</w:t>
      </w:r>
      <w:r>
        <w:rPr>
          <w:rFonts w:ascii="Times New Roman" w:hAnsi="Times New Roman" w:eastAsia="仿宋_GB2312"/>
          <w:color w:val="000000" w:themeColor="text1"/>
          <w:szCs w:val="32"/>
          <w14:textFill>
            <w14:solidFill>
              <w14:schemeClr w14:val="tx1"/>
            </w14:solidFill>
          </w14:textFill>
        </w:rPr>
        <w:t>爱彼爱和、恩诺格</w:t>
      </w:r>
      <w:r>
        <w:rPr>
          <w:rFonts w:ascii="Times New Roman" w:hAnsi="Times New Roman" w:eastAsia="仿宋_GB2312"/>
          <w:color w:val="000000" w:themeColor="text1"/>
          <w:kern w:val="2"/>
          <w:szCs w:val="32"/>
          <w14:textFill>
            <w14:solidFill>
              <w14:schemeClr w14:val="tx1"/>
            </w14:solidFill>
          </w14:textFill>
        </w:rPr>
        <w:t>等重点企业为龙头，提升企业核心竞争力、高端产品市场占有率和协作配套水平，促进企业向产业链两端延伸，形成具有核心竞争力的现代化产业集群。</w:t>
      </w:r>
      <w:r>
        <w:rPr>
          <w:rFonts w:ascii="Times New Roman" w:hAnsi="Times New Roman" w:eastAsia="仿宋_GB2312"/>
          <w:color w:val="000000" w:themeColor="text1"/>
          <w:szCs w:val="32"/>
          <w14:textFill>
            <w14:solidFill>
              <w14:schemeClr w14:val="tx1"/>
            </w14:solidFill>
          </w14:textFill>
        </w:rPr>
        <w:t>加强和创新集群治理机制，构建集决策、管理、咨询功能为一体的新</w:t>
      </w:r>
      <w:r>
        <w:rPr>
          <w:rFonts w:ascii="Times New Roman" w:hAnsi="Times New Roman" w:eastAsia="仿宋_GB2312"/>
          <w:color w:val="000000" w:themeColor="text1"/>
          <w:spacing w:val="6"/>
          <w:szCs w:val="32"/>
          <w14:textFill>
            <w14:solidFill>
              <w14:schemeClr w14:val="tx1"/>
            </w14:solidFill>
          </w14:textFill>
        </w:rPr>
        <w:t>型集群发展促进机构。推动建设一批产业集群公共服务综合</w:t>
      </w:r>
      <w:r>
        <w:rPr>
          <w:rFonts w:ascii="Times New Roman" w:hAnsi="Times New Roman" w:eastAsia="仿宋_GB2312"/>
          <w:color w:val="000000" w:themeColor="text1"/>
          <w:szCs w:val="32"/>
          <w14:textFill>
            <w14:solidFill>
              <w14:schemeClr w14:val="tx1"/>
            </w14:solidFill>
          </w14:textFill>
        </w:rPr>
        <w:t>体。</w:t>
      </w:r>
    </w:p>
    <w:p>
      <w:pPr>
        <w:widowControl w:val="0"/>
        <w:adjustRightInd w:val="0"/>
        <w:snapToGrid w:val="0"/>
        <w:spacing w:after="0" w:line="560" w:lineRule="exact"/>
        <w:ind w:firstLine="641"/>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加快培育上市企业。</w:t>
      </w:r>
      <w:r>
        <w:rPr>
          <w:rFonts w:ascii="Times New Roman" w:hAnsi="Times New Roman" w:eastAsia="仿宋_GB2312"/>
          <w:bCs/>
          <w:color w:val="000000" w:themeColor="text1"/>
          <w:szCs w:val="32"/>
          <w14:textFill>
            <w14:solidFill>
              <w14:schemeClr w14:val="tx1"/>
            </w14:solidFill>
          </w14:textFill>
        </w:rPr>
        <w:t>抓住国家加快发展私募股权基金的机遇，积极吸引私募股权基金投资魏都区科技创新企业。支持中联即送、纪年科技、爱彼爱和、德通振动、兵锋软件等企业做精做强，在产业链重要节点形成一批</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专精特新</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小巨人企业和制造业单项冠军企业，并通过服务指导推进企业在科创板或创业板上市。推动已上市企业进一步提高质量，夯实直接融资发展基石，更好发挥创新领跑者的示范作用，引领更多企业利用直接融资实现高质量发展。</w:t>
      </w:r>
      <w:r>
        <w:rPr>
          <w:rFonts w:ascii="Times New Roman" w:hAnsi="Times New Roman" w:eastAsia="仿宋_GB2312"/>
          <w:color w:val="000000" w:themeColor="text1"/>
          <w:szCs w:val="32"/>
          <w14:textFill>
            <w14:solidFill>
              <w14:schemeClr w14:val="tx1"/>
            </w14:solidFill>
          </w14:textFill>
        </w:rPr>
        <w:t>建立企业上市推进长效机制，培育一批上市后备企业，到2025年力争5家以上企业成功上市。</w:t>
      </w:r>
    </w:p>
    <w:p>
      <w:pPr>
        <w:widowControl w:val="0"/>
        <w:adjustRightInd w:val="0"/>
        <w:snapToGrid w:val="0"/>
        <w:spacing w:after="0" w:line="560" w:lineRule="exact"/>
        <w:ind w:firstLine="680" w:firstLineChars="200"/>
        <w:rPr>
          <w:rFonts w:ascii="Times New Roman" w:hAnsi="Times New Roman" w:eastAsia="仿宋_GB2312"/>
          <w:color w:val="000000" w:themeColor="text1"/>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积极实施小微企业成长计划。</w:t>
      </w:r>
      <w:r>
        <w:rPr>
          <w:rFonts w:ascii="Times New Roman" w:hAnsi="Times New Roman" w:eastAsia="仿宋_GB2312"/>
          <w:color w:val="000000" w:themeColor="text1"/>
          <w:kern w:val="2"/>
          <w:szCs w:val="32"/>
          <w14:textFill>
            <w14:solidFill>
              <w14:schemeClr w14:val="tx1"/>
            </w14:solidFill>
          </w14:textFill>
        </w:rPr>
        <w:t>大力实施科技型</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中小企业培育计划</w:t>
      </w:r>
      <w:r>
        <w:rPr>
          <w:rFonts w:hint="eastAsia" w:ascii="Times New Roman" w:hAnsi="Times New Roman" w:eastAsia="仿宋_GB2312"/>
          <w:color w:val="000000" w:themeColor="text1"/>
          <w:kern w:val="2"/>
          <w:szCs w:val="32"/>
          <w14:textFill>
            <w14:solidFill>
              <w14:schemeClr w14:val="tx1"/>
            </w14:solidFill>
          </w14:textFill>
        </w:rPr>
        <w:t>”</w:t>
      </w:r>
      <w:r>
        <w:rPr>
          <w:rFonts w:ascii="Times New Roman" w:hAnsi="Times New Roman" w:eastAsia="仿宋_GB2312"/>
          <w:color w:val="000000" w:themeColor="text1"/>
          <w:kern w:val="2"/>
          <w:szCs w:val="32"/>
          <w14:textFill>
            <w14:solidFill>
              <w14:schemeClr w14:val="tx1"/>
            </w14:solidFill>
          </w14:textFill>
        </w:rPr>
        <w:t>，完善科技型中小企业培育孵化体系，</w:t>
      </w:r>
      <w:r>
        <w:rPr>
          <w:rFonts w:ascii="Times New Roman" w:hAnsi="Times New Roman" w:eastAsia="仿宋_GB2312"/>
          <w:color w:val="000000" w:themeColor="text1"/>
          <w:szCs w:val="32"/>
          <w14:textFill>
            <w14:solidFill>
              <w14:schemeClr w14:val="tx1"/>
            </w14:solidFill>
          </w14:textFill>
        </w:rPr>
        <w:t>促进小微企业集聚、集约发展，推动全区中小微企业总量持续扩大、效益持续提升、贡献持续增强，形成</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微成长、小升高、高变强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发展态势。</w:t>
      </w:r>
      <w:r>
        <w:rPr>
          <w:rFonts w:ascii="Times New Roman" w:hAnsi="Times New Roman" w:eastAsia="仿宋_GB2312"/>
          <w:color w:val="000000" w:themeColor="text1"/>
          <w:kern w:val="2"/>
          <w:szCs w:val="32"/>
          <w14:textFill>
            <w14:solidFill>
              <w14:schemeClr w14:val="tx1"/>
            </w14:solidFill>
          </w14:textFill>
        </w:rPr>
        <w:t>培育</w:t>
      </w:r>
      <w:r>
        <w:rPr>
          <w:rFonts w:ascii="Times New Roman" w:hAnsi="Times New Roman" w:eastAsia="仿宋_GB2312"/>
          <w:color w:val="000000" w:themeColor="text1"/>
          <w:szCs w:val="32"/>
          <w14:textFill>
            <w14:solidFill>
              <w14:schemeClr w14:val="tx1"/>
            </w14:solidFill>
          </w14:textFill>
        </w:rPr>
        <w:t>一批隐形冠军企业、一批</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专精特新</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企业，</w:t>
      </w:r>
      <w:r>
        <w:rPr>
          <w:rFonts w:ascii="Times New Roman" w:hAnsi="Times New Roman" w:eastAsia="仿宋_GB2312"/>
          <w:color w:val="000000" w:themeColor="text1"/>
          <w14:textFill>
            <w14:solidFill>
              <w14:schemeClr w14:val="tx1"/>
            </w14:solidFill>
          </w14:textFill>
        </w:rPr>
        <w:t>聚焦突破关键核心技术，</w:t>
      </w:r>
      <w:r>
        <w:rPr>
          <w:rFonts w:ascii="Times New Roman" w:hAnsi="Times New Roman" w:eastAsia="仿宋_GB2312"/>
          <w:color w:val="000000" w:themeColor="text1"/>
          <w:kern w:val="2"/>
          <w:szCs w:val="32"/>
          <w14:textFill>
            <w14:solidFill>
              <w14:schemeClr w14:val="tx1"/>
            </w14:solidFill>
          </w14:textFill>
        </w:rPr>
        <w:t>增强新兴产业和科技型中小企业产业链的配套能力。</w:t>
      </w:r>
    </w:p>
    <w:p>
      <w:pPr>
        <w:pStyle w:val="3"/>
        <w:widowControl w:val="0"/>
        <w:adjustRightInd w:val="0"/>
        <w:snapToGrid w:val="0"/>
        <w:spacing w:after="0"/>
        <w:ind w:firstLine="683"/>
        <w:rPr>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推动传统产业智能化改造。</w:t>
      </w:r>
      <w:r>
        <w:rPr>
          <w:color w:val="000000" w:themeColor="text1"/>
          <w:szCs w:val="32"/>
          <w14:textFill>
            <w14:solidFill>
              <w14:schemeClr w14:val="tx1"/>
            </w14:solidFill>
          </w14:textFill>
        </w:rPr>
        <w:t>坚持</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绿色、减量、提质、增效</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的发展理念，应用先进制造技术、信息技术加快纸制品、纺织、发制品等传统产业转型升级步伐，推进高端化、智能化、绿色化发展，不断优化产业结构，延伸产业链条，塑造产业新优势。</w:t>
      </w:r>
      <w:r>
        <w:rPr>
          <w:color w:val="000000" w:themeColor="text1"/>
          <w14:textFill>
            <w14:solidFill>
              <w14:schemeClr w14:val="tx1"/>
            </w14:solidFill>
          </w14:textFill>
        </w:rPr>
        <w:t>按照产业集中布局原则，统筹推进各类传统产业园区的并、迁、转、关和项目引进，</w:t>
      </w:r>
      <w:r>
        <w:rPr>
          <w:color w:val="000000" w:themeColor="text1"/>
          <w:szCs w:val="32"/>
          <w14:textFill>
            <w14:solidFill>
              <w14:schemeClr w14:val="tx1"/>
            </w14:solidFill>
          </w14:textFill>
        </w:rPr>
        <w:t>通过企业兼并重组等多种方式，加快淘汰落后产能，有序出清僵尸企业。</w:t>
      </w:r>
    </w:p>
    <w:p>
      <w:pPr>
        <w:pStyle w:val="5"/>
        <w:keepNext w:val="0"/>
        <w:keepLines w:val="0"/>
        <w:widowControl w:val="0"/>
        <w:adjustRightInd w:val="0"/>
        <w:snapToGrid w:val="0"/>
        <w:spacing w:before="297" w:beforeLines="50" w:after="297" w:afterLines="50" w:line="560" w:lineRule="exact"/>
        <w:ind w:firstLine="0" w:firstLineChars="0"/>
      </w:pPr>
      <w:bookmarkStart w:id="55" w:name="_Toc29617"/>
      <w:bookmarkStart w:id="56" w:name="_Toc343"/>
      <w:r>
        <w:t xml:space="preserve">第三节 </w:t>
      </w:r>
      <w:r>
        <w:rPr>
          <w:rFonts w:hint="eastAsia"/>
        </w:rPr>
        <w:t xml:space="preserve"> </w:t>
      </w:r>
      <w:r>
        <w:t>打造空间核心增长极</w:t>
      </w:r>
      <w:bookmarkEnd w:id="55"/>
      <w:bookmarkEnd w:id="56"/>
    </w:p>
    <w:p>
      <w:pPr>
        <w:widowControl w:val="0"/>
        <w:adjustRightInd w:val="0"/>
        <w:snapToGrid w:val="0"/>
        <w:spacing w:after="0" w:line="560" w:lineRule="exact"/>
        <w:ind w:firstLine="680" w:firstLineChars="200"/>
        <w:rPr>
          <w:rFonts w:ascii="Times New Roman" w:hAnsi="Times New Roman"/>
          <w:color w:val="000000" w:themeColor="text1"/>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建设</w:t>
      </w:r>
      <w:r>
        <w:rPr>
          <w:rFonts w:hint="eastAsia" w:ascii="楷体_GB2312" w:hAnsi="楷体_GB2312" w:eastAsia="楷体_GB2312" w:cs="楷体_GB2312"/>
          <w:b/>
          <w:bCs/>
          <w:color w:val="000000" w:themeColor="text1"/>
          <w:szCs w:val="32"/>
          <w14:textFill>
            <w14:solidFill>
              <w14:schemeClr w14:val="tx1"/>
            </w14:solidFill>
          </w14:textFill>
        </w:rPr>
        <w:t>“</w:t>
      </w:r>
      <w:r>
        <w:rPr>
          <w:rFonts w:ascii="楷体_GB2312" w:hAnsi="楷体_GB2312" w:eastAsia="楷体_GB2312" w:cs="楷体_GB2312"/>
          <w:b/>
          <w:bCs/>
          <w:color w:val="000000" w:themeColor="text1"/>
          <w:szCs w:val="32"/>
          <w14:textFill>
            <w14:solidFill>
              <w14:schemeClr w14:val="tx1"/>
            </w14:solidFill>
          </w14:textFill>
        </w:rPr>
        <w:t>五大园区</w:t>
      </w:r>
      <w:r>
        <w:rPr>
          <w:rFonts w:hint="eastAsia" w:ascii="楷体_GB2312" w:hAnsi="楷体_GB2312" w:eastAsia="楷体_GB2312" w:cs="楷体_GB2312"/>
          <w:b/>
          <w:bCs/>
          <w:color w:val="000000" w:themeColor="text1"/>
          <w:szCs w:val="32"/>
          <w14:textFill>
            <w14:solidFill>
              <w14:schemeClr w14:val="tx1"/>
            </w14:solidFill>
          </w14:textFill>
        </w:rPr>
        <w:t>”</w:t>
      </w:r>
      <w:r>
        <w:rPr>
          <w:rFonts w:ascii="楷体_GB2312" w:hAnsi="楷体_GB2312" w:eastAsia="楷体_GB2312" w:cs="楷体_GB2312"/>
          <w:b/>
          <w:bCs/>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按照</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一区五园</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的发展模式，加快高新技术、高端装备、循环经济、静脉科技、北京怀柔五大园区建设。</w:t>
      </w:r>
      <w:r>
        <w:rPr>
          <w:rFonts w:ascii="Times New Roman" w:hAnsi="Times New Roman" w:eastAsia="仿宋_GB2312"/>
          <w:b/>
          <w:color w:val="000000" w:themeColor="text1"/>
          <w:szCs w:val="32"/>
          <w14:textFill>
            <w14:solidFill>
              <w14:schemeClr w14:val="tx1"/>
            </w14:solidFill>
          </w14:textFill>
        </w:rPr>
        <w:t>高新技术产业园</w:t>
      </w:r>
      <w:r>
        <w:rPr>
          <w:rFonts w:ascii="Times New Roman" w:hAnsi="Times New Roman" w:eastAsia="仿宋_GB2312"/>
          <w:color w:val="000000" w:themeColor="text1"/>
          <w:szCs w:val="32"/>
          <w14:textFill>
            <w14:solidFill>
              <w14:schemeClr w14:val="tx1"/>
            </w14:solidFill>
          </w14:textFill>
        </w:rPr>
        <w:t>以纪年科技、爱彼爱和为龙头，重点发展新材料、高新技术产业以及与之相配套的研发、生产、检验、检测、信息服务等创新产业，结合我市</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双创宜居示范区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建设，打造产城融合的科技创新型产业集聚地。</w:t>
      </w:r>
      <w:r>
        <w:rPr>
          <w:rFonts w:ascii="Times New Roman" w:hAnsi="Times New Roman" w:eastAsia="仿宋_GB2312"/>
          <w:b/>
          <w:bCs/>
          <w:color w:val="000000" w:themeColor="text1"/>
          <w:szCs w:val="32"/>
          <w14:textFill>
            <w14:solidFill>
              <w14:schemeClr w14:val="tx1"/>
            </w14:solidFill>
          </w14:textFill>
        </w:rPr>
        <w:t>高端装备产业园</w:t>
      </w:r>
      <w:r>
        <w:rPr>
          <w:rFonts w:ascii="Times New Roman" w:hAnsi="Times New Roman" w:eastAsia="仿宋_GB2312"/>
          <w:color w:val="000000" w:themeColor="text1"/>
          <w:szCs w:val="32"/>
          <w14:textFill>
            <w14:solidFill>
              <w14:schemeClr w14:val="tx1"/>
            </w14:solidFill>
          </w14:textFill>
        </w:rPr>
        <w:t>以万里交科为龙头，拉动公路装备全产业链智能化生产。</w:t>
      </w:r>
      <w:r>
        <w:rPr>
          <w:rFonts w:ascii="Times New Roman" w:hAnsi="Times New Roman" w:eastAsia="仿宋_GB2312"/>
          <w:b/>
          <w:bCs/>
          <w:color w:val="000000" w:themeColor="text1"/>
          <w:szCs w:val="32"/>
          <w14:textFill>
            <w14:solidFill>
              <w14:schemeClr w14:val="tx1"/>
            </w14:solidFill>
          </w14:textFill>
        </w:rPr>
        <w:t>循环经济产业园</w:t>
      </w:r>
      <w:r>
        <w:rPr>
          <w:rFonts w:ascii="Times New Roman" w:hAnsi="Times New Roman" w:eastAsia="仿宋_GB2312"/>
          <w:color w:val="000000" w:themeColor="text1"/>
          <w:szCs w:val="32"/>
          <w14:textFill>
            <w14:solidFill>
              <w14:schemeClr w14:val="tx1"/>
            </w14:solidFill>
          </w14:textFill>
        </w:rPr>
        <w:t>以许昌晨鸣为龙头，打造集制浆、造纸、包装、印刷于一体的循环经济产业园区，打造传统产业升级样板。</w:t>
      </w:r>
      <w:r>
        <w:rPr>
          <w:rFonts w:ascii="Times New Roman" w:hAnsi="Times New Roman" w:eastAsia="仿宋_GB2312"/>
          <w:b/>
          <w:bCs/>
          <w:color w:val="000000" w:themeColor="text1"/>
          <w:szCs w:val="32"/>
          <w14:textFill>
            <w14:solidFill>
              <w14:schemeClr w14:val="tx1"/>
            </w14:solidFill>
          </w14:textFill>
        </w:rPr>
        <w:t>静脉科技产业园</w:t>
      </w:r>
      <w:r>
        <w:rPr>
          <w:rFonts w:ascii="Times New Roman" w:hAnsi="Times New Roman" w:eastAsia="仿宋_GB2312"/>
          <w:color w:val="000000" w:themeColor="text1"/>
          <w:szCs w:val="32"/>
          <w14:textFill>
            <w14:solidFill>
              <w14:schemeClr w14:val="tx1"/>
            </w14:solidFill>
          </w14:textFill>
        </w:rPr>
        <w:t>以旺能热电、万容科技为龙头，围绕固废转运物流、固废处理、再生资源利用、科技研发、装备制造等，着力打造固废处理全产业链，打造我市</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无废城市</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建设标志性产业基地。</w:t>
      </w:r>
      <w:r>
        <w:rPr>
          <w:rFonts w:ascii="Times New Roman" w:hAnsi="Times New Roman" w:eastAsia="仿宋_GB2312"/>
          <w:b/>
          <w:bCs/>
          <w:color w:val="000000" w:themeColor="text1"/>
          <w:szCs w:val="32"/>
          <w14:textFill>
            <w14:solidFill>
              <w14:schemeClr w14:val="tx1"/>
            </w14:solidFill>
          </w14:textFill>
        </w:rPr>
        <w:t>北京怀柔产业园</w:t>
      </w:r>
      <w:r>
        <w:rPr>
          <w:rFonts w:ascii="Times New Roman" w:hAnsi="Times New Roman" w:eastAsia="仿宋_GB2312"/>
          <w:color w:val="000000" w:themeColor="text1"/>
          <w:szCs w:val="32"/>
          <w14:textFill>
            <w14:solidFill>
              <w14:schemeClr w14:val="tx1"/>
            </w14:solidFill>
          </w14:textFill>
        </w:rPr>
        <w:t>主要承接北京怀柔科学城产业转移和双创宜居示范区优质企业外迁，打造先进制造业示范基地和中小企业孵化基地，力争十四五末入驻企业50家以上。</w:t>
      </w:r>
    </w:p>
    <w:p>
      <w:pPr>
        <w:pStyle w:val="3"/>
        <w:widowControl w:val="0"/>
        <w:adjustRightInd w:val="0"/>
        <w:snapToGrid w:val="0"/>
        <w:spacing w:after="0"/>
        <w:ind w:firstLine="683"/>
        <w:rPr>
          <w:color w:val="000000" w:themeColor="text1"/>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全面推进产业集聚区</w:t>
      </w:r>
      <w:r>
        <w:rPr>
          <w:rFonts w:hint="eastAsia" w:ascii="楷体_GB2312" w:hAnsi="楷体_GB2312" w:eastAsia="楷体_GB2312" w:cs="楷体_GB2312"/>
          <w:b/>
          <w:bCs/>
          <w:color w:val="000000" w:themeColor="text1"/>
          <w:szCs w:val="32"/>
          <w14:textFill>
            <w14:solidFill>
              <w14:schemeClr w14:val="tx1"/>
            </w14:solidFill>
          </w14:textFill>
        </w:rPr>
        <w:t>“</w:t>
      </w:r>
      <w:r>
        <w:rPr>
          <w:rFonts w:ascii="楷体_GB2312" w:hAnsi="楷体_GB2312" w:eastAsia="楷体_GB2312" w:cs="楷体_GB2312"/>
          <w:b/>
          <w:bCs/>
          <w:color w:val="000000" w:themeColor="text1"/>
          <w:szCs w:val="32"/>
          <w14:textFill>
            <w14:solidFill>
              <w14:schemeClr w14:val="tx1"/>
            </w14:solidFill>
          </w14:textFill>
        </w:rPr>
        <w:t>二次创业</w:t>
      </w:r>
      <w:r>
        <w:rPr>
          <w:rFonts w:hint="eastAsia" w:ascii="楷体_GB2312" w:hAnsi="楷体_GB2312" w:eastAsia="楷体_GB2312" w:cs="楷体_GB2312"/>
          <w:b/>
          <w:bCs/>
          <w:color w:val="000000" w:themeColor="text1"/>
          <w:szCs w:val="32"/>
          <w14:textFill>
            <w14:solidFill>
              <w14:schemeClr w14:val="tx1"/>
            </w14:solidFill>
          </w14:textFill>
        </w:rPr>
        <w:t>”</w:t>
      </w:r>
      <w:r>
        <w:rPr>
          <w:rFonts w:ascii="楷体_GB2312" w:hAnsi="楷体_GB2312" w:eastAsia="楷体_GB2312" w:cs="楷体_GB2312"/>
          <w:b/>
          <w:bCs/>
          <w:color w:val="000000" w:themeColor="text1"/>
          <w:szCs w:val="32"/>
          <w14:textFill>
            <w14:solidFill>
              <w14:schemeClr w14:val="tx1"/>
            </w14:solidFill>
          </w14:textFill>
        </w:rPr>
        <w:t>。</w:t>
      </w:r>
      <w:r>
        <w:rPr>
          <w:color w:val="000000" w:themeColor="text1"/>
          <w:szCs w:val="32"/>
          <w14:textFill>
            <w14:solidFill>
              <w14:schemeClr w14:val="tx1"/>
            </w14:solidFill>
          </w14:textFill>
        </w:rPr>
        <w:t>以</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三提</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两改</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为主要途径，全面推进产业集聚区二次创业，积极引导大产业、大企业、大项目布点落户。优化调整产业集聚区发展定位、主导产业、空间结构、功能布局；提高亩均产出效益，开展企业分类综合评价，实行差别化配套政策；开展低效用地整治提升行动，实施</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标准地</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出让和新型产业用地供应。探索产业集聚区（园区）</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管委会+公司</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改革和</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一区多园</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园中园</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发展模式，通过优化布局和推进产业发展质量变革、效率变革，建成许昌市工业高质量发展示范园区。</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vAlign w:val="center"/>
          </w:tcPr>
          <w:p>
            <w:pPr>
              <w:widowControl w:val="0"/>
              <w:adjustRightInd w:val="0"/>
              <w:snapToGrid w:val="0"/>
              <w:spacing w:after="0" w:line="510" w:lineRule="exact"/>
              <w:jc w:val="center"/>
              <w:rPr>
                <w:rFonts w:ascii="黑体" w:hAnsi="黑体" w:eastAsia="黑体" w:cs="黑体"/>
                <w:bCs/>
                <w:color w:val="000000" w:themeColor="text1"/>
                <w:kern w:val="2"/>
                <w:sz w:val="28"/>
                <w:szCs w:val="28"/>
                <w14:textFill>
                  <w14:solidFill>
                    <w14:schemeClr w14:val="tx1"/>
                  </w14:solidFill>
                </w14:textFill>
              </w:rPr>
            </w:pPr>
            <w:r>
              <w:rPr>
                <w:rFonts w:hint="eastAsia" w:ascii="黑体" w:hAnsi="黑体" w:eastAsia="黑体" w:cs="黑体"/>
                <w:bCs/>
                <w:color w:val="000000" w:themeColor="text1"/>
                <w:kern w:val="2"/>
                <w:sz w:val="28"/>
                <w:szCs w:val="28"/>
                <w14:textFill>
                  <w14:solidFill>
                    <w14:schemeClr w14:val="tx1"/>
                  </w14:solidFill>
                </w14:textFill>
              </w:rPr>
              <w:t>专栏</w:t>
            </w:r>
            <w:r>
              <w:rPr>
                <w:rFonts w:hint="eastAsia" w:ascii="Times New Roman" w:hAnsi="Times New Roman" w:eastAsia="黑体" w:cs="黑体"/>
                <w:bCs/>
                <w:color w:val="000000" w:themeColor="text1"/>
                <w:kern w:val="2"/>
                <w:sz w:val="28"/>
                <w:szCs w:val="28"/>
                <w14:textFill>
                  <w14:solidFill>
                    <w14:schemeClr w14:val="tx1"/>
                  </w14:solidFill>
                </w14:textFill>
              </w:rPr>
              <w:t>1</w:t>
            </w:r>
            <w:r>
              <w:rPr>
                <w:rFonts w:hint="eastAsia" w:ascii="黑体" w:hAnsi="黑体" w:eastAsia="黑体" w:cs="黑体"/>
                <w:bCs/>
                <w:color w:val="000000" w:themeColor="text1"/>
                <w:kern w:val="2"/>
                <w:sz w:val="28"/>
                <w:szCs w:val="28"/>
                <w14:textFill>
                  <w14:solidFill>
                    <w14:schemeClr w14:val="tx1"/>
                  </w14:solidFill>
                </w14:textFill>
              </w:rPr>
              <w:t>：工业“</w:t>
            </w:r>
            <w:r>
              <w:rPr>
                <w:rFonts w:hint="eastAsia" w:ascii="Times New Roman" w:hAnsi="Times New Roman" w:eastAsia="黑体" w:cs="黑体"/>
                <w:bCs/>
                <w:color w:val="000000" w:themeColor="text1"/>
                <w:kern w:val="2"/>
                <w:sz w:val="28"/>
                <w:szCs w:val="28"/>
                <w14:textFill>
                  <w14:solidFill>
                    <w14:schemeClr w14:val="tx1"/>
                  </w14:solidFill>
                </w14:textFill>
              </w:rPr>
              <w:t>1355</w:t>
            </w:r>
            <w:r>
              <w:rPr>
                <w:rFonts w:hint="eastAsia" w:ascii="黑体" w:hAnsi="黑体" w:eastAsia="黑体" w:cs="黑体"/>
                <w:bCs/>
                <w:color w:val="000000" w:themeColor="text1"/>
                <w:kern w:val="2"/>
                <w:sz w:val="28"/>
                <w:szCs w:val="28"/>
                <w14:textFill>
                  <w14:solidFill>
                    <w14:schemeClr w14:val="tx1"/>
                  </w14:solidFill>
                </w14:textFill>
              </w:rPr>
              <w:t>”行动计划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2"/>
              <w:widowControl w:val="0"/>
              <w:adjustRightInd w:val="0"/>
              <w:snapToGrid w:val="0"/>
              <w:spacing w:after="0" w:line="600" w:lineRule="exact"/>
              <w:ind w:firstLine="600" w:firstLineChars="200"/>
              <w:rPr>
                <w:rFonts w:eastAsia="楷体_GB2312"/>
                <w:color w:val="000000" w:themeColor="text1"/>
                <w:sz w:val="28"/>
                <w:szCs w:val="28"/>
                <w14:textFill>
                  <w14:solidFill>
                    <w14:schemeClr w14:val="tx1"/>
                  </w14:solidFill>
                </w14:textFill>
              </w:rPr>
            </w:pPr>
            <w:r>
              <w:rPr>
                <w:rFonts w:hint="eastAsia" w:eastAsia="楷体_GB2312"/>
                <w:b/>
                <w:bCs/>
                <w:color w:val="000000" w:themeColor="text1"/>
                <w:sz w:val="28"/>
                <w:szCs w:val="28"/>
                <w14:textFill>
                  <w14:solidFill>
                    <w14:schemeClr w14:val="tx1"/>
                  </w14:solidFill>
                </w14:textFill>
              </w:rPr>
              <w:t>“</w:t>
            </w:r>
            <w:r>
              <w:rPr>
                <w:rFonts w:eastAsia="楷体_GB2312"/>
                <w:b/>
                <w:bCs/>
                <w:color w:val="000000" w:themeColor="text1"/>
                <w:sz w:val="28"/>
                <w:szCs w:val="28"/>
                <w14:textFill>
                  <w14:solidFill>
                    <w14:schemeClr w14:val="tx1"/>
                  </w14:solidFill>
                </w14:textFill>
              </w:rPr>
              <w:t>1</w:t>
            </w:r>
            <w:r>
              <w:rPr>
                <w:rFonts w:hint="eastAsia" w:eastAsia="楷体_GB2312"/>
                <w:b/>
                <w:bCs/>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即以转型升级高质量发展为主攻方向</w:t>
            </w:r>
          </w:p>
          <w:p>
            <w:pPr>
              <w:pStyle w:val="2"/>
              <w:widowControl w:val="0"/>
              <w:adjustRightInd w:val="0"/>
              <w:snapToGrid w:val="0"/>
              <w:spacing w:after="0" w:line="600" w:lineRule="exact"/>
              <w:ind w:firstLine="600" w:firstLineChars="200"/>
              <w:rPr>
                <w:rFonts w:eastAsia="楷体_GB2312"/>
                <w:color w:val="000000" w:themeColor="text1"/>
                <w:kern w:val="2"/>
                <w:sz w:val="28"/>
                <w:szCs w:val="28"/>
                <w14:textFill>
                  <w14:solidFill>
                    <w14:schemeClr w14:val="tx1"/>
                  </w14:solidFill>
                </w14:textFill>
              </w:rPr>
            </w:pPr>
            <w:r>
              <w:rPr>
                <w:rFonts w:hint="eastAsia" w:eastAsia="楷体_GB2312"/>
                <w:b/>
                <w:bCs/>
                <w:color w:val="000000" w:themeColor="text1"/>
                <w:sz w:val="28"/>
                <w:szCs w:val="28"/>
                <w14:textFill>
                  <w14:solidFill>
                    <w14:schemeClr w14:val="tx1"/>
                  </w14:solidFill>
                </w14:textFill>
              </w:rPr>
              <w:t>“</w:t>
            </w:r>
            <w:r>
              <w:rPr>
                <w:rFonts w:eastAsia="楷体_GB2312"/>
                <w:b/>
                <w:bCs/>
                <w:color w:val="000000" w:themeColor="text1"/>
                <w:sz w:val="28"/>
                <w:szCs w:val="28"/>
                <w14:textFill>
                  <w14:solidFill>
                    <w14:schemeClr w14:val="tx1"/>
                  </w14:solidFill>
                </w14:textFill>
              </w:rPr>
              <w:t>3</w:t>
            </w:r>
            <w:r>
              <w:rPr>
                <w:rFonts w:hint="eastAsia" w:eastAsia="楷体_GB2312"/>
                <w:b/>
                <w:bCs/>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即</w:t>
            </w:r>
            <w:r>
              <w:rPr>
                <w:rFonts w:eastAsia="楷体_GB2312"/>
                <w:color w:val="000000" w:themeColor="text1"/>
                <w:kern w:val="2"/>
                <w:sz w:val="28"/>
                <w:szCs w:val="28"/>
                <w14:textFill>
                  <w14:solidFill>
                    <w14:schemeClr w14:val="tx1"/>
                  </w14:solidFill>
                </w14:textFill>
              </w:rPr>
              <w:t>着力培育高端装备、新材料、节能环保</w:t>
            </w:r>
            <w:r>
              <w:rPr>
                <w:rFonts w:hint="eastAsia" w:eastAsia="楷体_GB2312"/>
                <w:color w:val="000000" w:themeColor="text1"/>
                <w:kern w:val="2"/>
                <w:sz w:val="28"/>
                <w:szCs w:val="28"/>
                <w14:textFill>
                  <w14:solidFill>
                    <w14:schemeClr w14:val="tx1"/>
                  </w14:solidFill>
                </w14:textFill>
              </w:rPr>
              <w:t>“</w:t>
            </w:r>
            <w:r>
              <w:rPr>
                <w:rFonts w:eastAsia="楷体_GB2312"/>
                <w:color w:val="000000" w:themeColor="text1"/>
                <w:kern w:val="2"/>
                <w:sz w:val="28"/>
                <w:szCs w:val="28"/>
                <w14:textFill>
                  <w14:solidFill>
                    <w14:schemeClr w14:val="tx1"/>
                  </w14:solidFill>
                </w14:textFill>
              </w:rPr>
              <w:t>3</w:t>
            </w:r>
            <w:r>
              <w:rPr>
                <w:rFonts w:hint="eastAsia" w:eastAsia="楷体_GB2312"/>
                <w:color w:val="000000" w:themeColor="text1"/>
                <w:kern w:val="2"/>
                <w:sz w:val="28"/>
                <w:szCs w:val="28"/>
                <w14:textFill>
                  <w14:solidFill>
                    <w14:schemeClr w14:val="tx1"/>
                  </w14:solidFill>
                </w14:textFill>
              </w:rPr>
              <w:t>”</w:t>
            </w:r>
            <w:r>
              <w:rPr>
                <w:rFonts w:eastAsia="楷体_GB2312"/>
                <w:color w:val="000000" w:themeColor="text1"/>
                <w:kern w:val="2"/>
                <w:sz w:val="28"/>
                <w:szCs w:val="28"/>
                <w14:textFill>
                  <w14:solidFill>
                    <w14:schemeClr w14:val="tx1"/>
                  </w14:solidFill>
                </w14:textFill>
              </w:rPr>
              <w:t>大工业主导产业</w:t>
            </w:r>
          </w:p>
          <w:p>
            <w:pPr>
              <w:pStyle w:val="2"/>
              <w:widowControl w:val="0"/>
              <w:adjustRightInd w:val="0"/>
              <w:snapToGrid w:val="0"/>
              <w:spacing w:after="0" w:line="600" w:lineRule="exact"/>
              <w:ind w:firstLine="600" w:firstLineChars="200"/>
              <w:rPr>
                <w:rFonts w:eastAsia="楷体_GB2312"/>
                <w:color w:val="000000" w:themeColor="text1"/>
                <w:kern w:val="2"/>
                <w:sz w:val="28"/>
                <w:szCs w:val="28"/>
                <w14:textFill>
                  <w14:solidFill>
                    <w14:schemeClr w14:val="tx1"/>
                  </w14:solidFill>
                </w14:textFill>
              </w:rPr>
            </w:pPr>
            <w:r>
              <w:rPr>
                <w:rFonts w:hint="eastAsia" w:eastAsia="楷体_GB2312"/>
                <w:b/>
                <w:bCs/>
                <w:color w:val="000000" w:themeColor="text1"/>
                <w:kern w:val="2"/>
                <w:sz w:val="28"/>
                <w:szCs w:val="28"/>
                <w14:textFill>
                  <w14:solidFill>
                    <w14:schemeClr w14:val="tx1"/>
                  </w14:solidFill>
                </w14:textFill>
              </w:rPr>
              <w:t>“</w:t>
            </w:r>
            <w:r>
              <w:rPr>
                <w:rFonts w:eastAsia="楷体_GB2312"/>
                <w:b/>
                <w:bCs/>
                <w:color w:val="000000" w:themeColor="text1"/>
                <w:kern w:val="2"/>
                <w:sz w:val="28"/>
                <w:szCs w:val="28"/>
                <w14:textFill>
                  <w14:solidFill>
                    <w14:schemeClr w14:val="tx1"/>
                  </w14:solidFill>
                </w14:textFill>
              </w:rPr>
              <w:t>5</w:t>
            </w:r>
            <w:r>
              <w:rPr>
                <w:rFonts w:hint="eastAsia" w:eastAsia="楷体_GB2312"/>
                <w:b/>
                <w:bCs/>
                <w:color w:val="000000" w:themeColor="text1"/>
                <w:kern w:val="2"/>
                <w:sz w:val="28"/>
                <w:szCs w:val="28"/>
                <w14:textFill>
                  <w14:solidFill>
                    <w14:schemeClr w14:val="tx1"/>
                  </w14:solidFill>
                </w14:textFill>
              </w:rPr>
              <w:t>”</w:t>
            </w:r>
            <w:r>
              <w:rPr>
                <w:rFonts w:eastAsia="楷体_GB2312"/>
                <w:color w:val="000000" w:themeColor="text1"/>
                <w:kern w:val="2"/>
                <w:sz w:val="28"/>
                <w:szCs w:val="28"/>
                <w14:textFill>
                  <w14:solidFill>
                    <w14:schemeClr w14:val="tx1"/>
                  </w14:solidFill>
                </w14:textFill>
              </w:rPr>
              <w:t>即持续抓好5大工业园区建设</w:t>
            </w:r>
          </w:p>
          <w:p>
            <w:pPr>
              <w:pStyle w:val="2"/>
              <w:widowControl w:val="0"/>
              <w:adjustRightInd w:val="0"/>
              <w:snapToGrid w:val="0"/>
              <w:spacing w:after="0" w:line="60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高新技术产业园：</w:t>
            </w:r>
            <w:r>
              <w:rPr>
                <w:rFonts w:eastAsia="楷体_GB2312"/>
                <w:color w:val="000000" w:themeColor="text1"/>
                <w:sz w:val="28"/>
                <w:szCs w:val="28"/>
                <w14:textFill>
                  <w14:solidFill>
                    <w14:schemeClr w14:val="tx1"/>
                  </w14:solidFill>
                </w14:textFill>
              </w:rPr>
              <w:t>以纪年科技、爱彼爱和为龙头</w:t>
            </w:r>
            <w:r>
              <w:rPr>
                <w:rFonts w:eastAsia="楷体_GB2312"/>
                <w:b/>
                <w:bCs/>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重点发展新材料、高新技术产业以及与之相配套的研发、生产、检验、检测、信息服务等创新产业，结合我市</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双创宜居示范区</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建设，打造产城融合的科技创新型产业集聚地。</w:t>
            </w:r>
          </w:p>
          <w:p>
            <w:pPr>
              <w:pStyle w:val="2"/>
              <w:widowControl w:val="0"/>
              <w:adjustRightInd w:val="0"/>
              <w:snapToGrid w:val="0"/>
              <w:spacing w:after="0" w:line="60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高端装备产业园：</w:t>
            </w:r>
            <w:r>
              <w:rPr>
                <w:rFonts w:eastAsia="楷体_GB2312"/>
                <w:color w:val="000000" w:themeColor="text1"/>
                <w:sz w:val="28"/>
                <w:szCs w:val="28"/>
                <w14:textFill>
                  <w14:solidFill>
                    <w14:schemeClr w14:val="tx1"/>
                  </w14:solidFill>
                </w14:textFill>
              </w:rPr>
              <w:t>以万里交科为龙头，拉动公路装备全产业链智能化生产，力争十四五末入驻智能制造企业10家以上。</w:t>
            </w:r>
          </w:p>
          <w:p>
            <w:pPr>
              <w:pStyle w:val="2"/>
              <w:widowControl w:val="0"/>
              <w:adjustRightInd w:val="0"/>
              <w:snapToGrid w:val="0"/>
              <w:spacing w:after="0" w:line="60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循环经济产业园：</w:t>
            </w:r>
            <w:r>
              <w:rPr>
                <w:rFonts w:eastAsia="楷体_GB2312"/>
                <w:color w:val="000000" w:themeColor="text1"/>
                <w:sz w:val="28"/>
                <w:szCs w:val="28"/>
                <w14:textFill>
                  <w14:solidFill>
                    <w14:schemeClr w14:val="tx1"/>
                  </w14:solidFill>
                </w14:textFill>
              </w:rPr>
              <w:t>以许昌晨鸣为龙头，打造集制浆、造纸、包装、印刷于一体的循环经济产业园区，打造传统产业升级样板，力争十四五末入驻造纸、包装、印刷行业企业10家以上。</w:t>
            </w:r>
          </w:p>
          <w:p>
            <w:pPr>
              <w:pStyle w:val="2"/>
              <w:widowControl w:val="0"/>
              <w:adjustRightInd w:val="0"/>
              <w:snapToGrid w:val="0"/>
              <w:spacing w:after="0" w:line="60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静脉科技产业园：</w:t>
            </w:r>
            <w:r>
              <w:rPr>
                <w:rFonts w:eastAsia="楷体_GB2312"/>
                <w:color w:val="000000" w:themeColor="text1"/>
                <w:sz w:val="28"/>
                <w:szCs w:val="28"/>
                <w14:textFill>
                  <w14:solidFill>
                    <w14:schemeClr w14:val="tx1"/>
                  </w14:solidFill>
                </w14:textFill>
              </w:rPr>
              <w:t>以旺能热电、万容科技为龙头，围绕固废转运物流、固废处理、再生资源利用、科技研发、装备制造等，着力打造固废处理全产业链，打造我市</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无废城市</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建设标志性产业基地，力争十四五末入驻环保科技企业10家以上。</w:t>
            </w:r>
          </w:p>
          <w:p>
            <w:pPr>
              <w:pStyle w:val="2"/>
              <w:widowControl w:val="0"/>
              <w:adjustRightInd w:val="0"/>
              <w:snapToGrid w:val="0"/>
              <w:spacing w:after="0" w:line="60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北京怀柔产业园：</w:t>
            </w:r>
            <w:r>
              <w:rPr>
                <w:rFonts w:eastAsia="楷体_GB2312"/>
                <w:color w:val="000000" w:themeColor="text1"/>
                <w:sz w:val="28"/>
                <w:szCs w:val="28"/>
                <w14:textFill>
                  <w14:solidFill>
                    <w14:schemeClr w14:val="tx1"/>
                  </w14:solidFill>
                </w14:textFill>
              </w:rPr>
              <w:t>主要承接北京怀柔科学城产业转移和双创宜居示范区优质企业外迁，打造先进制造业示范基地和中小企业孵化基地，力争十四五末入驻企业50家以上。</w:t>
            </w:r>
          </w:p>
          <w:p>
            <w:pPr>
              <w:pStyle w:val="2"/>
              <w:widowControl w:val="0"/>
              <w:adjustRightInd w:val="0"/>
              <w:snapToGrid w:val="0"/>
              <w:spacing w:after="0" w:line="600" w:lineRule="exact"/>
              <w:ind w:firstLine="600" w:firstLineChars="200"/>
              <w:rPr>
                <w:rFonts w:eastAsia="楷体_GB2312"/>
                <w:color w:val="000000" w:themeColor="text1"/>
                <w:sz w:val="28"/>
                <w:szCs w:val="28"/>
                <w14:textFill>
                  <w14:solidFill>
                    <w14:schemeClr w14:val="tx1"/>
                  </w14:solidFill>
                </w14:textFill>
              </w:rPr>
            </w:pPr>
            <w:r>
              <w:rPr>
                <w:rFonts w:hint="eastAsia" w:eastAsia="楷体_GB2312"/>
                <w:b/>
                <w:bCs/>
                <w:color w:val="000000" w:themeColor="text1"/>
                <w:sz w:val="28"/>
                <w:szCs w:val="28"/>
                <w14:textFill>
                  <w14:solidFill>
                    <w14:schemeClr w14:val="tx1"/>
                  </w14:solidFill>
                </w14:textFill>
              </w:rPr>
              <w:t>“</w:t>
            </w:r>
            <w:r>
              <w:rPr>
                <w:rFonts w:eastAsia="楷体_GB2312"/>
                <w:b/>
                <w:bCs/>
                <w:color w:val="000000" w:themeColor="text1"/>
                <w:sz w:val="28"/>
                <w:szCs w:val="28"/>
                <w14:textFill>
                  <w14:solidFill>
                    <w14:schemeClr w14:val="tx1"/>
                  </w14:solidFill>
                </w14:textFill>
              </w:rPr>
              <w:t>5</w:t>
            </w:r>
            <w:r>
              <w:rPr>
                <w:rFonts w:hint="eastAsia" w:eastAsia="楷体_GB2312"/>
                <w:b/>
                <w:bCs/>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即</w:t>
            </w:r>
            <w:r>
              <w:rPr>
                <w:rFonts w:eastAsia="楷体_GB2312"/>
                <w:color w:val="000000" w:themeColor="text1"/>
                <w:kern w:val="2"/>
                <w:sz w:val="28"/>
                <w:szCs w:val="28"/>
                <w14:textFill>
                  <w14:solidFill>
                    <w14:schemeClr w14:val="tx1"/>
                  </w14:solidFill>
                </w14:textFill>
              </w:rPr>
              <w:t>努力培育5家上市企业</w:t>
            </w:r>
          </w:p>
        </w:tc>
      </w:tr>
    </w:tbl>
    <w:p>
      <w:pPr>
        <w:pStyle w:val="4"/>
        <w:keepNext w:val="0"/>
        <w:keepLines w:val="0"/>
        <w:widowControl w:val="0"/>
        <w:adjustRightInd w:val="0"/>
        <w:snapToGrid w:val="0"/>
        <w:spacing w:after="0" w:line="600" w:lineRule="exact"/>
      </w:pPr>
      <w:bookmarkStart w:id="57" w:name="_Toc9683"/>
      <w:bookmarkStart w:id="58" w:name="_Toc23889"/>
      <w:bookmarkStart w:id="59" w:name="_Toc23786"/>
    </w:p>
    <w:p>
      <w:pPr>
        <w:pStyle w:val="2"/>
        <w:widowControl w:val="0"/>
        <w:ind w:firstLine="340"/>
        <w:rPr>
          <w:rFonts w:eastAsia="方正小标宋简体"/>
          <w:kern w:val="44"/>
          <w:sz w:val="44"/>
        </w:rPr>
      </w:pPr>
      <w:r>
        <w:br w:type="page"/>
      </w:r>
    </w:p>
    <w:p>
      <w:pPr>
        <w:pStyle w:val="4"/>
        <w:keepNext w:val="0"/>
        <w:keepLines w:val="0"/>
        <w:widowControl w:val="0"/>
        <w:adjustRightInd w:val="0"/>
        <w:snapToGrid w:val="0"/>
        <w:spacing w:after="0" w:line="600" w:lineRule="exact"/>
      </w:pPr>
      <w:r>
        <w:t xml:space="preserve">第五章 </w:t>
      </w:r>
      <w:r>
        <w:rPr>
          <w:rFonts w:hint="eastAsia"/>
        </w:rPr>
        <w:t xml:space="preserve"> </w:t>
      </w:r>
      <w:r>
        <w:t>加快服务业提档升级，</w:t>
      </w:r>
      <w:bookmarkEnd w:id="57"/>
      <w:bookmarkEnd w:id="58"/>
      <w:r>
        <w:t>巩固提升</w:t>
      </w:r>
      <w:bookmarkEnd w:id="59"/>
    </w:p>
    <w:p>
      <w:pPr>
        <w:pStyle w:val="4"/>
        <w:keepNext w:val="0"/>
        <w:keepLines w:val="0"/>
        <w:widowControl w:val="0"/>
        <w:adjustRightInd w:val="0"/>
        <w:snapToGrid w:val="0"/>
        <w:spacing w:after="0" w:line="600" w:lineRule="exact"/>
      </w:pPr>
      <w:bookmarkStart w:id="60" w:name="_Toc20173"/>
      <w:r>
        <w:t>消费市场新优势</w:t>
      </w:r>
      <w:bookmarkEnd w:id="60"/>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bookmarkStart w:id="61" w:name="_Toc29166"/>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抢抓数字经济赋能机遇，实施现代服务业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一赋四培</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行动计划，推动服务业总量扩张、结构优化、档次提升，持续巩固我区在中心城区的优势地位。</w:t>
      </w:r>
    </w:p>
    <w:p>
      <w:pPr>
        <w:pStyle w:val="5"/>
        <w:keepNext w:val="0"/>
        <w:keepLines w:val="0"/>
        <w:widowControl w:val="0"/>
        <w:adjustRightInd w:val="0"/>
        <w:snapToGrid w:val="0"/>
        <w:spacing w:before="297" w:beforeLines="50" w:after="297" w:afterLines="50" w:line="560" w:lineRule="exact"/>
        <w:ind w:firstLine="0" w:firstLineChars="0"/>
      </w:pPr>
      <w:bookmarkStart w:id="62" w:name="_Toc28734"/>
      <w:bookmarkStart w:id="63" w:name="_Toc9332"/>
      <w:r>
        <w:t>第一节  坚持数字经济赋能发展</w:t>
      </w:r>
      <w:bookmarkEnd w:id="62"/>
      <w:bookmarkEnd w:id="63"/>
    </w:p>
    <w:p>
      <w:pPr>
        <w:widowControl w:val="0"/>
        <w:adjustRightInd w:val="0"/>
        <w:snapToGrid w:val="0"/>
        <w:spacing w:after="0" w:line="560" w:lineRule="exact"/>
        <w:ind w:firstLine="641"/>
        <w:jc w:val="both"/>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准确把握服务业行业发展趋势和市场变化，推动传统商业业态创新与功能提升，推动实施数字经济产业赋能，培育服务业新增长点。</w:t>
      </w:r>
    </w:p>
    <w:p>
      <w:pPr>
        <w:widowControl w:val="0"/>
        <w:adjustRightInd w:val="0"/>
        <w:snapToGrid w:val="0"/>
        <w:spacing w:after="0" w:line="560" w:lineRule="exact"/>
        <w:ind w:firstLine="641"/>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构建数字化消费生态。</w:t>
      </w:r>
      <w:r>
        <w:rPr>
          <w:rFonts w:ascii="Times New Roman" w:hAnsi="Times New Roman" w:eastAsia="仿宋_GB2312"/>
          <w:color w:val="000000" w:themeColor="text1"/>
          <w:szCs w:val="32"/>
          <w14:textFill>
            <w14:solidFill>
              <w14:schemeClr w14:val="tx1"/>
            </w14:solidFill>
          </w14:textFill>
        </w:rPr>
        <w:t>支持线下经营实体</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加快新理念、新科技、新设计改造提升，依托中联即送、兵锋软件等互联网和信息软件产业，推动传统零售、传统服务和渠道电商资源整合，完善</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互联网+</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智能+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消费生态体系。</w:t>
      </w:r>
    </w:p>
    <w:p>
      <w:pPr>
        <w:widowControl w:val="0"/>
        <w:adjustRightInd w:val="0"/>
        <w:snapToGrid w:val="0"/>
        <w:spacing w:after="0" w:line="560" w:lineRule="exact"/>
        <w:ind w:firstLine="641"/>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发展数字生活新服务。</w:t>
      </w:r>
      <w:r>
        <w:rPr>
          <w:rFonts w:ascii="Times New Roman" w:hAnsi="Times New Roman" w:eastAsia="仿宋_GB2312"/>
          <w:color w:val="000000" w:themeColor="text1"/>
          <w:szCs w:val="32"/>
          <w14:textFill>
            <w14:solidFill>
              <w14:schemeClr w14:val="tx1"/>
            </w14:solidFill>
          </w14:textFill>
        </w:rPr>
        <w:t>深化5G技术在网络购物、智能售卖等服务领域的应用，鼓励胖东来等大型零售企业利用互联网技术，推进实体店铺数字化改造</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增强店面场景化、立体化、智能化展示功能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开展全渠道营销。加快电子商务进社区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推广</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电子商务平台+社区智能便利店+集成网络终端</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社区商业模式</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打造一刻钟便民服务圈。加快旅游业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云、网、端</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基础设施建设，推进旅游宾馆饭店、景区景点智慧化改造，依托曹魏古城打造新型文化旅游应用场景，推进5G环境下的数字街区建设，建成全省</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互联网+旅游</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创新示范基地。积极培育壮大远程医疗、大数据分析、在线办公、在线教育等新经济、新业态。</w:t>
      </w:r>
    </w:p>
    <w:p>
      <w:pPr>
        <w:pStyle w:val="5"/>
        <w:keepNext w:val="0"/>
        <w:keepLines w:val="0"/>
        <w:widowControl w:val="0"/>
        <w:adjustRightInd w:val="0"/>
        <w:snapToGrid w:val="0"/>
        <w:spacing w:before="297" w:beforeLines="50" w:after="297" w:afterLines="50" w:line="560" w:lineRule="exact"/>
        <w:ind w:firstLine="0" w:firstLineChars="0"/>
      </w:pPr>
      <w:bookmarkStart w:id="64" w:name="_Toc21235"/>
      <w:bookmarkStart w:id="65" w:name="_Toc22475"/>
      <w:r>
        <w:t>第二节  重点培育四大主导产业</w:t>
      </w:r>
      <w:bookmarkEnd w:id="64"/>
      <w:bookmarkEnd w:id="65"/>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突出培优扶强、特色发展，重点培育和壮大文化旅游、即时物流、信息科技和现代养老四大优势行业，使之成为带动魏都区服务业发展的主导力量和战略支撑。</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文化旅游。</w:t>
      </w:r>
      <w:r>
        <w:rPr>
          <w:rFonts w:ascii="Times New Roman" w:hAnsi="Times New Roman" w:eastAsia="仿宋_GB2312"/>
          <w:color w:val="000000" w:themeColor="text1"/>
          <w:szCs w:val="32"/>
          <w14:textFill>
            <w14:solidFill>
              <w14:schemeClr w14:val="tx1"/>
            </w14:solidFill>
          </w14:textFill>
        </w:rPr>
        <w:t>按照</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快进、慢游、长留、缓出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理念，整合全区水系、生态、城建、民俗</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非遗等资源，全面提升魏都区文化旅游发展品质。提升改造历史文化街区，鼓励利用老旧厂房、历史建筑、工业遗迹、商业楼宇建设文化创意空间和城市文化综合体，激发文化旅游消费潜力。以曹魏古城为核心，将</w:t>
      </w:r>
      <w:r>
        <w:rPr>
          <w:rFonts w:hint="eastAsia" w:ascii="Times New Roman" w:hAnsi="Times New Roman" w:eastAsia="仿宋_GB2312"/>
          <w:color w:val="000000" w:themeColor="text1"/>
          <w:szCs w:val="32"/>
          <w14:textFill>
            <w14:solidFill>
              <w14:schemeClr w14:val="tx1"/>
            </w14:solidFill>
          </w14:textFill>
        </w:rPr>
        <w:t>灞</w:t>
      </w:r>
      <w:r>
        <w:rPr>
          <w:rFonts w:ascii="Times New Roman" w:hAnsi="Times New Roman" w:eastAsia="仿宋_GB2312"/>
          <w:color w:val="000000" w:themeColor="text1"/>
          <w:szCs w:val="32"/>
          <w14:textFill>
            <w14:solidFill>
              <w14:schemeClr w14:val="tx1"/>
            </w14:solidFill>
          </w14:textFill>
        </w:rPr>
        <w:t>陵桥、春秋楼、曹丞相府等景点串联成线，重点推动曹丞相府扩建和综合提升工程、西城门建设工程、魏武英豪段建设项目等，整体塑造三国文化旅游特色品牌，争取创建三国文旅产业融合发展示范区、国家文化和旅游消费示范城市。</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即时物流。</w:t>
      </w:r>
      <w:r>
        <w:rPr>
          <w:rFonts w:ascii="Times New Roman" w:hAnsi="Times New Roman" w:eastAsia="仿宋_GB2312"/>
          <w:color w:val="000000" w:themeColor="text1"/>
          <w:szCs w:val="32"/>
          <w14:textFill>
            <w14:solidFill>
              <w14:schemeClr w14:val="tx1"/>
            </w14:solidFill>
          </w14:textFill>
        </w:rPr>
        <w:t>推动</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5G+物联网+人工智能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在物流行业的融合应用，</w:t>
      </w:r>
      <w:bookmarkStart w:id="66" w:name="_Hlk55768412"/>
      <w:r>
        <w:rPr>
          <w:rFonts w:ascii="Times New Roman" w:hAnsi="Times New Roman" w:eastAsia="仿宋_GB2312"/>
          <w:color w:val="000000" w:themeColor="text1"/>
          <w:szCs w:val="32"/>
          <w14:textFill>
            <w14:solidFill>
              <w14:schemeClr w14:val="tx1"/>
            </w14:solidFill>
          </w14:textFill>
        </w:rPr>
        <w:t>打造智慧物流服务平台</w:t>
      </w:r>
      <w:bookmarkEnd w:id="66"/>
      <w:r>
        <w:rPr>
          <w:rFonts w:ascii="Times New Roman" w:hAnsi="Times New Roman" w:eastAsia="仿宋_GB2312"/>
          <w:color w:val="000000" w:themeColor="text1"/>
          <w:szCs w:val="32"/>
          <w14:textFill>
            <w14:solidFill>
              <w14:schemeClr w14:val="tx1"/>
            </w14:solidFill>
          </w14:textFill>
        </w:rPr>
        <w:t>。充分利用辖区商业经济繁荣发达的优势，立足连锁经营和商户配送服务，发展都市配送型物流。与新零销发展相适应，针对即时配送作业需求进行升级改造，优化基础配送速度，全方位提高配送服务质量，实现配送服务的定制化及消费场景的全覆盖。注重下沉市场开发，合理调整整体区域业务分布，加快相关配送地域投资建设。以中联即送为龙头，建设</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即时物流产业园</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，吸引一批国内即时物流企业入驻，建设总部基地，打通全产业链，打造</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即时物流之都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w:t>
      </w:r>
    </w:p>
    <w:p>
      <w:pPr>
        <w:widowControl w:val="0"/>
        <w:adjustRightInd w:val="0"/>
        <w:snapToGrid w:val="0"/>
        <w:spacing w:after="0" w:line="58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信息科技。</w:t>
      </w:r>
      <w:r>
        <w:rPr>
          <w:rFonts w:ascii="Times New Roman" w:hAnsi="Times New Roman" w:eastAsia="仿宋_GB2312"/>
          <w:color w:val="000000" w:themeColor="text1"/>
          <w:szCs w:val="32"/>
          <w14:textFill>
            <w14:solidFill>
              <w14:schemeClr w14:val="tx1"/>
            </w14:solidFill>
          </w14:textFill>
        </w:rPr>
        <w:t>加快发展以5G技术应用、云计算、大数据、物联网、移动互联网等为代表的信息服务业。加强相关软件研发，支持以新兵锋等为代表的软件企业发展，提高信息技术咨询设计、集成实施、运行维护、测试评估和信息安全服务水平，推动软件供应商、信息服务提供商与工业企业联合提升企业生产经营管理全过程的数字化水平。积极发展研究开发、检验检测认证、创业孵化、知识产权、科技咨询等专业科技服务和综合科技服务。围绕高端装备制造、新材料、循环经济等重点产业发展，加快引进北理工阻燃测试中心等高端研发机构，建设省级、国家级质检中心，建立公共研发服务体系。鼓励德通振动、中航设备、纪年科技等装备制造企业向智能化方案提供商转型。</w:t>
      </w:r>
    </w:p>
    <w:p>
      <w:pPr>
        <w:widowControl w:val="0"/>
        <w:adjustRightInd w:val="0"/>
        <w:snapToGrid w:val="0"/>
        <w:spacing w:after="0" w:line="58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现代养老。</w:t>
      </w:r>
      <w:r>
        <w:rPr>
          <w:rFonts w:ascii="Times New Roman" w:hAnsi="Times New Roman" w:eastAsia="仿宋_GB2312"/>
          <w:color w:val="000000" w:themeColor="text1"/>
          <w:szCs w:val="32"/>
          <w14:textFill>
            <w14:solidFill>
              <w14:schemeClr w14:val="tx1"/>
            </w14:solidFill>
          </w14:textFill>
        </w:rPr>
        <w:t>鼓励养老服务与相关产业融合创新发展，推动基本生活照料、康复护理、精神慰藉、紧急救援等领域养老服务的发展。培育健康养老服务开发运营主体，吸引养老、医疗、地产知名企业在魏都区打造具有核心竞争力的健康养老服务品牌，增加中高端健康养老产品供给，鼓励组建养老服务连锁机构，整合养老院、护理院开展规范化和规模化经营。建设一批满足老年人教育、健身、娱乐、保健、医疗、康复、护理等多元需求的健康养老机构，培育发展休闲体验和保健养生等新业态，建设健康养老产业示范基地。</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522" w:type="dxa"/>
          </w:tcPr>
          <w:p>
            <w:pPr>
              <w:widowControl w:val="0"/>
              <w:adjustRightInd w:val="0"/>
              <w:snapToGrid w:val="0"/>
              <w:spacing w:after="0" w:line="510" w:lineRule="exact"/>
              <w:jc w:val="center"/>
              <w:rPr>
                <w:rFonts w:ascii="黑体" w:hAnsi="黑体" w:eastAsia="黑体" w:cs="黑体"/>
                <w:bCs/>
                <w:color w:val="000000" w:themeColor="text1"/>
                <w:kern w:val="2"/>
                <w:sz w:val="28"/>
                <w:szCs w:val="28"/>
                <w14:textFill>
                  <w14:solidFill>
                    <w14:schemeClr w14:val="tx1"/>
                  </w14:solidFill>
                </w14:textFill>
              </w:rPr>
            </w:pPr>
            <w:r>
              <w:rPr>
                <w:rFonts w:hint="eastAsia" w:ascii="黑体" w:hAnsi="黑体" w:eastAsia="黑体" w:cs="黑体"/>
                <w:bCs/>
                <w:color w:val="000000" w:themeColor="text1"/>
                <w:kern w:val="2"/>
                <w:sz w:val="28"/>
                <w:szCs w:val="28"/>
                <w14:textFill>
                  <w14:solidFill>
                    <w14:schemeClr w14:val="tx1"/>
                  </w14:solidFill>
                </w14:textFill>
              </w:rPr>
              <w:t>专栏</w:t>
            </w:r>
            <w:r>
              <w:rPr>
                <w:rFonts w:hint="eastAsia" w:ascii="Times New Roman" w:hAnsi="Times New Roman" w:eastAsia="黑体" w:cs="黑体"/>
                <w:bCs/>
                <w:color w:val="000000" w:themeColor="text1"/>
                <w:kern w:val="2"/>
                <w:sz w:val="28"/>
                <w:szCs w:val="28"/>
                <w14:textFill>
                  <w14:solidFill>
                    <w14:schemeClr w14:val="tx1"/>
                  </w14:solidFill>
                </w14:textFill>
              </w:rPr>
              <w:t>2</w:t>
            </w:r>
            <w:r>
              <w:rPr>
                <w:rFonts w:hint="eastAsia" w:ascii="黑体" w:hAnsi="黑体" w:eastAsia="黑体" w:cs="黑体"/>
                <w:bCs/>
                <w:color w:val="000000" w:themeColor="text1"/>
                <w:kern w:val="2"/>
                <w:sz w:val="28"/>
                <w:szCs w:val="28"/>
                <w14:textFill>
                  <w14:solidFill>
                    <w14:schemeClr w14:val="tx1"/>
                  </w14:solidFill>
                </w14:textFill>
              </w:rPr>
              <w:t>：服务业“一赋四培”行动计划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pStyle w:val="2"/>
              <w:widowControl w:val="0"/>
              <w:adjustRightInd w:val="0"/>
              <w:snapToGrid w:val="0"/>
              <w:spacing w:after="0" w:line="520" w:lineRule="exact"/>
              <w:ind w:firstLine="600" w:firstLineChars="200"/>
              <w:rPr>
                <w:rFonts w:eastAsia="楷体_GB2312"/>
                <w:color w:val="000000" w:themeColor="text1"/>
                <w:sz w:val="28"/>
                <w:szCs w:val="28"/>
                <w14:textFill>
                  <w14:solidFill>
                    <w14:schemeClr w14:val="tx1"/>
                  </w14:solidFill>
                </w14:textFill>
              </w:rPr>
            </w:pPr>
            <w:r>
              <w:rPr>
                <w:rFonts w:hint="eastAsia" w:eastAsia="楷体_GB2312"/>
                <w:b/>
                <w:bCs/>
                <w:color w:val="000000" w:themeColor="text1"/>
                <w:sz w:val="28"/>
                <w:szCs w:val="28"/>
                <w14:textFill>
                  <w14:solidFill>
                    <w14:schemeClr w14:val="tx1"/>
                  </w14:solidFill>
                </w14:textFill>
              </w:rPr>
              <w:t>“</w:t>
            </w:r>
            <w:r>
              <w:rPr>
                <w:rFonts w:eastAsia="楷体_GB2312"/>
                <w:b/>
                <w:bCs/>
                <w:color w:val="000000" w:themeColor="text1"/>
                <w:sz w:val="28"/>
                <w:szCs w:val="28"/>
                <w14:textFill>
                  <w14:solidFill>
                    <w14:schemeClr w14:val="tx1"/>
                  </w14:solidFill>
                </w14:textFill>
              </w:rPr>
              <w:t>一赋</w:t>
            </w:r>
            <w:r>
              <w:rPr>
                <w:rFonts w:hint="eastAsia" w:eastAsia="楷体_GB2312"/>
                <w:b/>
                <w:bCs/>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即</w:t>
            </w:r>
            <w:r>
              <w:rPr>
                <w:rFonts w:eastAsia="楷体_GB2312"/>
                <w:color w:val="000000" w:themeColor="text1"/>
                <w:szCs w:val="32"/>
                <w14:textFill>
                  <w14:solidFill>
                    <w14:schemeClr w14:val="tx1"/>
                  </w14:solidFill>
                </w14:textFill>
              </w:rPr>
              <w:t>坚</w:t>
            </w:r>
            <w:r>
              <w:rPr>
                <w:rFonts w:eastAsia="楷体_GB2312"/>
                <w:color w:val="000000" w:themeColor="text1"/>
                <w:sz w:val="28"/>
                <w:szCs w:val="28"/>
                <w14:textFill>
                  <w14:solidFill>
                    <w14:schemeClr w14:val="tx1"/>
                  </w14:solidFill>
                </w14:textFill>
              </w:rPr>
              <w:t>持数字经济赋能发展</w:t>
            </w:r>
          </w:p>
          <w:p>
            <w:pPr>
              <w:pStyle w:val="2"/>
              <w:widowControl w:val="0"/>
              <w:adjustRightInd w:val="0"/>
              <w:snapToGrid w:val="0"/>
              <w:spacing w:after="0" w:line="520" w:lineRule="exact"/>
              <w:ind w:firstLine="600" w:firstLineChars="200"/>
              <w:rPr>
                <w:rFonts w:eastAsia="楷体_GB2312"/>
                <w:color w:val="000000" w:themeColor="text1"/>
                <w:sz w:val="28"/>
                <w:szCs w:val="28"/>
                <w14:textFill>
                  <w14:solidFill>
                    <w14:schemeClr w14:val="tx1"/>
                  </w14:solidFill>
                </w14:textFill>
              </w:rPr>
            </w:pPr>
            <w:r>
              <w:rPr>
                <w:rFonts w:hint="eastAsia" w:eastAsia="楷体_GB2312"/>
                <w:b/>
                <w:bCs/>
                <w:color w:val="000000" w:themeColor="text1"/>
                <w:sz w:val="28"/>
                <w:szCs w:val="28"/>
                <w14:textFill>
                  <w14:solidFill>
                    <w14:schemeClr w14:val="tx1"/>
                  </w14:solidFill>
                </w14:textFill>
              </w:rPr>
              <w:t>“</w:t>
            </w:r>
            <w:r>
              <w:rPr>
                <w:rFonts w:eastAsia="楷体_GB2312"/>
                <w:b/>
                <w:bCs/>
                <w:color w:val="000000" w:themeColor="text1"/>
                <w:sz w:val="28"/>
                <w:szCs w:val="28"/>
                <w14:textFill>
                  <w14:solidFill>
                    <w14:schemeClr w14:val="tx1"/>
                  </w14:solidFill>
                </w14:textFill>
              </w:rPr>
              <w:t>四培</w:t>
            </w:r>
            <w:r>
              <w:rPr>
                <w:rFonts w:hint="eastAsia" w:eastAsia="楷体_GB2312"/>
                <w:b/>
                <w:bCs/>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即重点培育和壮大文化旅游、即时物流、信息科技、现代养老4大优势行业。</w:t>
            </w:r>
          </w:p>
          <w:p>
            <w:pPr>
              <w:pStyle w:val="2"/>
              <w:widowControl w:val="0"/>
              <w:adjustRightInd w:val="0"/>
              <w:snapToGrid w:val="0"/>
              <w:spacing w:after="0"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文化旅游：</w:t>
            </w:r>
            <w:r>
              <w:rPr>
                <w:rFonts w:eastAsia="楷体_GB2312"/>
                <w:color w:val="000000" w:themeColor="text1"/>
                <w:sz w:val="28"/>
                <w:szCs w:val="28"/>
                <w14:textFill>
                  <w14:solidFill>
                    <w14:schemeClr w14:val="tx1"/>
                  </w14:solidFill>
                </w14:textFill>
              </w:rPr>
              <w:t>按照</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快进、慢游、长留、缓出</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理念，整合全区水系、生态、城建、民俗非遗等资源，全面提升魏都区文化旅游发展品质。</w:t>
            </w:r>
          </w:p>
          <w:p>
            <w:pPr>
              <w:pStyle w:val="2"/>
              <w:widowControl w:val="0"/>
              <w:adjustRightInd w:val="0"/>
              <w:snapToGrid w:val="0"/>
              <w:spacing w:after="0"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即时物流：</w:t>
            </w:r>
            <w:r>
              <w:rPr>
                <w:rFonts w:eastAsia="楷体_GB2312"/>
                <w:color w:val="000000" w:themeColor="text1"/>
                <w:sz w:val="28"/>
                <w:szCs w:val="28"/>
                <w14:textFill>
                  <w14:solidFill>
                    <w14:schemeClr w14:val="tx1"/>
                  </w14:solidFill>
                </w14:textFill>
              </w:rPr>
              <w:t>以中联即送为龙头，建设“即时物流产业园”，吸引一批国内即时物流企业入驻，建设总部基地，打通全产业链，打造“即时物流之都”。</w:t>
            </w:r>
          </w:p>
          <w:p>
            <w:pPr>
              <w:pStyle w:val="2"/>
              <w:widowControl w:val="0"/>
              <w:adjustRightInd w:val="0"/>
              <w:snapToGrid w:val="0"/>
              <w:spacing w:after="0"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信息科技：</w:t>
            </w:r>
            <w:r>
              <w:rPr>
                <w:rFonts w:eastAsia="楷体_GB2312"/>
                <w:color w:val="000000" w:themeColor="text1"/>
                <w:sz w:val="28"/>
                <w:szCs w:val="28"/>
                <w14:textFill>
                  <w14:solidFill>
                    <w14:schemeClr w14:val="tx1"/>
                  </w14:solidFill>
                </w14:textFill>
              </w:rPr>
              <w:t>大力发展科技服务、检测检验、工业设计、信息服务等与制造业紧密相关的生产性服务业，依靠市场机制和现代科技创新，推动生产性服务业向专业化和价值链高端延伸。</w:t>
            </w:r>
          </w:p>
          <w:p>
            <w:pPr>
              <w:pStyle w:val="2"/>
              <w:widowControl w:val="0"/>
              <w:adjustRightInd w:val="0"/>
              <w:snapToGrid w:val="0"/>
              <w:spacing w:after="0"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现代养老：</w:t>
            </w:r>
            <w:r>
              <w:rPr>
                <w:rFonts w:eastAsia="楷体_GB2312"/>
                <w:color w:val="000000" w:themeColor="text1"/>
                <w:sz w:val="28"/>
                <w:szCs w:val="28"/>
                <w14:textFill>
                  <w14:solidFill>
                    <w14:schemeClr w14:val="tx1"/>
                  </w14:solidFill>
                </w14:textFill>
              </w:rPr>
              <w:t>鼓励养老服务与房地产、医疗等产业融合创新发展，建设一批满足老年人多元需求的健康养老机构</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培育发展休闲体验和保健养生等新业态</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建设一批健康养老产业示范基地。</w:t>
            </w:r>
          </w:p>
        </w:tc>
      </w:tr>
    </w:tbl>
    <w:p>
      <w:pPr>
        <w:pStyle w:val="5"/>
        <w:keepNext w:val="0"/>
        <w:keepLines w:val="0"/>
        <w:widowControl w:val="0"/>
        <w:adjustRightInd w:val="0"/>
        <w:snapToGrid w:val="0"/>
        <w:spacing w:before="297" w:beforeLines="50" w:after="297" w:afterLines="50" w:line="560" w:lineRule="exact"/>
        <w:ind w:firstLine="0" w:firstLineChars="0"/>
      </w:pPr>
      <w:bookmarkStart w:id="67" w:name="_Toc19442"/>
      <w:bookmarkStart w:id="68" w:name="_Toc27125"/>
      <w:r>
        <w:t>第三节  巩固提升传统优势产业</w:t>
      </w:r>
      <w:bookmarkEnd w:id="67"/>
      <w:bookmarkEnd w:id="68"/>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突出创新升级、产业衍生，推动商贸流通、住宿餐饮、房地产等传统产业转型升级。</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商贸流通业。</w:t>
      </w:r>
      <w:r>
        <w:rPr>
          <w:rFonts w:ascii="Times New Roman" w:hAnsi="Times New Roman" w:eastAsia="仿宋_GB2312"/>
          <w:color w:val="000000" w:themeColor="text1"/>
          <w:szCs w:val="32"/>
          <w14:textFill>
            <w14:solidFill>
              <w14:schemeClr w14:val="tx1"/>
            </w14:solidFill>
          </w14:textFill>
        </w:rPr>
        <w:t>充分考虑魏都区作为中心城区汇聚人流物流等因素，以满足多层次、多品种购物需求为目的，科学规划、合理调控、强化服务，引导商贸流通业依照市场规律适度超前发展。充分应用现代管理理念和新一代信息技术，促进线上线下融合互动创新发展，加快实体商业企业创新转型，优化商业网点建设和业态配置，打造新零售智慧商圈（街区）。统筹推进市场外迁和升级改造，高水平培育一批线上线下融合、进口出口互动、城市乡村贯通、具有一定价格话语权的专业市场。构建满足多种需要、涵盖多种业态，辐射豫中南的商贸流通体系，积极打造区域商贸中心。</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widowControl w:val="0"/>
              <w:adjustRightInd w:val="0"/>
              <w:snapToGrid w:val="0"/>
              <w:spacing w:after="0" w:line="510" w:lineRule="exact"/>
              <w:jc w:val="center"/>
              <w:rPr>
                <w:rFonts w:ascii="黑体" w:hAnsi="黑体" w:eastAsia="黑体" w:cs="黑体"/>
                <w:bCs/>
                <w:color w:val="000000" w:themeColor="text1"/>
                <w:kern w:val="2"/>
                <w:sz w:val="28"/>
                <w:szCs w:val="28"/>
                <w14:textFill>
                  <w14:solidFill>
                    <w14:schemeClr w14:val="tx1"/>
                  </w14:solidFill>
                </w14:textFill>
              </w:rPr>
            </w:pPr>
            <w:r>
              <w:rPr>
                <w:rFonts w:hint="eastAsia" w:ascii="黑体" w:hAnsi="黑体" w:eastAsia="黑体" w:cs="黑体"/>
                <w:bCs/>
                <w:color w:val="000000" w:themeColor="text1"/>
                <w:kern w:val="2"/>
                <w:sz w:val="28"/>
                <w:szCs w:val="28"/>
                <w14:textFill>
                  <w14:solidFill>
                    <w14:schemeClr w14:val="tx1"/>
                  </w14:solidFill>
                </w14:textFill>
              </w:rPr>
              <w:t>专栏</w:t>
            </w:r>
            <w:r>
              <w:rPr>
                <w:rFonts w:hint="eastAsia" w:ascii="Times New Roman" w:hAnsi="Times New Roman" w:eastAsia="黑体" w:cs="黑体"/>
                <w:bCs/>
                <w:color w:val="000000" w:themeColor="text1"/>
                <w:kern w:val="2"/>
                <w:sz w:val="28"/>
                <w:szCs w:val="28"/>
                <w14:textFill>
                  <w14:solidFill>
                    <w14:schemeClr w14:val="tx1"/>
                  </w14:solidFill>
                </w14:textFill>
              </w:rPr>
              <w:t>3</w:t>
            </w:r>
            <w:r>
              <w:rPr>
                <w:rFonts w:hint="eastAsia" w:ascii="黑体" w:hAnsi="黑体" w:eastAsia="黑体" w:cs="黑体"/>
                <w:bCs/>
                <w:color w:val="000000" w:themeColor="text1"/>
                <w:kern w:val="2"/>
                <w:sz w:val="28"/>
                <w:szCs w:val="28"/>
                <w14:textFill>
                  <w14:solidFill>
                    <w14:schemeClr w14:val="tx1"/>
                  </w14:solidFill>
                </w14:textFill>
              </w:rPr>
              <w:t>：商贸项目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widowControl w:val="0"/>
              <w:adjustRightInd w:val="0"/>
              <w:snapToGrid w:val="0"/>
              <w:spacing w:after="0" w:line="520" w:lineRule="exact"/>
              <w:ind w:firstLine="600" w:firstLineChars="200"/>
              <w:jc w:val="both"/>
              <w:rPr>
                <w:rFonts w:ascii="Times New Roman" w:hAnsi="Times New Roman" w:eastAsia="楷体_GB2312"/>
                <w:color w:val="000000" w:themeColor="text1"/>
                <w:sz w:val="28"/>
                <w:szCs w:val="28"/>
                <w14:textFill>
                  <w14:solidFill>
                    <w14:schemeClr w14:val="tx1"/>
                  </w14:solidFill>
                </w14:textFill>
              </w:rPr>
            </w:pPr>
            <w:r>
              <w:rPr>
                <w:rFonts w:ascii="Times New Roman" w:hAnsi="Times New Roman" w:eastAsia="楷体_GB2312"/>
                <w:b/>
                <w:bCs/>
                <w:color w:val="000000" w:themeColor="text1"/>
                <w:sz w:val="28"/>
                <w:szCs w:val="28"/>
                <w14:textFill>
                  <w14:solidFill>
                    <w14:schemeClr w14:val="tx1"/>
                  </w14:solidFill>
                </w14:textFill>
              </w:rPr>
              <w:t>1、许都之心及周边商业区开发项目。</w:t>
            </w:r>
            <w:r>
              <w:rPr>
                <w:rFonts w:ascii="Times New Roman" w:hAnsi="Times New Roman" w:eastAsia="楷体_GB2312"/>
                <w:color w:val="000000" w:themeColor="text1"/>
                <w:sz w:val="28"/>
                <w:szCs w:val="28"/>
                <w14:textFill>
                  <w14:solidFill>
                    <w14:schemeClr w14:val="tx1"/>
                  </w14:solidFill>
                </w14:textFill>
              </w:rPr>
              <w:t>新建长春路、玉龙街，并以长春路为中轴，以东阳商城为商圈核心，对周边区域进行连片商业开发，打造集餐饮、零售、办公、酒店、游园、广场文化等多功能为一体的城市综合体。</w:t>
            </w:r>
          </w:p>
          <w:p>
            <w:pPr>
              <w:widowControl w:val="0"/>
              <w:adjustRightInd w:val="0"/>
              <w:snapToGrid w:val="0"/>
              <w:spacing w:after="0" w:line="520" w:lineRule="exact"/>
              <w:ind w:firstLine="600" w:firstLineChars="200"/>
              <w:jc w:val="both"/>
              <w:rPr>
                <w:rFonts w:ascii="Times New Roman" w:hAnsi="Times New Roman" w:eastAsia="楷体_GB2312"/>
                <w:color w:val="000000" w:themeColor="text1"/>
                <w:sz w:val="28"/>
                <w:szCs w:val="28"/>
                <w14:textFill>
                  <w14:solidFill>
                    <w14:schemeClr w14:val="tx1"/>
                  </w14:solidFill>
                </w14:textFill>
              </w:rPr>
            </w:pPr>
            <w:r>
              <w:rPr>
                <w:rFonts w:ascii="Times New Roman" w:hAnsi="Times New Roman" w:eastAsia="楷体_GB2312"/>
                <w:b/>
                <w:bCs/>
                <w:color w:val="000000" w:themeColor="text1"/>
                <w:sz w:val="28"/>
                <w:szCs w:val="28"/>
                <w14:textFill>
                  <w14:solidFill>
                    <w14:schemeClr w14:val="tx1"/>
                  </w14:solidFill>
                </w14:textFill>
              </w:rPr>
              <w:t>2、恒大悦龙台商业综合开发项目。</w:t>
            </w:r>
            <w:r>
              <w:rPr>
                <w:rFonts w:ascii="Times New Roman" w:hAnsi="Times New Roman" w:eastAsia="楷体_GB2312"/>
                <w:color w:val="000000" w:themeColor="text1"/>
                <w:sz w:val="28"/>
                <w:szCs w:val="28"/>
                <w14:textFill>
                  <w14:solidFill>
                    <w14:schemeClr w14:val="tx1"/>
                  </w14:solidFill>
                </w14:textFill>
              </w:rPr>
              <w:t>主要建设集高档办公写字楼、大型文娱中心、风情商业街为一体的城市综合体。</w:t>
            </w:r>
          </w:p>
          <w:p>
            <w:pPr>
              <w:pStyle w:val="2"/>
              <w:widowControl w:val="0"/>
              <w:adjustRightInd w:val="0"/>
              <w:snapToGrid w:val="0"/>
              <w:spacing w:after="0" w:line="520" w:lineRule="exact"/>
              <w:ind w:firstLine="600" w:firstLineChars="200"/>
              <w:rPr>
                <w:rFonts w:eastAsia="宋体"/>
                <w:b/>
                <w:bCs/>
                <w:color w:val="000000" w:themeColor="text1"/>
                <w:kern w:val="2"/>
                <w:sz w:val="24"/>
                <w:szCs w:val="24"/>
                <w14:textFill>
                  <w14:solidFill>
                    <w14:schemeClr w14:val="tx1"/>
                  </w14:solidFill>
                </w14:textFill>
              </w:rPr>
            </w:pPr>
            <w:r>
              <w:rPr>
                <w:rFonts w:eastAsia="楷体_GB2312"/>
                <w:b/>
                <w:bCs/>
                <w:color w:val="000000" w:themeColor="text1"/>
                <w:kern w:val="2"/>
                <w:sz w:val="28"/>
                <w:szCs w:val="28"/>
                <w14:textFill>
                  <w14:solidFill>
                    <w14:schemeClr w14:val="tx1"/>
                  </w14:solidFill>
                </w14:textFill>
              </w:rPr>
              <w:t>3、许昌胖东来购物广场及周边商业区建设项目。</w:t>
            </w:r>
            <w:r>
              <w:rPr>
                <w:rFonts w:eastAsia="楷体_GB2312"/>
                <w:color w:val="000000" w:themeColor="text1"/>
                <w:sz w:val="28"/>
                <w:szCs w:val="28"/>
                <w14:textFill>
                  <w14:solidFill>
                    <w14:schemeClr w14:val="tx1"/>
                  </w14:solidFill>
                </w14:textFill>
              </w:rPr>
              <w:t>规划建成集餐饮、娱乐、休闲、购物于一体的多功能商业综合体。</w:t>
            </w:r>
          </w:p>
        </w:tc>
      </w:tr>
    </w:tbl>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住宿餐饮业。</w:t>
      </w:r>
      <w:r>
        <w:rPr>
          <w:rFonts w:ascii="Times New Roman" w:hAnsi="Times New Roman" w:eastAsia="仿宋_GB2312"/>
          <w:color w:val="000000" w:themeColor="text1"/>
          <w:szCs w:val="32"/>
          <w14:textFill>
            <w14:solidFill>
              <w14:schemeClr w14:val="tx1"/>
            </w14:solidFill>
          </w14:textFill>
        </w:rPr>
        <w:t>以满足大众消费需求为导向，努力提升住宿餐饮服务质量和水平，促进住宿餐饮业特色化、绿色化、品牌化、连锁化经营，保护</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老字号</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企业，规范发展绿色饭店、主题酒店、客栈民宿等业态，加强中央厨房、食品安全体系等配套设施建设，引导餐饮企业建设主食加工配送中心、原辅料配送中心，支持住宿餐饮企业与平台公司、创意公司等合作，提升服务体验附加值，引领创造服务新需求。</w:t>
      </w:r>
    </w:p>
    <w:p>
      <w:pPr>
        <w:widowControl w:val="0"/>
        <w:adjustRightInd w:val="0"/>
        <w:snapToGrid w:val="0"/>
        <w:spacing w:after="0" w:line="55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房地产。</w:t>
      </w:r>
      <w:r>
        <w:rPr>
          <w:rFonts w:ascii="Times New Roman" w:hAnsi="Times New Roman" w:eastAsia="仿宋_GB2312"/>
          <w:color w:val="000000" w:themeColor="text1"/>
          <w:szCs w:val="32"/>
          <w14:textFill>
            <w14:solidFill>
              <w14:schemeClr w14:val="tx1"/>
            </w14:solidFill>
          </w14:textFill>
        </w:rPr>
        <w:t>始终坚持</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房住不炒</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持续完善住房市场体系和住房保障体系，不断满足居民自住型和改善型住房需求，合理发展健康、养老、旅游、文化、教育等功能性地产。推动房地产企业调整经营思路、租售并举，持续提升开发质量和服务，向</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城乡建设与生活服务商</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转型。促进房地产评估和经纪、土地评估和登记代理机构等服务专业化发展，不断提升物业服务水平，规范发展二手房市场和租赁市场。</w:t>
      </w:r>
    </w:p>
    <w:p>
      <w:pPr>
        <w:pStyle w:val="5"/>
        <w:keepNext w:val="0"/>
        <w:keepLines w:val="0"/>
        <w:widowControl w:val="0"/>
        <w:adjustRightInd w:val="0"/>
        <w:snapToGrid w:val="0"/>
        <w:spacing w:before="297" w:beforeLines="50" w:after="297" w:afterLines="50" w:line="560" w:lineRule="exact"/>
        <w:ind w:firstLine="0" w:firstLineChars="0"/>
      </w:pPr>
      <w:bookmarkStart w:id="69" w:name="_Toc5049"/>
      <w:bookmarkStart w:id="70" w:name="_Toc25326"/>
      <w:r>
        <w:t>第四节  大力发展新兴成长产业</w:t>
      </w:r>
      <w:bookmarkEnd w:id="69"/>
      <w:bookmarkEnd w:id="70"/>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突出培育主体、扩大供给，将家政服务、商务服务、环保服务等新兴产业培育成为经济新增长点。</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家政服务业。</w:t>
      </w:r>
      <w:r>
        <w:rPr>
          <w:rFonts w:ascii="Times New Roman" w:hAnsi="Times New Roman" w:eastAsia="仿宋_GB2312"/>
          <w:color w:val="000000" w:themeColor="text1"/>
          <w:szCs w:val="32"/>
          <w14:textFill>
            <w14:solidFill>
              <w14:schemeClr w14:val="tx1"/>
            </w14:solidFill>
          </w14:textFill>
        </w:rPr>
        <w:t>培育壮大市场主体，支持家政企业连锁化、品牌化发展，推动一批平台公司成为家政行业发展的</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催化剂</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和</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孵化器</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，打造全国知名家政品牌。推进家政服务进社区，建设智能化公共服务平台，为居民提供就近便捷家政服务。推动</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家政+</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 xml:space="preserve">养老、托幼、电商、快递等行业融合发展，培育家政服务新业态，扩大多层次多样化家政服务供给。优化行业发展环境，通过人员培训、信用建设、标准制订、试点示范等方式，提高服务规范化和职业化水平。加强从业人员权益保障机制，吸引更多劳动者从事家政服务。 </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商务服务业。</w:t>
      </w:r>
      <w:r>
        <w:rPr>
          <w:rFonts w:ascii="Times New Roman" w:hAnsi="Times New Roman" w:eastAsia="仿宋_GB2312"/>
          <w:color w:val="000000" w:themeColor="text1"/>
          <w:szCs w:val="32"/>
          <w14:textFill>
            <w14:solidFill>
              <w14:schemeClr w14:val="tx1"/>
            </w14:solidFill>
          </w14:textFill>
        </w:rPr>
        <w:t>完善会展配套基础设施，规划建设综合性会展中心，推动会展业与文化、旅游等产业融合发展，积极承办假发展览会、三国曹魏文化学术交流</w:t>
      </w:r>
      <w:r>
        <w:rPr>
          <w:rFonts w:hint="eastAsia" w:ascii="Times New Roman" w:hAnsi="Times New Roman" w:eastAsia="仿宋_GB2312"/>
          <w:color w:val="000000" w:themeColor="text1"/>
          <w:szCs w:val="32"/>
          <w14:textFill>
            <w14:solidFill>
              <w14:schemeClr w14:val="tx1"/>
            </w14:solidFill>
          </w14:textFill>
        </w:rPr>
        <w:t>会</w:t>
      </w:r>
      <w:r>
        <w:rPr>
          <w:rFonts w:ascii="Times New Roman" w:hAnsi="Times New Roman" w:eastAsia="仿宋_GB2312"/>
          <w:color w:val="000000" w:themeColor="text1"/>
          <w:szCs w:val="32"/>
          <w14:textFill>
            <w14:solidFill>
              <w14:schemeClr w14:val="tx1"/>
            </w14:solidFill>
          </w14:textFill>
        </w:rPr>
        <w:t>等活动。大力发展法律服务、评估监测、会计审计、广告咨询等商务服务，积极发展资产评估、税务代理、勘察设计、工程咨询等专业咨询服务，推动商务服务业专业化、规模化、品牌化发展。</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环保服务业。</w:t>
      </w:r>
      <w:r>
        <w:rPr>
          <w:rFonts w:ascii="Times New Roman" w:hAnsi="Times New Roman" w:eastAsia="仿宋_GB2312"/>
          <w:color w:val="000000" w:themeColor="text1"/>
          <w:szCs w:val="32"/>
          <w14:textFill>
            <w14:solidFill>
              <w14:schemeClr w14:val="tx1"/>
            </w14:solidFill>
          </w14:textFill>
        </w:rPr>
        <w:t>以城乡生活垃圾、餐厨垃圾、城市污泥无害化处置和资源化利用为重点，吸引行业龙头企业参与静脉产业园建设。推动发展环保服务总承包、环境治理特许经营等综合环保服务业，培育壮大环境咨询评估、生态环境修复、排污权交易、绿色认证等新兴环保服务业。推动环保服务企业通过技术合作和资源共享，为用户提供环保咨询、设施运营与管理等一站式污染治理服务。培育城乡垃圾一体化收运、环境第三方监测等社会化环境监测和检测机构，加强监测平台建设。</w:t>
      </w:r>
      <w:bookmarkEnd w:id="61"/>
    </w:p>
    <w:p>
      <w:pPr>
        <w:pStyle w:val="5"/>
        <w:keepNext w:val="0"/>
        <w:keepLines w:val="0"/>
        <w:widowControl w:val="0"/>
        <w:adjustRightInd w:val="0"/>
        <w:snapToGrid w:val="0"/>
        <w:spacing w:before="297" w:beforeLines="50" w:after="297" w:afterLines="50" w:line="560" w:lineRule="exact"/>
        <w:ind w:firstLine="0" w:firstLineChars="0"/>
      </w:pPr>
      <w:bookmarkStart w:id="71" w:name="_Toc1427"/>
      <w:bookmarkStart w:id="72" w:name="_Toc10688"/>
      <w:r>
        <w:t>第五节  打造高品质服务业商圈</w:t>
      </w:r>
      <w:bookmarkEnd w:id="71"/>
      <w:bookmarkEnd w:id="72"/>
    </w:p>
    <w:p>
      <w:pPr>
        <w:widowControl w:val="0"/>
        <w:adjustRightInd w:val="0"/>
        <w:snapToGrid w:val="0"/>
        <w:spacing w:after="0" w:line="560" w:lineRule="exact"/>
        <w:ind w:firstLine="664" w:firstLineChars="200"/>
        <w:jc w:val="both"/>
        <w:rPr>
          <w:rFonts w:ascii="Times New Roman" w:hAnsi="Times New Roman" w:eastAsia="仿宋_GB2312"/>
          <w:color w:val="000000" w:themeColor="text1"/>
          <w:spacing w:val="-4"/>
          <w:szCs w:val="32"/>
          <w14:textFill>
            <w14:solidFill>
              <w14:schemeClr w14:val="tx1"/>
            </w14:solidFill>
          </w14:textFill>
        </w:rPr>
      </w:pPr>
      <w:r>
        <w:rPr>
          <w:rFonts w:ascii="Times New Roman" w:hAnsi="Times New Roman" w:eastAsia="仿宋_GB2312"/>
          <w:color w:val="000000" w:themeColor="text1"/>
          <w:spacing w:val="-4"/>
          <w:szCs w:val="32"/>
          <w14:textFill>
            <w14:solidFill>
              <w14:schemeClr w14:val="tx1"/>
            </w14:solidFill>
          </w14:textFill>
        </w:rPr>
        <w:t>锚定打造许昌市现代服务业中心发展方向，以胖东来时代广场、大商新玛特、万盛城市综合体等项目为龙头引领，以周边各类品牌店、精品店、专业市场为重要支撑，大力发展</w:t>
      </w:r>
      <w:r>
        <w:rPr>
          <w:rFonts w:hint="eastAsia" w:ascii="Times New Roman" w:hAnsi="Times New Roman" w:eastAsia="仿宋_GB2312"/>
          <w:color w:val="000000" w:themeColor="text1"/>
          <w:spacing w:val="-4"/>
          <w:szCs w:val="32"/>
          <w14:textFill>
            <w14:solidFill>
              <w14:schemeClr w14:val="tx1"/>
            </w14:solidFill>
          </w14:textFill>
        </w:rPr>
        <w:t>“</w:t>
      </w:r>
      <w:r>
        <w:rPr>
          <w:rFonts w:ascii="Times New Roman" w:hAnsi="Times New Roman" w:eastAsia="仿宋_GB2312"/>
          <w:color w:val="000000" w:themeColor="text1"/>
          <w:spacing w:val="-4"/>
          <w:szCs w:val="32"/>
          <w14:textFill>
            <w14:solidFill>
              <w14:schemeClr w14:val="tx1"/>
            </w14:solidFill>
          </w14:textFill>
        </w:rPr>
        <w:t>首店经济</w:t>
      </w:r>
      <w:r>
        <w:rPr>
          <w:rFonts w:hint="eastAsia" w:ascii="Times New Roman" w:hAnsi="Times New Roman" w:eastAsia="仿宋_GB2312"/>
          <w:color w:val="000000" w:themeColor="text1"/>
          <w:spacing w:val="-4"/>
          <w:szCs w:val="32"/>
          <w14:textFill>
            <w14:solidFill>
              <w14:schemeClr w14:val="tx1"/>
            </w14:solidFill>
          </w14:textFill>
        </w:rPr>
        <w:t>”</w:t>
      </w:r>
      <w:r>
        <w:rPr>
          <w:rFonts w:ascii="Times New Roman" w:hAnsi="Times New Roman" w:eastAsia="仿宋_GB2312"/>
          <w:color w:val="000000" w:themeColor="text1"/>
          <w:spacing w:val="-4"/>
          <w:szCs w:val="32"/>
          <w14:textFill>
            <w14:solidFill>
              <w14:schemeClr w14:val="tx1"/>
            </w14:solidFill>
          </w14:textFill>
        </w:rPr>
        <w:t>、</w:t>
      </w:r>
      <w:r>
        <w:rPr>
          <w:rFonts w:hint="eastAsia" w:ascii="Times New Roman" w:hAnsi="Times New Roman" w:eastAsia="仿宋_GB2312"/>
          <w:color w:val="000000" w:themeColor="text1"/>
          <w:spacing w:val="-4"/>
          <w:szCs w:val="32"/>
          <w14:textFill>
            <w14:solidFill>
              <w14:schemeClr w14:val="tx1"/>
            </w14:solidFill>
          </w14:textFill>
        </w:rPr>
        <w:t>“</w:t>
      </w:r>
      <w:r>
        <w:rPr>
          <w:rFonts w:ascii="Times New Roman" w:hAnsi="Times New Roman" w:eastAsia="仿宋_GB2312"/>
          <w:color w:val="000000" w:themeColor="text1"/>
          <w:spacing w:val="-4"/>
          <w:szCs w:val="32"/>
          <w14:textFill>
            <w14:solidFill>
              <w14:schemeClr w14:val="tx1"/>
            </w14:solidFill>
          </w14:textFill>
        </w:rPr>
        <w:t>首发经济</w:t>
      </w:r>
      <w:r>
        <w:rPr>
          <w:rFonts w:hint="eastAsia" w:ascii="Times New Roman" w:hAnsi="Times New Roman" w:eastAsia="仿宋_GB2312"/>
          <w:color w:val="000000" w:themeColor="text1"/>
          <w:spacing w:val="-4"/>
          <w:szCs w:val="32"/>
          <w14:textFill>
            <w14:solidFill>
              <w14:schemeClr w14:val="tx1"/>
            </w14:solidFill>
          </w14:textFill>
        </w:rPr>
        <w:t>”</w:t>
      </w:r>
      <w:r>
        <w:rPr>
          <w:rFonts w:ascii="Times New Roman" w:hAnsi="Times New Roman" w:eastAsia="仿宋_GB2312"/>
          <w:color w:val="000000" w:themeColor="text1"/>
          <w:spacing w:val="-4"/>
          <w:szCs w:val="32"/>
          <w14:textFill>
            <w14:solidFill>
              <w14:schemeClr w14:val="tx1"/>
            </w14:solidFill>
          </w14:textFill>
        </w:rPr>
        <w:t>，抢占中原商业零售的</w:t>
      </w:r>
      <w:r>
        <w:rPr>
          <w:rFonts w:hint="eastAsia" w:ascii="Times New Roman" w:hAnsi="Times New Roman" w:eastAsia="仿宋_GB2312"/>
          <w:color w:val="000000" w:themeColor="text1"/>
          <w:spacing w:val="-4"/>
          <w:szCs w:val="32"/>
          <w14:textFill>
            <w14:solidFill>
              <w14:schemeClr w14:val="tx1"/>
            </w14:solidFill>
          </w14:textFill>
        </w:rPr>
        <w:t>“</w:t>
      </w:r>
      <w:r>
        <w:rPr>
          <w:rFonts w:ascii="Times New Roman" w:hAnsi="Times New Roman" w:eastAsia="仿宋_GB2312"/>
          <w:color w:val="000000" w:themeColor="text1"/>
          <w:spacing w:val="-4"/>
          <w:szCs w:val="32"/>
          <w14:textFill>
            <w14:solidFill>
              <w14:schemeClr w14:val="tx1"/>
            </w14:solidFill>
          </w14:textFill>
        </w:rPr>
        <w:t>顶流</w:t>
      </w:r>
      <w:r>
        <w:rPr>
          <w:rFonts w:hint="eastAsia" w:ascii="Times New Roman" w:hAnsi="Times New Roman" w:eastAsia="仿宋_GB2312"/>
          <w:color w:val="000000" w:themeColor="text1"/>
          <w:spacing w:val="-4"/>
          <w:szCs w:val="32"/>
          <w14:textFill>
            <w14:solidFill>
              <w14:schemeClr w14:val="tx1"/>
            </w14:solidFill>
          </w14:textFill>
        </w:rPr>
        <w:t>”</w:t>
      </w:r>
      <w:r>
        <w:rPr>
          <w:rFonts w:ascii="Times New Roman" w:hAnsi="Times New Roman" w:eastAsia="仿宋_GB2312"/>
          <w:color w:val="000000" w:themeColor="text1"/>
          <w:spacing w:val="-4"/>
          <w:szCs w:val="32"/>
          <w14:textFill>
            <w14:solidFill>
              <w14:schemeClr w14:val="tx1"/>
            </w14:solidFill>
          </w14:textFill>
        </w:rPr>
        <w:t>，打造若干具有广泛影响力的现代服务业商圈。加快曹魏古城特色商业街建设，丰富业态品类，注重品质提升，进一步出形象、出规模、见成效，打造以特色商业街为依托，以曹丞相府和站前广场为核心的商文旅融合发展商圈，逐渐培育成为服务中原、面向全国的都市白领网红打卡地，为整体提升许昌城市形象和服务水平赋能。加快银都国际、鑫悦广场、绿洲广场、鼎鑫广</w:t>
      </w:r>
      <w:r>
        <w:rPr>
          <w:rFonts w:ascii="Times New Roman" w:hAnsi="Times New Roman" w:eastAsia="仿宋_GB2312"/>
          <w:color w:val="000000" w:themeColor="text1"/>
          <w:spacing w:val="2"/>
          <w:szCs w:val="32"/>
          <w14:textFill>
            <w14:solidFill>
              <w14:schemeClr w14:val="tx1"/>
            </w14:solidFill>
          </w14:textFill>
        </w:rPr>
        <w:t>场等高端商业住宅圈环境提升，吸引区域型总部、功能型总部、业务型总部经济入驻，形成与其它商圈经济互动发展的良好格局。</w:t>
      </w:r>
    </w:p>
    <w:p>
      <w:pPr>
        <w:pStyle w:val="2"/>
        <w:widowControl w:val="0"/>
        <w:ind w:firstLine="340"/>
      </w:pPr>
      <w:r>
        <w:br w:type="page"/>
      </w:r>
    </w:p>
    <w:p>
      <w:pPr>
        <w:pStyle w:val="4"/>
        <w:keepNext w:val="0"/>
        <w:keepLines w:val="0"/>
        <w:widowControl w:val="0"/>
        <w:adjustRightInd w:val="0"/>
        <w:snapToGrid w:val="0"/>
        <w:spacing w:after="0" w:line="600" w:lineRule="exact"/>
      </w:pPr>
      <w:bookmarkStart w:id="73" w:name="_Toc29378"/>
      <w:bookmarkStart w:id="74" w:name="_Toc4436"/>
      <w:r>
        <w:t>第六章</w:t>
      </w:r>
      <w:r>
        <w:rPr>
          <w:rFonts w:hint="eastAsia"/>
        </w:rPr>
        <w:t xml:space="preserve"> </w:t>
      </w:r>
      <w:r>
        <w:t xml:space="preserve"> 提升城区承载能级，展示中心城区</w:t>
      </w:r>
      <w:bookmarkEnd w:id="73"/>
    </w:p>
    <w:p>
      <w:pPr>
        <w:pStyle w:val="4"/>
        <w:keepNext w:val="0"/>
        <w:keepLines w:val="0"/>
        <w:widowControl w:val="0"/>
        <w:adjustRightInd w:val="0"/>
        <w:snapToGrid w:val="0"/>
        <w:spacing w:after="0" w:line="600" w:lineRule="exact"/>
      </w:pPr>
      <w:bookmarkStart w:id="75" w:name="_Toc29293"/>
      <w:r>
        <w:t>宜居新形象</w:t>
      </w:r>
      <w:bookmarkEnd w:id="75"/>
    </w:p>
    <w:p>
      <w:pPr>
        <w:widowControl w:val="0"/>
        <w:adjustRightInd w:val="0"/>
        <w:snapToGrid w:val="0"/>
        <w:spacing w:after="0" w:line="590" w:lineRule="exact"/>
        <w:ind w:firstLine="640"/>
        <w:rPr>
          <w:rFonts w:ascii="Times New Roman" w:hAnsi="Times New Roman" w:eastAsia="仿宋_GB2312"/>
          <w:color w:val="000000" w:themeColor="text1"/>
          <w:szCs w:val="32"/>
          <w14:textFill>
            <w14:solidFill>
              <w14:schemeClr w14:val="tx1"/>
            </w14:solidFill>
          </w14:textFill>
        </w:rPr>
      </w:pP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坚持以人民为中心，遵循城市发展规律，重点实施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两区、两改、两线、六路</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工程，持续提升城区生态宜居度和综合承载能级。</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522" w:type="dxa"/>
          </w:tcPr>
          <w:p>
            <w:pPr>
              <w:widowControl w:val="0"/>
              <w:adjustRightInd w:val="0"/>
              <w:snapToGrid w:val="0"/>
              <w:spacing w:after="0" w:line="510" w:lineRule="exact"/>
              <w:jc w:val="center"/>
              <w:rPr>
                <w:rFonts w:ascii="黑体" w:hAnsi="黑体" w:eastAsia="黑体" w:cs="黑体"/>
                <w:bCs/>
                <w:color w:val="000000" w:themeColor="text1"/>
                <w:kern w:val="2"/>
                <w:sz w:val="28"/>
                <w:szCs w:val="28"/>
                <w14:textFill>
                  <w14:solidFill>
                    <w14:schemeClr w14:val="tx1"/>
                  </w14:solidFill>
                </w14:textFill>
              </w:rPr>
            </w:pPr>
            <w:r>
              <w:rPr>
                <w:rFonts w:hint="eastAsia" w:ascii="黑体" w:hAnsi="黑体" w:eastAsia="黑体" w:cs="黑体"/>
                <w:bCs/>
                <w:color w:val="000000" w:themeColor="text1"/>
                <w:kern w:val="2"/>
                <w:sz w:val="28"/>
                <w:szCs w:val="28"/>
                <w14:textFill>
                  <w14:solidFill>
                    <w14:schemeClr w14:val="tx1"/>
                  </w14:solidFill>
                </w14:textFill>
              </w:rPr>
              <w:t>专栏</w:t>
            </w:r>
            <w:r>
              <w:rPr>
                <w:rFonts w:hint="eastAsia" w:ascii="Times New Roman" w:hAnsi="Times New Roman" w:eastAsia="黑体" w:cs="黑体"/>
                <w:bCs/>
                <w:color w:val="000000" w:themeColor="text1"/>
                <w:kern w:val="2"/>
                <w:sz w:val="28"/>
                <w:szCs w:val="28"/>
                <w14:textFill>
                  <w14:solidFill>
                    <w14:schemeClr w14:val="tx1"/>
                  </w14:solidFill>
                </w14:textFill>
              </w:rPr>
              <w:t>4</w:t>
            </w:r>
            <w:r>
              <w:rPr>
                <w:rFonts w:hint="eastAsia" w:ascii="黑体" w:hAnsi="黑体" w:eastAsia="黑体" w:cs="黑体"/>
                <w:bCs/>
                <w:color w:val="000000" w:themeColor="text1"/>
                <w:kern w:val="2"/>
                <w:sz w:val="28"/>
                <w:szCs w:val="28"/>
                <w14:textFill>
                  <w14:solidFill>
                    <w14:schemeClr w14:val="tx1"/>
                  </w14:solidFill>
                </w14:textFill>
              </w:rPr>
              <w:t>：“两区、两改、两线、六路”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pStyle w:val="2"/>
              <w:widowControl w:val="0"/>
              <w:adjustRightInd w:val="0"/>
              <w:snapToGrid w:val="0"/>
              <w:spacing w:after="0" w:line="520" w:lineRule="exact"/>
              <w:ind w:firstLine="600" w:firstLineChars="200"/>
              <w:rPr>
                <w:rFonts w:eastAsia="楷体_GB2312"/>
                <w:color w:val="000000" w:themeColor="text1"/>
                <w:sz w:val="28"/>
                <w:szCs w:val="28"/>
                <w14:textFill>
                  <w14:solidFill>
                    <w14:schemeClr w14:val="tx1"/>
                  </w14:solidFill>
                </w14:textFill>
              </w:rPr>
            </w:pPr>
            <w:r>
              <w:rPr>
                <w:rFonts w:hint="eastAsia" w:eastAsia="楷体_GB2312"/>
                <w:b/>
                <w:bCs/>
                <w:color w:val="000000" w:themeColor="text1"/>
                <w:sz w:val="28"/>
                <w:szCs w:val="28"/>
                <w14:textFill>
                  <w14:solidFill>
                    <w14:schemeClr w14:val="tx1"/>
                  </w14:solidFill>
                </w14:textFill>
              </w:rPr>
              <w:t>“</w:t>
            </w:r>
            <w:r>
              <w:rPr>
                <w:rFonts w:eastAsia="楷体_GB2312"/>
                <w:b/>
                <w:bCs/>
                <w:color w:val="000000" w:themeColor="text1"/>
                <w:sz w:val="28"/>
                <w:szCs w:val="28"/>
                <w14:textFill>
                  <w14:solidFill>
                    <w14:schemeClr w14:val="tx1"/>
                  </w14:solidFill>
                </w14:textFill>
              </w:rPr>
              <w:t>两区</w:t>
            </w:r>
            <w:r>
              <w:rPr>
                <w:rFonts w:hint="eastAsia" w:eastAsia="楷体_GB2312"/>
                <w:b/>
                <w:bCs/>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即高标准建设城市基础设施。深化</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一都一城</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和双创宜居示范区建设；建立完善老旧小区长效管理机制，全面推动红色物业进入成熟运行轨道，在基层打造系统完善、特色优质、高辨识度的规范化社区。</w:t>
            </w:r>
          </w:p>
          <w:p>
            <w:pPr>
              <w:pStyle w:val="2"/>
              <w:widowControl w:val="0"/>
              <w:adjustRightInd w:val="0"/>
              <w:snapToGrid w:val="0"/>
              <w:spacing w:after="0" w:line="520" w:lineRule="exact"/>
              <w:ind w:firstLine="600" w:firstLineChars="200"/>
              <w:rPr>
                <w:rFonts w:eastAsia="楷体_GB2312"/>
                <w:color w:val="000000" w:themeColor="text1"/>
                <w:sz w:val="28"/>
                <w:szCs w:val="28"/>
                <w14:textFill>
                  <w14:solidFill>
                    <w14:schemeClr w14:val="tx1"/>
                  </w14:solidFill>
                </w14:textFill>
              </w:rPr>
            </w:pPr>
            <w:r>
              <w:rPr>
                <w:rFonts w:hint="eastAsia" w:eastAsia="楷体_GB2312"/>
                <w:b/>
                <w:bCs/>
                <w:color w:val="000000" w:themeColor="text1"/>
                <w:sz w:val="28"/>
                <w:szCs w:val="28"/>
                <w14:textFill>
                  <w14:solidFill>
                    <w14:schemeClr w14:val="tx1"/>
                  </w14:solidFill>
                </w14:textFill>
              </w:rPr>
              <w:t>“</w:t>
            </w:r>
            <w:r>
              <w:rPr>
                <w:rFonts w:eastAsia="楷体_GB2312"/>
                <w:b/>
                <w:bCs/>
                <w:color w:val="000000" w:themeColor="text1"/>
                <w:sz w:val="28"/>
                <w:szCs w:val="28"/>
                <w14:textFill>
                  <w14:solidFill>
                    <w14:schemeClr w14:val="tx1"/>
                  </w14:solidFill>
                </w14:textFill>
              </w:rPr>
              <w:t>两改</w:t>
            </w:r>
            <w:r>
              <w:rPr>
                <w:rFonts w:hint="eastAsia" w:eastAsia="楷体_GB2312"/>
                <w:b/>
                <w:bCs/>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即高质量打造新型宜居环境。积极学习沿海城市先进经验，打造一批老旧小区改造</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网红</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打卡亮点；充分把棚户区改造与城市住房发展规划、保障性住房建设结合起来，按计划、分步骤统筹推进项目建设，实现可持续发展的城市发展目标。</w:t>
            </w:r>
          </w:p>
          <w:p>
            <w:pPr>
              <w:pStyle w:val="2"/>
              <w:widowControl w:val="0"/>
              <w:adjustRightInd w:val="0"/>
              <w:snapToGrid w:val="0"/>
              <w:spacing w:after="0" w:line="520" w:lineRule="exact"/>
              <w:ind w:firstLine="600" w:firstLineChars="200"/>
              <w:rPr>
                <w:rFonts w:eastAsia="楷体_GB2312"/>
                <w:color w:val="000000" w:themeColor="text1"/>
                <w:sz w:val="28"/>
                <w:szCs w:val="28"/>
                <w14:textFill>
                  <w14:solidFill>
                    <w14:schemeClr w14:val="tx1"/>
                  </w14:solidFill>
                </w14:textFill>
              </w:rPr>
            </w:pPr>
            <w:r>
              <w:rPr>
                <w:rFonts w:hint="eastAsia" w:eastAsia="楷体_GB2312"/>
                <w:b/>
                <w:bCs/>
                <w:color w:val="000000" w:themeColor="text1"/>
                <w:sz w:val="28"/>
                <w:szCs w:val="28"/>
                <w14:textFill>
                  <w14:solidFill>
                    <w14:schemeClr w14:val="tx1"/>
                  </w14:solidFill>
                </w14:textFill>
              </w:rPr>
              <w:t>“</w:t>
            </w:r>
            <w:r>
              <w:rPr>
                <w:rFonts w:eastAsia="楷体_GB2312"/>
                <w:b/>
                <w:bCs/>
                <w:color w:val="000000" w:themeColor="text1"/>
                <w:sz w:val="28"/>
                <w:szCs w:val="28"/>
                <w14:textFill>
                  <w14:solidFill>
                    <w14:schemeClr w14:val="tx1"/>
                  </w14:solidFill>
                </w14:textFill>
              </w:rPr>
              <w:t>两线</w:t>
            </w:r>
            <w:r>
              <w:rPr>
                <w:rFonts w:hint="eastAsia" w:eastAsia="楷体_GB2312"/>
                <w:b/>
                <w:bCs/>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即高水平推进城市示范街打造。按照</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因地制宜，逐步推进</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的原则，对灞陵路、天宝路沿线进行深度开发，打造</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功能完善、品质优良、特色鲜明、风貌美丽、管理精细</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的示范街、示范路，集中展示我市城市的品质和形象。</w:t>
            </w:r>
          </w:p>
          <w:p>
            <w:pPr>
              <w:pStyle w:val="2"/>
              <w:widowControl w:val="0"/>
              <w:adjustRightInd w:val="0"/>
              <w:snapToGrid w:val="0"/>
              <w:spacing w:after="0" w:line="520" w:lineRule="exact"/>
              <w:ind w:firstLine="600" w:firstLineChars="200"/>
              <w:rPr>
                <w:rFonts w:eastAsia="楷体_GB2312"/>
                <w:color w:val="000000" w:themeColor="text1"/>
                <w:sz w:val="28"/>
                <w:szCs w:val="28"/>
                <w14:textFill>
                  <w14:solidFill>
                    <w14:schemeClr w14:val="tx1"/>
                  </w14:solidFill>
                </w14:textFill>
              </w:rPr>
            </w:pPr>
            <w:r>
              <w:rPr>
                <w:rFonts w:hint="eastAsia" w:eastAsia="楷体_GB2312"/>
                <w:b/>
                <w:bCs/>
                <w:color w:val="000000" w:themeColor="text1"/>
                <w:sz w:val="28"/>
                <w:szCs w:val="28"/>
                <w14:textFill>
                  <w14:solidFill>
                    <w14:schemeClr w14:val="tx1"/>
                  </w14:solidFill>
                </w14:textFill>
              </w:rPr>
              <w:t>“</w:t>
            </w:r>
            <w:r>
              <w:rPr>
                <w:rFonts w:eastAsia="楷体_GB2312"/>
                <w:b/>
                <w:bCs/>
                <w:color w:val="000000" w:themeColor="text1"/>
                <w:sz w:val="28"/>
                <w:szCs w:val="28"/>
                <w14:textFill>
                  <w14:solidFill>
                    <w14:schemeClr w14:val="tx1"/>
                  </w14:solidFill>
                </w14:textFill>
              </w:rPr>
              <w:t>六路</w:t>
            </w:r>
            <w:r>
              <w:rPr>
                <w:rFonts w:hint="eastAsia" w:eastAsia="楷体_GB2312"/>
                <w:b/>
                <w:bCs/>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即高品质筑造一流精品工程。以陈庄街及下穿工程为试点，大力推行EPC工程总承包模式，在五一路、灞陵路、宏腾路等项目上探索科学、智慧、绿色的生态建设模式，集中精力打造一批许昌市乃至河南省精品市政工程。</w:t>
            </w:r>
          </w:p>
        </w:tc>
      </w:tr>
    </w:tbl>
    <w:p>
      <w:pPr>
        <w:pStyle w:val="2"/>
        <w:widowControl w:val="0"/>
        <w:adjustRightInd w:val="0"/>
        <w:snapToGrid w:val="0"/>
        <w:spacing w:after="0" w:line="590" w:lineRule="exact"/>
        <w:ind w:firstLine="340"/>
        <w:rPr>
          <w:color w:val="000000" w:themeColor="text1"/>
          <w14:textFill>
            <w14:solidFill>
              <w14:schemeClr w14:val="tx1"/>
            </w14:solidFill>
          </w14:textFill>
        </w:rPr>
      </w:pPr>
    </w:p>
    <w:p>
      <w:pPr>
        <w:pStyle w:val="5"/>
        <w:keepNext w:val="0"/>
        <w:keepLines w:val="0"/>
        <w:widowControl w:val="0"/>
        <w:adjustRightInd w:val="0"/>
        <w:snapToGrid w:val="0"/>
        <w:spacing w:before="297" w:beforeLines="50" w:after="297" w:afterLines="50" w:line="560" w:lineRule="exact"/>
        <w:ind w:firstLine="0" w:firstLineChars="0"/>
      </w:pPr>
      <w:bookmarkStart w:id="76" w:name="_Toc12146"/>
      <w:r>
        <w:t>第一节</w:t>
      </w:r>
      <w:r>
        <w:rPr>
          <w:rFonts w:hint="eastAsia"/>
        </w:rPr>
        <w:t xml:space="preserve"> </w:t>
      </w:r>
      <w:r>
        <w:t xml:space="preserve"> 高标准打造双创宜居示范区</w:t>
      </w:r>
      <w:bookmarkEnd w:id="76"/>
    </w:p>
    <w:p>
      <w:pPr>
        <w:pStyle w:val="3"/>
        <w:widowControl w:val="0"/>
        <w:adjustRightInd w:val="0"/>
        <w:snapToGrid w:val="0"/>
        <w:spacing w:after="0" w:line="562" w:lineRule="exact"/>
        <w:ind w:firstLine="680"/>
        <w:rPr>
          <w:bCs/>
          <w:color w:val="000000" w:themeColor="text1"/>
          <w:szCs w:val="32"/>
          <w14:textFill>
            <w14:solidFill>
              <w14:schemeClr w14:val="tx1"/>
            </w14:solidFill>
          </w14:textFill>
        </w:rPr>
      </w:pPr>
      <w:r>
        <w:rPr>
          <w:color w:val="000000" w:themeColor="text1"/>
          <w:szCs w:val="32"/>
          <w14:textFill>
            <w14:solidFill>
              <w14:schemeClr w14:val="tx1"/>
            </w14:solidFill>
          </w14:textFill>
        </w:rPr>
        <w:t>按照</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产城融合、功能完备、职住平衡、生态宜居、交通便利</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的要求，</w:t>
      </w:r>
      <w:r>
        <w:rPr>
          <w:bCs/>
          <w:color w:val="000000" w:themeColor="text1"/>
          <w:szCs w:val="32"/>
          <w14:textFill>
            <w14:solidFill>
              <w14:schemeClr w14:val="tx1"/>
            </w14:solidFill>
          </w14:textFill>
        </w:rPr>
        <w:t>围绕</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三纵三横</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发展框架，统筹推进，分步实施，加快道路设施、游园绿化、公共服务设施建设。按照景观大道标准建设灞陵路、天宝路，加快陈庄街、五一路等主要道路建成通车，有序推进灞陵路、天宝路沿线老旧小区拆迁和土地收储开发，高标准实施道路绿化和水系连通工程，打造中西部城市新形象。完成产业集聚区现有企业的整合搬迁，适时启动区域内社区改造，宜居宜业结合，有序推进公共服务设施、环境卫生设施、市政公用设施、产业配套设施提级扩能，吸引更多创新创业群体入住，释放发展活力，将双创宜居示范区打造成为魏都北部新的经济增长极，成为许昌市建设</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智造之都、宜居之城</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的重要载体，建成全省宜居宜业新标杆。</w:t>
      </w:r>
    </w:p>
    <w:p>
      <w:pPr>
        <w:pStyle w:val="5"/>
        <w:keepNext w:val="0"/>
        <w:keepLines w:val="0"/>
        <w:widowControl w:val="0"/>
        <w:adjustRightInd w:val="0"/>
        <w:snapToGrid w:val="0"/>
        <w:spacing w:before="297" w:beforeLines="50" w:after="297" w:afterLines="50" w:line="562" w:lineRule="exact"/>
        <w:ind w:firstLine="0" w:firstLineChars="0"/>
      </w:pPr>
      <w:bookmarkStart w:id="77" w:name="_Toc20289"/>
      <w:r>
        <w:t>第二节  积极稳妥推进城区改造提升</w:t>
      </w:r>
      <w:bookmarkEnd w:id="77"/>
    </w:p>
    <w:p>
      <w:pPr>
        <w:widowControl w:val="0"/>
        <w:adjustRightInd w:val="0"/>
        <w:snapToGrid w:val="0"/>
        <w:spacing w:after="0" w:line="562" w:lineRule="exact"/>
        <w:ind w:firstLine="640"/>
        <w:jc w:val="both"/>
        <w:rPr>
          <w:rFonts w:ascii="Times New Roman" w:hAnsi="Times New Roman" w:eastAsia="仿宋_GB2312"/>
          <w:bCs/>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积极、稳妥、有序推进棚户区、老旧小区的改造提升，进一步完善社区生活服务功能，补齐公共服务设施短板，</w:t>
      </w:r>
      <w:r>
        <w:rPr>
          <w:rFonts w:ascii="Times New Roman" w:hAnsi="Times New Roman" w:eastAsia="仿宋_GB2312"/>
          <w:bCs/>
          <w:color w:val="000000" w:themeColor="text1"/>
          <w:szCs w:val="32"/>
          <w14:textFill>
            <w14:solidFill>
              <w14:schemeClr w14:val="tx1"/>
            </w14:solidFill>
          </w14:textFill>
        </w:rPr>
        <w:t>打造城市高品质生活空间，构建城市幸福生活服务圈。</w:t>
      </w:r>
    </w:p>
    <w:p>
      <w:pPr>
        <w:widowControl w:val="0"/>
        <w:adjustRightInd w:val="0"/>
        <w:snapToGrid w:val="0"/>
        <w:spacing w:after="0" w:line="562" w:lineRule="exact"/>
        <w:ind w:firstLine="643"/>
        <w:jc w:val="both"/>
        <w:rPr>
          <w:rFonts w:ascii="Times New Roman" w:hAnsi="Times New Roman" w:eastAsia="仿宋_GB2312"/>
          <w:bCs/>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棚户区改造。</w:t>
      </w:r>
      <w:r>
        <w:rPr>
          <w:rFonts w:ascii="Times New Roman" w:hAnsi="Times New Roman" w:eastAsia="仿宋_GB2312"/>
          <w:bCs/>
          <w:color w:val="000000" w:themeColor="text1"/>
          <w:szCs w:val="32"/>
          <w14:textFill>
            <w14:solidFill>
              <w14:schemeClr w14:val="tx1"/>
            </w14:solidFill>
          </w14:textFill>
        </w:rPr>
        <w:t>用足用好国家城乡融合发展改革试验区政策红利，探索设立</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旧区改造和城市更新</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专项基金，</w:t>
      </w:r>
      <w:r>
        <w:rPr>
          <w:rFonts w:ascii="Times New Roman" w:hAnsi="Times New Roman" w:eastAsia="仿宋_GB2312"/>
          <w:color w:val="000000" w:themeColor="text1"/>
          <w:szCs w:val="32"/>
          <w14:textFill>
            <w14:solidFill>
              <w14:schemeClr w14:val="tx1"/>
            </w14:solidFill>
          </w14:textFill>
        </w:rPr>
        <w:t>棚户区改造与城市住房发展规划、保障性住房建设相结合，</w:t>
      </w:r>
      <w:r>
        <w:rPr>
          <w:rFonts w:ascii="Times New Roman" w:hAnsi="Times New Roman" w:eastAsia="仿宋_GB2312"/>
          <w:bCs/>
          <w:color w:val="000000" w:themeColor="text1"/>
          <w:szCs w:val="32"/>
          <w14:textFill>
            <w14:solidFill>
              <w14:schemeClr w14:val="tx1"/>
            </w14:solidFill>
          </w14:textFill>
        </w:rPr>
        <w:t>通过优化空间结构、转换土地性质、完善服务设施等方式，推动落实政府主导的改造和更新项目。完成五郎庙社区二期、孙庄社区、洞上社区、庞庄社区、潘窑社区二期、丁庄社区6个棚户区改造续建工程，稳步推进宋庄社区、丁吴庄片区、洪山庙社区、金湾社区、北关社区二期、后刘社区棚户区改造等新建项目。不宜整体改造的城中村采用修缮整治、抽疏建筑、增加设施等方式进行更新，加快补齐各类设施短板，健全社区管理服务机制，加强社会工作者队伍建设，提高居住小区物业服务质量和标准化水平，建设现代社区。</w:t>
      </w:r>
    </w:p>
    <w:p>
      <w:pPr>
        <w:widowControl w:val="0"/>
        <w:adjustRightInd w:val="0"/>
        <w:snapToGrid w:val="0"/>
        <w:spacing w:after="0" w:line="560" w:lineRule="exact"/>
        <w:ind w:firstLine="643"/>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老旧小区改造。</w:t>
      </w:r>
      <w:r>
        <w:rPr>
          <w:rFonts w:ascii="Times New Roman" w:hAnsi="Times New Roman" w:eastAsia="仿宋_GB2312"/>
          <w:bCs/>
          <w:color w:val="000000" w:themeColor="text1"/>
          <w:szCs w:val="32"/>
          <w14:textFill>
            <w14:solidFill>
              <w14:schemeClr w14:val="tx1"/>
            </w14:solidFill>
          </w14:textFill>
        </w:rPr>
        <w:t>紧紧抓住许昌市全国老旧小区改造试点城市的机遇，加快全区老旧小区改造升级，多角度改善老城区人居环境。全面改造完成282个老旧小区，重点完善老旧小区水电路气信和养老</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托育、停车、便民市场等配套设施。改造完善曹魏古城周边的老旧街区，推动商业步行街品质高端化、业态多样化，打造成为新兴文旅商业消费聚集区。以满足市民需求为导向，增加社区便利店、连锁店、配送中心等商业服务设施，完善公共服务设施，</w:t>
      </w:r>
      <w:r>
        <w:rPr>
          <w:rFonts w:ascii="Times New Roman" w:hAnsi="Times New Roman" w:eastAsia="仿宋_GB2312"/>
          <w:color w:val="000000" w:themeColor="text1"/>
          <w:szCs w:val="32"/>
          <w14:textFill>
            <w14:solidFill>
              <w14:schemeClr w14:val="tx1"/>
            </w14:solidFill>
          </w14:textFill>
        </w:rPr>
        <w:t>打造文化、体育、医疗、养老等服务设施齐全的15分钟生活</w:t>
      </w:r>
      <w:r>
        <w:rPr>
          <w:rFonts w:ascii="Times New Roman" w:hAnsi="Times New Roman" w:eastAsia="仿宋_GB2312"/>
          <w:bCs/>
          <w:color w:val="000000" w:themeColor="text1"/>
          <w:szCs w:val="32"/>
          <w14:textFill>
            <w14:solidFill>
              <w14:schemeClr w14:val="tx1"/>
            </w14:solidFill>
          </w14:textFill>
        </w:rPr>
        <w:t>圈，提高全区人民的幸福指数。</w:t>
      </w:r>
    </w:p>
    <w:p>
      <w:pPr>
        <w:widowControl w:val="0"/>
        <w:adjustRightInd w:val="0"/>
        <w:snapToGrid w:val="0"/>
        <w:spacing w:after="0" w:line="560" w:lineRule="exact"/>
        <w:ind w:firstLine="850" w:firstLineChars="250"/>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建设规范化社区。</w:t>
      </w:r>
      <w:r>
        <w:rPr>
          <w:rFonts w:ascii="Times New Roman" w:hAnsi="Times New Roman" w:eastAsia="仿宋_GB2312"/>
          <w:bCs/>
          <w:color w:val="000000" w:themeColor="text1"/>
          <w:szCs w:val="32"/>
          <w14:textFill>
            <w14:solidFill>
              <w14:schemeClr w14:val="tx1"/>
            </w14:solidFill>
          </w14:textFill>
        </w:rPr>
        <w:t>按照</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六个规范化</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标准，实施以</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一有七中心</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为主要内容的城市社区规范化建设，创新建设模式，围绕阵地建设、社区党建、组织建设、队伍建设、职能事务、制度机制等方面抓好规范化建设，形成党委政府统一领导、社会各界广泛参与的城市社区规范化建设格局。进一步完善社区长效管理机制，实现小区</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红色物业</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管理服务全覆盖，打造系统完善、服务优质、高辨识度的规范化社区。</w:t>
      </w:r>
    </w:p>
    <w:p>
      <w:pPr>
        <w:pStyle w:val="5"/>
        <w:keepNext w:val="0"/>
        <w:keepLines w:val="0"/>
        <w:widowControl w:val="0"/>
        <w:adjustRightInd w:val="0"/>
        <w:snapToGrid w:val="0"/>
        <w:spacing w:before="297" w:beforeLines="50" w:after="297" w:afterLines="50" w:line="560" w:lineRule="exact"/>
        <w:ind w:firstLine="0" w:firstLineChars="0"/>
      </w:pPr>
      <w:bookmarkStart w:id="78" w:name="_Toc2667"/>
      <w:r>
        <w:t>第三节   提升城区综合承载能力</w:t>
      </w:r>
      <w:bookmarkEnd w:id="78"/>
    </w:p>
    <w:p>
      <w:pPr>
        <w:widowControl w:val="0"/>
        <w:adjustRightInd w:val="0"/>
        <w:snapToGrid w:val="0"/>
        <w:spacing w:after="0" w:line="560" w:lineRule="exact"/>
        <w:ind w:firstLine="640"/>
        <w:jc w:val="both"/>
        <w:rPr>
          <w:rFonts w:ascii="Times New Roman" w:hAnsi="Times New Roman" w:eastAsia="仿宋_GB2312"/>
          <w:bCs/>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持续实施城市建设提质工程，</w:t>
      </w:r>
      <w:r>
        <w:rPr>
          <w:rFonts w:ascii="Times New Roman" w:hAnsi="Times New Roman" w:eastAsia="仿宋_GB2312"/>
          <w:bCs/>
          <w:color w:val="000000" w:themeColor="text1"/>
          <w:szCs w:val="32"/>
          <w14:textFill>
            <w14:solidFill>
              <w14:schemeClr w14:val="tx1"/>
            </w14:solidFill>
          </w14:textFill>
        </w:rPr>
        <w:t>加快补齐城市建设短板，完善城市功能，强化城市承载能力。</w:t>
      </w:r>
    </w:p>
    <w:p>
      <w:pPr>
        <w:widowControl w:val="0"/>
        <w:adjustRightInd w:val="0"/>
        <w:snapToGrid w:val="0"/>
        <w:spacing w:after="0" w:line="560" w:lineRule="exact"/>
        <w:ind w:firstLine="643"/>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畅通城市交通。</w:t>
      </w:r>
      <w:r>
        <w:rPr>
          <w:rFonts w:ascii="Times New Roman" w:hAnsi="Times New Roman" w:eastAsia="仿宋_GB2312"/>
          <w:color w:val="000000" w:themeColor="text1"/>
          <w:szCs w:val="32"/>
          <w14:textFill>
            <w14:solidFill>
              <w14:schemeClr w14:val="tx1"/>
            </w14:solidFill>
          </w14:textFill>
        </w:rPr>
        <w:t>重点实施灞陵路、天宝路</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两线</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靓化提升和深度开发，按照景观大道、迎宾大道标准，打造</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功能完善、品质优良、特色鲜明、风貌美丽、管理精细</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的城市示范街区，集中展示我区城市的品质和形象，努力为广大群众创造优美宜居的环境。重点实施劳动路、汉风路、八一路、五一路、陈庄街、文峰路</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六路</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改造提升工程，进一步完善道路、管网等重大基础设施建设。继</w:t>
      </w:r>
      <w:r>
        <w:rPr>
          <w:rFonts w:ascii="Times New Roman" w:hAnsi="Times New Roman" w:eastAsia="仿宋_GB2312"/>
          <w:bCs/>
          <w:color w:val="000000" w:themeColor="text1"/>
          <w:szCs w:val="32"/>
          <w14:textFill>
            <w14:solidFill>
              <w14:schemeClr w14:val="tx1"/>
            </w14:solidFill>
          </w14:textFill>
        </w:rPr>
        <w:t>续实施</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畅通工程</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，打通断头路，加密次支路，改造背街小巷道路。完善慢行交通系统，提升步行和自行车交通环境。发展智慧交通，优化停车管理，建设智慧停车场和</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车-桩-网</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智能公共充电网络。</w:t>
      </w:r>
      <w:r>
        <w:rPr>
          <w:rFonts w:ascii="Times New Roman" w:hAnsi="Times New Roman" w:eastAsia="仿宋_GB2312"/>
          <w:color w:val="000000" w:themeColor="text1"/>
          <w:szCs w:val="32"/>
          <w14:textFill>
            <w14:solidFill>
              <w14:schemeClr w14:val="tx1"/>
            </w14:solidFill>
          </w14:textFill>
        </w:rPr>
        <w:t>加快推动县乡道路与市政道路的连接</w:t>
      </w:r>
      <w:r>
        <w:rPr>
          <w:rFonts w:ascii="Times New Roman" w:hAnsi="Times New Roman" w:eastAsia="仿宋_GB2312"/>
          <w:bCs/>
          <w:color w:val="000000" w:themeColor="text1"/>
          <w:szCs w:val="32"/>
          <w14:textFill>
            <w14:solidFill>
              <w14:schemeClr w14:val="tx1"/>
            </w14:solidFill>
          </w14:textFill>
        </w:rPr>
        <w:t>，构建便捷畅通的交通体系，有效提高辖区道路通行能力</w:t>
      </w:r>
      <w:r>
        <w:rPr>
          <w:rFonts w:ascii="Times New Roman" w:hAnsi="Times New Roman" w:eastAsia="仿宋_GB2312"/>
          <w:color w:val="000000" w:themeColor="text1"/>
          <w:szCs w:val="32"/>
          <w14:textFill>
            <w14:solidFill>
              <w14:schemeClr w14:val="tx1"/>
            </w14:solidFill>
          </w14:textFill>
        </w:rPr>
        <w:t>。</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widowControl w:val="0"/>
              <w:adjustRightInd w:val="0"/>
              <w:snapToGrid w:val="0"/>
              <w:spacing w:after="0" w:line="510" w:lineRule="exact"/>
              <w:jc w:val="center"/>
              <w:rPr>
                <w:rFonts w:ascii="黑体" w:hAnsi="黑体" w:eastAsia="黑体" w:cs="黑体"/>
                <w:bCs/>
                <w:color w:val="000000" w:themeColor="text1"/>
                <w:kern w:val="2"/>
                <w:sz w:val="28"/>
                <w:szCs w:val="28"/>
                <w14:textFill>
                  <w14:solidFill>
                    <w14:schemeClr w14:val="tx1"/>
                  </w14:solidFill>
                </w14:textFill>
              </w:rPr>
            </w:pPr>
            <w:r>
              <w:rPr>
                <w:rFonts w:hint="eastAsia" w:ascii="黑体" w:hAnsi="黑体" w:eastAsia="黑体" w:cs="黑体"/>
                <w:bCs/>
                <w:color w:val="000000" w:themeColor="text1"/>
                <w:kern w:val="2"/>
                <w:sz w:val="28"/>
                <w:szCs w:val="28"/>
                <w14:textFill>
                  <w14:solidFill>
                    <w14:schemeClr w14:val="tx1"/>
                  </w14:solidFill>
                </w14:textFill>
              </w:rPr>
              <w:t>专栏</w:t>
            </w:r>
            <w:r>
              <w:rPr>
                <w:rFonts w:hint="eastAsia" w:ascii="Times New Roman" w:hAnsi="Times New Roman" w:eastAsia="黑体" w:cs="黑体"/>
                <w:bCs/>
                <w:color w:val="000000" w:themeColor="text1"/>
                <w:kern w:val="2"/>
                <w:sz w:val="28"/>
                <w:szCs w:val="28"/>
                <w14:textFill>
                  <w14:solidFill>
                    <w14:schemeClr w14:val="tx1"/>
                  </w14:solidFill>
                </w14:textFill>
              </w:rPr>
              <w:t>5</w:t>
            </w:r>
            <w:r>
              <w:rPr>
                <w:rFonts w:hint="eastAsia" w:ascii="黑体" w:hAnsi="黑体" w:eastAsia="黑体" w:cs="黑体"/>
                <w:bCs/>
                <w:color w:val="000000" w:themeColor="text1"/>
                <w:kern w:val="2"/>
                <w:sz w:val="28"/>
                <w:szCs w:val="28"/>
                <w14:textFill>
                  <w14:solidFill>
                    <w14:schemeClr w14:val="tx1"/>
                  </w14:solidFill>
                </w14:textFill>
              </w:rPr>
              <w:t>：道路交通项目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1、市政道路。</w:t>
            </w:r>
            <w:r>
              <w:rPr>
                <w:rFonts w:eastAsia="楷体_GB2312"/>
                <w:color w:val="000000" w:themeColor="text1"/>
                <w:sz w:val="28"/>
                <w:szCs w:val="28"/>
                <w14:textFill>
                  <w14:solidFill>
                    <w14:schemeClr w14:val="tx1"/>
                  </w14:solidFill>
                </w14:textFill>
              </w:rPr>
              <w:t>重点打造天宝路、灞陵路示范路。完成劳动路、双河路、省道227魏都区段、解放路、丁香路、汉风路、许继大道、宏腾路等，建设五一路、灞陵路、宏腾路等智慧生态路，集中精力打造一批许昌市乃至河南省精品市政工程。</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2、县乡道建设。</w:t>
            </w:r>
            <w:r>
              <w:rPr>
                <w:rFonts w:eastAsia="楷体_GB2312"/>
                <w:color w:val="000000" w:themeColor="text1"/>
                <w:sz w:val="28"/>
                <w:szCs w:val="28"/>
                <w14:textFill>
                  <w14:solidFill>
                    <w14:schemeClr w14:val="tx1"/>
                  </w14:solidFill>
                </w14:textFill>
              </w:rPr>
              <w:t>将现有41.3公里县乡公路改建为二级道路。打通农村公路</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断头路，加快实施通村入组硬化路建设，加强农村公路与干线公路联通并向进村入户延伸。</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3、交通安全设施。</w:t>
            </w:r>
            <w:r>
              <w:rPr>
                <w:rFonts w:eastAsia="楷体_GB2312"/>
                <w:color w:val="000000" w:themeColor="text1"/>
                <w:sz w:val="28"/>
                <w:szCs w:val="28"/>
                <w14:textFill>
                  <w14:solidFill>
                    <w14:schemeClr w14:val="tx1"/>
                  </w14:solidFill>
                </w14:textFill>
              </w:rPr>
              <w:t>加强道路交通安全设施建设，建设清潩河、护城河水上交通安全设施，改造县乡道危桥。</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4、车站建设：</w:t>
            </w:r>
            <w:r>
              <w:rPr>
                <w:rFonts w:eastAsia="楷体_GB2312"/>
                <w:color w:val="000000" w:themeColor="text1"/>
                <w:sz w:val="28"/>
                <w:szCs w:val="28"/>
                <w14:textFill>
                  <w14:solidFill>
                    <w14:schemeClr w14:val="tx1"/>
                  </w14:solidFill>
                </w14:textFill>
              </w:rPr>
              <w:t>完成汽车南站、汽车西站、汽车北站搬迁。</w:t>
            </w:r>
          </w:p>
          <w:p>
            <w:pPr>
              <w:pStyle w:val="19"/>
              <w:adjustRightInd w:val="0"/>
              <w:snapToGrid w:val="0"/>
              <w:spacing w:line="520" w:lineRule="exact"/>
              <w:ind w:firstLine="600" w:firstLineChars="200"/>
              <w:rPr>
                <w:color w:val="000000" w:themeColor="text1"/>
                <w:sz w:val="24"/>
                <w14:textFill>
                  <w14:solidFill>
                    <w14:schemeClr w14:val="tx1"/>
                  </w14:solidFill>
                </w14:textFill>
              </w:rPr>
            </w:pPr>
            <w:r>
              <w:rPr>
                <w:rFonts w:eastAsia="楷体_GB2312"/>
                <w:b/>
                <w:bCs/>
                <w:color w:val="000000" w:themeColor="text1"/>
                <w:sz w:val="28"/>
                <w:szCs w:val="28"/>
                <w14:textFill>
                  <w14:solidFill>
                    <w14:schemeClr w14:val="tx1"/>
                  </w14:solidFill>
                </w14:textFill>
              </w:rPr>
              <w:t>5、出入市口综合整治及城乡结合部环境综合整治工程：</w:t>
            </w:r>
            <w:r>
              <w:rPr>
                <w:rFonts w:eastAsia="楷体_GB2312"/>
                <w:color w:val="000000" w:themeColor="text1"/>
                <w:sz w:val="28"/>
                <w:szCs w:val="28"/>
                <w14:textFill>
                  <w14:solidFill>
                    <w14:schemeClr w14:val="tx1"/>
                  </w14:solidFill>
                </w14:textFill>
              </w:rPr>
              <w:t>包括311国道许襄段许禹路（西外环至天宝路）、许禹路（西外环至天宝路）、北外环西段（文峰路至西外环）、西外环（北外环至辖区界）等。</w:t>
            </w:r>
          </w:p>
        </w:tc>
      </w:tr>
    </w:tbl>
    <w:p>
      <w:pPr>
        <w:widowControl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打造城市水循环系统。</w:t>
      </w:r>
      <w:r>
        <w:rPr>
          <w:rFonts w:ascii="Times New Roman" w:hAnsi="Times New Roman" w:eastAsia="仿宋_GB2312"/>
          <w:bCs/>
          <w:color w:val="000000" w:themeColor="text1"/>
          <w:szCs w:val="32"/>
          <w14:textFill>
            <w14:solidFill>
              <w14:schemeClr w14:val="tx1"/>
            </w14:solidFill>
          </w14:textFill>
        </w:rPr>
        <w:t>保障供水安全</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改造提升五一路、华佗路、解放路、光明路等老旧供水管网</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加快北环外区域及永昌路、天宝路、文峰北路等路段供水管网的建设环通。全面推进涉农社区供水管网的更新改造，实现涉农社区供水全过程智能化管理</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2025年，涉农社区自来水普及率达到99%以上。加快补齐污水收集和处理设施短板，加大老旧小区雨污分流管网改造力度</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提标改造宏源污水处理厂，完善滨河路、北外环和东、北护城河污水管网，建设香山污水处理厂。加快推进涉农社区生活污水治理，实现与市区共建共享。2025年城市污水处理率达到99%以上。完善区域防洪排涝设施，重点排查区域易涝点</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加快实施入河口、积水点改造，实现城区</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小雨不积水、大雨不内涝</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widowControl w:val="0"/>
              <w:adjustRightInd w:val="0"/>
              <w:snapToGrid w:val="0"/>
              <w:spacing w:after="0" w:line="510" w:lineRule="exact"/>
              <w:jc w:val="center"/>
              <w:rPr>
                <w:rFonts w:ascii="黑体" w:hAnsi="黑体" w:eastAsia="黑体" w:cs="黑体"/>
                <w:bCs/>
                <w:color w:val="000000" w:themeColor="text1"/>
                <w:kern w:val="2"/>
                <w:sz w:val="28"/>
                <w:szCs w:val="28"/>
                <w14:textFill>
                  <w14:solidFill>
                    <w14:schemeClr w14:val="tx1"/>
                  </w14:solidFill>
                </w14:textFill>
              </w:rPr>
            </w:pPr>
            <w:r>
              <w:rPr>
                <w:rFonts w:ascii="黑体" w:hAnsi="黑体" w:eastAsia="黑体" w:cs="黑体"/>
                <w:bCs/>
                <w:color w:val="000000" w:themeColor="text1"/>
                <w:kern w:val="2"/>
                <w:sz w:val="28"/>
                <w:szCs w:val="28"/>
                <w14:textFill>
                  <w14:solidFill>
                    <w14:schemeClr w14:val="tx1"/>
                  </w14:solidFill>
                </w14:textFill>
              </w:rPr>
              <w:t>专栏</w:t>
            </w:r>
            <w:r>
              <w:rPr>
                <w:rFonts w:hint="eastAsia" w:ascii="Times New Roman" w:hAnsi="Times New Roman" w:eastAsia="黑体" w:cs="黑体"/>
                <w:bCs/>
                <w:color w:val="000000" w:themeColor="text1"/>
                <w:kern w:val="2"/>
                <w:sz w:val="28"/>
                <w:szCs w:val="28"/>
                <w14:textFill>
                  <w14:solidFill>
                    <w14:schemeClr w14:val="tx1"/>
                  </w14:solidFill>
                </w14:textFill>
              </w:rPr>
              <w:t>6</w:t>
            </w:r>
            <w:r>
              <w:rPr>
                <w:rFonts w:ascii="黑体" w:hAnsi="黑体" w:eastAsia="黑体" w:cs="黑体"/>
                <w:bCs/>
                <w:color w:val="000000" w:themeColor="text1"/>
                <w:kern w:val="2"/>
                <w:sz w:val="28"/>
                <w:szCs w:val="28"/>
                <w14:textFill>
                  <w14:solidFill>
                    <w14:schemeClr w14:val="tx1"/>
                  </w14:solidFill>
                </w14:textFill>
              </w:rPr>
              <w:t>：供排水设施建设项目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pStyle w:val="19"/>
              <w:adjustRightInd w:val="0"/>
              <w:snapToGrid w:val="0"/>
              <w:spacing w:line="540" w:lineRule="exact"/>
              <w:ind w:firstLine="48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1、老城区供水管网工程：</w:t>
            </w:r>
            <w:r>
              <w:rPr>
                <w:rFonts w:eastAsia="楷体_GB2312"/>
                <w:color w:val="000000" w:themeColor="text1"/>
                <w:sz w:val="28"/>
                <w:szCs w:val="28"/>
                <w14:textFill>
                  <w14:solidFill>
                    <w14:schemeClr w14:val="tx1"/>
                  </w14:solidFill>
                </w14:textFill>
              </w:rPr>
              <w:t>改造提升五一路、华佗路、解放路、光明路等老旧供水主管网。</w:t>
            </w:r>
          </w:p>
          <w:p>
            <w:pPr>
              <w:pStyle w:val="19"/>
              <w:adjustRightInd w:val="0"/>
              <w:snapToGrid w:val="0"/>
              <w:spacing w:line="540" w:lineRule="exact"/>
              <w:ind w:firstLine="48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2、东、北护城河污水管网改造工程：</w:t>
            </w:r>
            <w:r>
              <w:rPr>
                <w:rFonts w:eastAsia="楷体_GB2312"/>
                <w:color w:val="000000" w:themeColor="text1"/>
                <w:sz w:val="28"/>
                <w:szCs w:val="28"/>
                <w14:textFill>
                  <w14:solidFill>
                    <w14:schemeClr w14:val="tx1"/>
                  </w14:solidFill>
                </w14:textFill>
              </w:rPr>
              <w:t>对护城河局部污水管道及周边排水设施进行治理改造，基本解决护城河水源污染问题。</w:t>
            </w:r>
          </w:p>
          <w:p>
            <w:pPr>
              <w:pStyle w:val="19"/>
              <w:adjustRightInd w:val="0"/>
              <w:snapToGrid w:val="0"/>
              <w:spacing w:line="540" w:lineRule="exact"/>
              <w:ind w:firstLine="48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3、香山污水处理厂建设：</w:t>
            </w:r>
            <w:r>
              <w:rPr>
                <w:rFonts w:eastAsia="楷体_GB2312"/>
                <w:color w:val="000000" w:themeColor="text1"/>
                <w:kern w:val="0"/>
                <w:sz w:val="28"/>
                <w:szCs w:val="28"/>
                <w14:textFill>
                  <w14:solidFill>
                    <w14:schemeClr w14:val="tx1"/>
                  </w14:solidFill>
                </w14:textFill>
              </w:rPr>
              <w:t>新建</w:t>
            </w:r>
            <w:r>
              <w:rPr>
                <w:rFonts w:eastAsia="楷体_GB2312"/>
                <w:color w:val="000000" w:themeColor="text1"/>
                <w:sz w:val="28"/>
                <w:szCs w:val="28"/>
                <w14:textFill>
                  <w14:solidFill>
                    <w14:schemeClr w14:val="tx1"/>
                  </w14:solidFill>
                </w14:textFill>
              </w:rPr>
              <w:t>西区</w:t>
            </w:r>
            <w:r>
              <w:rPr>
                <w:rFonts w:eastAsia="楷体_GB2312"/>
                <w:color w:val="000000" w:themeColor="text1"/>
                <w:kern w:val="0"/>
                <w:sz w:val="28"/>
                <w:szCs w:val="28"/>
                <w14:textFill>
                  <w14:solidFill>
                    <w14:schemeClr w14:val="tx1"/>
                  </w14:solidFill>
                </w14:textFill>
              </w:rPr>
              <w:t>5万吨/天的污水处理厂，完成一期规模3万吨/天工程，</w:t>
            </w:r>
            <w:r>
              <w:rPr>
                <w:rFonts w:eastAsia="楷体_GB2312"/>
                <w:color w:val="000000" w:themeColor="text1"/>
                <w:sz w:val="28"/>
                <w:szCs w:val="28"/>
                <w14:textFill>
                  <w14:solidFill>
                    <w14:schemeClr w14:val="tx1"/>
                  </w14:solidFill>
                </w14:textFill>
              </w:rPr>
              <w:t>提升全市污水处理保障能力和再生水利用能力。</w:t>
            </w:r>
          </w:p>
          <w:p>
            <w:pPr>
              <w:pStyle w:val="19"/>
              <w:adjustRightInd w:val="0"/>
              <w:snapToGrid w:val="0"/>
              <w:spacing w:line="540" w:lineRule="exact"/>
              <w:ind w:firstLine="48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4、宏源污水厂提标改造：</w:t>
            </w:r>
            <w:r>
              <w:rPr>
                <w:rFonts w:eastAsia="楷体_GB2312"/>
                <w:color w:val="000000" w:themeColor="text1"/>
                <w:sz w:val="28"/>
                <w:szCs w:val="28"/>
                <w14:textFill>
                  <w14:solidFill>
                    <w14:schemeClr w14:val="tx1"/>
                  </w14:solidFill>
                </w14:textFill>
              </w:rPr>
              <w:t>对晨鸣污水处理厂排放IV类水经湿地再次生物处理达标III类水后排入小泥河，补充河道水量。</w:t>
            </w:r>
          </w:p>
          <w:p>
            <w:pPr>
              <w:pStyle w:val="19"/>
              <w:adjustRightInd w:val="0"/>
              <w:snapToGrid w:val="0"/>
              <w:spacing w:line="540" w:lineRule="exact"/>
              <w:ind w:firstLine="480"/>
              <w:rPr>
                <w:color w:val="000000" w:themeColor="text1"/>
                <w:sz w:val="24"/>
                <w14:textFill>
                  <w14:solidFill>
                    <w14:schemeClr w14:val="tx1"/>
                  </w14:solidFill>
                </w14:textFill>
              </w:rPr>
            </w:pPr>
            <w:r>
              <w:rPr>
                <w:rFonts w:eastAsia="楷体_GB2312"/>
                <w:b/>
                <w:bCs/>
                <w:color w:val="000000" w:themeColor="text1"/>
                <w:sz w:val="28"/>
                <w:szCs w:val="28"/>
                <w14:textFill>
                  <w14:solidFill>
                    <w14:schemeClr w14:val="tx1"/>
                  </w14:solidFill>
                </w14:textFill>
              </w:rPr>
              <w:t>5、老旧小区雨污管网分流改造项目：</w:t>
            </w:r>
            <w:r>
              <w:rPr>
                <w:rFonts w:eastAsia="楷体_GB2312"/>
                <w:color w:val="000000" w:themeColor="text1"/>
                <w:sz w:val="28"/>
                <w:szCs w:val="28"/>
                <w14:textFill>
                  <w14:solidFill>
                    <w14:schemeClr w14:val="tx1"/>
                  </w14:solidFill>
                </w14:textFill>
              </w:rPr>
              <w:t>重点改造中心城区老旧小区污水管网，实现雨污分流。</w:t>
            </w:r>
          </w:p>
        </w:tc>
      </w:tr>
    </w:tbl>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加快新型信息基础设施建设。</w:t>
      </w:r>
      <w:r>
        <w:rPr>
          <w:rFonts w:ascii="Times New Roman" w:hAnsi="Times New Roman" w:eastAsia="仿宋_GB2312"/>
          <w:color w:val="000000" w:themeColor="text1"/>
          <w:szCs w:val="32"/>
          <w14:textFill>
            <w14:solidFill>
              <w14:schemeClr w14:val="tx1"/>
            </w14:solidFill>
          </w14:textFill>
        </w:rPr>
        <w:t>实施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宽带许昌</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行动计划，构建高速大容量光通信传输系统，加快</w:t>
      </w:r>
      <w:r>
        <w:rPr>
          <w:rFonts w:ascii="Times New Roman" w:hAnsi="Times New Roman" w:eastAsia="仿宋_GB2312"/>
          <w:bCs/>
          <w:color w:val="000000" w:themeColor="text1"/>
          <w:szCs w:val="32"/>
          <w14:textFill>
            <w14:solidFill>
              <w14:schemeClr w14:val="tx1"/>
            </w14:solidFill>
          </w14:textFill>
        </w:rPr>
        <w:t>5G等新一代信息基础设施建设，</w:t>
      </w:r>
      <w:r>
        <w:rPr>
          <w:rFonts w:ascii="Times New Roman" w:hAnsi="Times New Roman" w:eastAsia="仿宋_GB2312"/>
          <w:color w:val="000000" w:themeColor="text1"/>
          <w:szCs w:val="32"/>
          <w14:textFill>
            <w14:solidFill>
              <w14:schemeClr w14:val="tx1"/>
            </w14:solidFill>
          </w14:textFill>
        </w:rPr>
        <w:t>推进</w:t>
      </w:r>
      <w:r>
        <w:rPr>
          <w:rFonts w:ascii="Times New Roman" w:hAnsi="Times New Roman" w:eastAsia="仿宋_GB2312"/>
          <w:bCs/>
          <w:color w:val="000000" w:themeColor="text1"/>
          <w:szCs w:val="32"/>
          <w14:textFill>
            <w14:solidFill>
              <w14:schemeClr w14:val="tx1"/>
            </w14:solidFill>
          </w14:textFill>
        </w:rPr>
        <w:t>5G+工业互联网、智能网联汽车、医养健康、智慧城市等系列应用场景建设。</w:t>
      </w:r>
      <w:r>
        <w:rPr>
          <w:rFonts w:ascii="Times New Roman" w:hAnsi="Times New Roman" w:eastAsia="仿宋_GB2312"/>
          <w:color w:val="000000" w:themeColor="text1"/>
          <w:szCs w:val="32"/>
          <w14:textFill>
            <w14:solidFill>
              <w14:schemeClr w14:val="tx1"/>
            </w14:solidFill>
          </w14:textFill>
        </w:rPr>
        <w:t>推动融合基础设施对传统基础设施转型升级支撑能力显著提升，推进电网、交通、环保、水资源等城市公共服务设施的智慧化升级，实现电力、水务、燃气、交通路网等全面信息化。加快窄带物联网网络覆盖</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全面提升IP</w:t>
      </w:r>
      <w:r>
        <w:rPr>
          <w:rFonts w:hint="eastAsia" w:ascii="Times New Roman" w:hAnsi="Times New Roman" w:eastAsia="仿宋_GB2312"/>
          <w:color w:val="000000" w:themeColor="text1"/>
          <w:szCs w:val="32"/>
          <w14:textFill>
            <w14:solidFill>
              <w14:schemeClr w14:val="tx1"/>
            </w14:solidFill>
          </w14:textFill>
        </w:rPr>
        <w:t>v</w:t>
      </w:r>
      <w:r>
        <w:rPr>
          <w:rFonts w:ascii="Times New Roman" w:hAnsi="Times New Roman" w:eastAsia="仿宋_GB2312"/>
          <w:color w:val="000000" w:themeColor="text1"/>
          <w:szCs w:val="32"/>
          <w14:textFill>
            <w14:solidFill>
              <w14:schemeClr w14:val="tx1"/>
            </w14:solidFill>
          </w14:textFill>
        </w:rPr>
        <w:t>6用户普及率和网络接入覆盖率。</w:t>
      </w: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widowControl w:val="0"/>
        <w:spacing w:after="0" w:line="240" w:lineRule="auto"/>
        <w:rPr>
          <w:rFonts w:ascii="Times New Roman" w:hAnsi="Times New Roman" w:eastAsia="仿宋_GB2312"/>
        </w:rPr>
      </w:pPr>
      <w:r>
        <w:br w:type="page"/>
      </w:r>
    </w:p>
    <w:p>
      <w:pPr>
        <w:pStyle w:val="4"/>
        <w:keepNext w:val="0"/>
        <w:keepLines w:val="0"/>
        <w:widowControl w:val="0"/>
        <w:adjustRightInd w:val="0"/>
        <w:snapToGrid w:val="0"/>
        <w:spacing w:after="0" w:line="600" w:lineRule="exact"/>
      </w:pPr>
      <w:bookmarkStart w:id="79" w:name="_Toc26943"/>
      <w:bookmarkStart w:id="80" w:name="_Toc27547"/>
      <w:r>
        <w:t>第七章  坚持绿色发展理念</w:t>
      </w:r>
      <w:bookmarkEnd w:id="74"/>
      <w:bookmarkEnd w:id="79"/>
      <w:r>
        <w:rPr>
          <w:rFonts w:hint="eastAsia"/>
        </w:rPr>
        <w:t>，</w:t>
      </w:r>
      <w:r>
        <w:t>再上生态环境保护质量新台阶</w:t>
      </w:r>
      <w:bookmarkEnd w:id="80"/>
    </w:p>
    <w:p>
      <w:pPr>
        <w:widowControl w:val="0"/>
        <w:adjustRightInd w:val="0"/>
        <w:snapToGrid w:val="0"/>
        <w:spacing w:after="0" w:line="560" w:lineRule="exact"/>
        <w:ind w:firstLine="640"/>
        <w:rPr>
          <w:rFonts w:ascii="Times New Roman" w:hAnsi="Times New Roman" w:eastAsia="仿宋_GB2312"/>
          <w:bCs/>
          <w:color w:val="000000" w:themeColor="text1"/>
          <w:szCs w:val="32"/>
          <w14:textFill>
            <w14:solidFill>
              <w14:schemeClr w14:val="tx1"/>
            </w14:solidFill>
          </w14:textFill>
        </w:rPr>
      </w:pPr>
    </w:p>
    <w:p>
      <w:pPr>
        <w:widowControl w:val="0"/>
        <w:adjustRightInd w:val="0"/>
        <w:snapToGrid w:val="0"/>
        <w:spacing w:after="0" w:line="560" w:lineRule="exact"/>
        <w:ind w:firstLine="680" w:firstLineChars="200"/>
        <w:rPr>
          <w:rFonts w:ascii="Times New Roman" w:hAnsi="Times New Roman" w:eastAsia="仿宋_GB2312"/>
          <w:bCs/>
          <w:color w:val="000000" w:themeColor="text1"/>
          <w:szCs w:val="32"/>
          <w14:textFill>
            <w14:solidFill>
              <w14:schemeClr w14:val="tx1"/>
            </w14:solidFill>
          </w14:textFill>
        </w:rPr>
      </w:pPr>
      <w:r>
        <w:rPr>
          <w:rFonts w:ascii="Times New Roman" w:hAnsi="Times New Roman" w:eastAsia="仿宋_GB2312"/>
          <w:bCs/>
          <w:color w:val="000000" w:themeColor="text1"/>
          <w:szCs w:val="32"/>
          <w14:textFill>
            <w14:solidFill>
              <w14:schemeClr w14:val="tx1"/>
            </w14:solidFill>
          </w14:textFill>
        </w:rPr>
        <w:t>坚持绿水青山就是金山银山理念，</w:t>
      </w:r>
      <w:r>
        <w:rPr>
          <w:rFonts w:ascii="Times New Roman" w:hAnsi="Times New Roman" w:eastAsia="仿宋_GB2312"/>
          <w:color w:val="000000" w:themeColor="text1"/>
          <w:szCs w:val="32"/>
          <w14:textFill>
            <w14:solidFill>
              <w14:schemeClr w14:val="tx1"/>
            </w14:solidFill>
          </w14:textFill>
        </w:rPr>
        <w:t>深入实施可持续发展战略，促进经济社会发展全面绿色转型，</w:t>
      </w:r>
      <w:r>
        <w:rPr>
          <w:rFonts w:ascii="Times New Roman" w:hAnsi="Times New Roman" w:eastAsia="仿宋_GB2312"/>
          <w:bCs/>
          <w:color w:val="000000" w:themeColor="text1"/>
          <w:szCs w:val="32"/>
          <w14:textFill>
            <w14:solidFill>
              <w14:schemeClr w14:val="tx1"/>
            </w14:solidFill>
          </w14:textFill>
        </w:rPr>
        <w:t>建设人与自然和谐共生的现代化。</w:t>
      </w:r>
    </w:p>
    <w:p>
      <w:pPr>
        <w:pStyle w:val="5"/>
        <w:keepNext w:val="0"/>
        <w:keepLines w:val="0"/>
        <w:widowControl w:val="0"/>
        <w:adjustRightInd w:val="0"/>
        <w:snapToGrid w:val="0"/>
        <w:spacing w:before="297" w:beforeLines="50" w:after="297" w:afterLines="50" w:line="560" w:lineRule="exact"/>
        <w:ind w:firstLine="0" w:firstLineChars="0"/>
      </w:pPr>
      <w:bookmarkStart w:id="81" w:name="_Toc16977"/>
      <w:bookmarkStart w:id="82" w:name="_Toc10416"/>
      <w:r>
        <w:t>第一节  持续</w:t>
      </w:r>
      <w:bookmarkEnd w:id="81"/>
      <w:r>
        <w:t>加强生态环境治理</w:t>
      </w:r>
      <w:bookmarkEnd w:id="82"/>
    </w:p>
    <w:p>
      <w:pPr>
        <w:widowControl w:val="0"/>
        <w:adjustRightInd w:val="0"/>
        <w:snapToGrid w:val="0"/>
        <w:spacing w:after="0" w:line="560" w:lineRule="exact"/>
        <w:ind w:firstLine="680" w:firstLineChars="200"/>
        <w:rPr>
          <w:rFonts w:ascii="Times New Roman" w:hAnsi="Times New Roman" w:eastAsia="仿宋_GB2312"/>
          <w:bCs/>
          <w:color w:val="000000" w:themeColor="text1"/>
          <w:szCs w:val="32"/>
          <w14:textFill>
            <w14:solidFill>
              <w14:schemeClr w14:val="tx1"/>
            </w14:solidFill>
          </w14:textFill>
        </w:rPr>
      </w:pPr>
      <w:r>
        <w:rPr>
          <w:rFonts w:ascii="Times New Roman" w:hAnsi="Times New Roman" w:eastAsia="仿宋_GB2312"/>
          <w:bCs/>
          <w:color w:val="000000" w:themeColor="text1"/>
          <w:szCs w:val="32"/>
          <w14:textFill>
            <w14:solidFill>
              <w14:schemeClr w14:val="tx1"/>
            </w14:solidFill>
          </w14:textFill>
        </w:rPr>
        <w:t>实施最严格的环境保护制度，依法、科学、精准打好升级版的污染防治持久战，持续减少主要污染物排放总量，基本消除群众关注的突出环境污染问题。</w:t>
      </w:r>
    </w:p>
    <w:p>
      <w:pPr>
        <w:widowControl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持续改善大气环境质量。</w:t>
      </w:r>
      <w:r>
        <w:rPr>
          <w:rFonts w:ascii="Times New Roman" w:hAnsi="Times New Roman" w:eastAsia="仿宋_GB2312"/>
          <w:bCs/>
          <w:color w:val="000000" w:themeColor="text1"/>
          <w:szCs w:val="32"/>
          <w14:textFill>
            <w14:solidFill>
              <w14:schemeClr w14:val="tx1"/>
            </w14:solidFill>
          </w14:textFill>
        </w:rPr>
        <w:t>标本兼治、精准发力，全面提高大气污染防治的系统化、科学化和精细化水平。强化温室气体排放控制，推进工业、建筑、交通等重点领域低碳化，大力发展现代服务业、战略新兴产业和节能环保等绿色产业，减少二氧化碳排放。继续实行四级网格管理治理大气污染，精准管控国控站点。综合整治挥发性有机物，采取</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源头+</w:t>
      </w:r>
      <w:r>
        <w:rPr>
          <w:rFonts w:ascii="Times New Roman" w:hAnsi="Times New Roman" w:eastAsia="仿宋_GB2312"/>
          <w:bCs/>
          <w:color w:val="000000" w:themeColor="text1"/>
          <w:spacing w:val="-6"/>
          <w:szCs w:val="32"/>
          <w14:textFill>
            <w14:solidFill>
              <w14:schemeClr w14:val="tx1"/>
            </w14:solidFill>
          </w14:textFill>
        </w:rPr>
        <w:t>过程+末端</w:t>
      </w:r>
      <w:r>
        <w:rPr>
          <w:rFonts w:hint="eastAsia" w:ascii="Times New Roman" w:hAnsi="Times New Roman" w:eastAsia="仿宋_GB2312"/>
          <w:bCs/>
          <w:color w:val="000000" w:themeColor="text1"/>
          <w:spacing w:val="-6"/>
          <w:szCs w:val="32"/>
          <w14:textFill>
            <w14:solidFill>
              <w14:schemeClr w14:val="tx1"/>
            </w14:solidFill>
          </w14:textFill>
        </w:rPr>
        <w:t>”</w:t>
      </w:r>
      <w:r>
        <w:rPr>
          <w:rFonts w:ascii="Times New Roman" w:hAnsi="Times New Roman" w:eastAsia="仿宋_GB2312"/>
          <w:bCs/>
          <w:color w:val="000000" w:themeColor="text1"/>
          <w:spacing w:val="-6"/>
          <w:szCs w:val="32"/>
          <w14:textFill>
            <w14:solidFill>
              <w14:schemeClr w14:val="tx1"/>
            </w14:solidFill>
          </w14:textFill>
        </w:rPr>
        <w:t>治理模式，分行业精准施策。持续抓好</w:t>
      </w:r>
      <w:r>
        <w:rPr>
          <w:rFonts w:hint="eastAsia" w:ascii="Times New Roman" w:hAnsi="Times New Roman" w:eastAsia="仿宋_GB2312"/>
          <w:bCs/>
          <w:color w:val="000000" w:themeColor="text1"/>
          <w:spacing w:val="-6"/>
          <w:szCs w:val="32"/>
          <w14:textFill>
            <w14:solidFill>
              <w14:schemeClr w14:val="tx1"/>
            </w14:solidFill>
          </w14:textFill>
        </w:rPr>
        <w:t>“</w:t>
      </w:r>
      <w:r>
        <w:rPr>
          <w:rFonts w:ascii="Times New Roman" w:hAnsi="Times New Roman" w:eastAsia="仿宋_GB2312"/>
          <w:bCs/>
          <w:color w:val="000000" w:themeColor="text1"/>
          <w:spacing w:val="-6"/>
          <w:szCs w:val="32"/>
          <w14:textFill>
            <w14:solidFill>
              <w14:schemeClr w14:val="tx1"/>
            </w14:solidFill>
          </w14:textFill>
        </w:rPr>
        <w:t>三散</w:t>
      </w:r>
      <w:r>
        <w:rPr>
          <w:rFonts w:hint="eastAsia" w:ascii="Times New Roman" w:hAnsi="Times New Roman" w:eastAsia="仿宋_GB2312"/>
          <w:bCs/>
          <w:color w:val="000000" w:themeColor="text1"/>
          <w:spacing w:val="-6"/>
          <w:szCs w:val="32"/>
          <w14:textFill>
            <w14:solidFill>
              <w14:schemeClr w14:val="tx1"/>
            </w14:solidFill>
          </w14:textFill>
        </w:rPr>
        <w:t>”</w:t>
      </w:r>
      <w:r>
        <w:rPr>
          <w:rFonts w:ascii="Times New Roman" w:hAnsi="Times New Roman" w:eastAsia="仿宋_GB2312"/>
          <w:bCs/>
          <w:color w:val="000000" w:themeColor="text1"/>
          <w:spacing w:val="-6"/>
          <w:szCs w:val="32"/>
          <w14:textFill>
            <w14:solidFill>
              <w14:schemeClr w14:val="tx1"/>
            </w14:solidFill>
          </w14:textFill>
        </w:rPr>
        <w:t>治</w:t>
      </w:r>
      <w:r>
        <w:rPr>
          <w:rFonts w:hint="eastAsia" w:ascii="Times New Roman" w:hAnsi="Times New Roman" w:eastAsia="仿宋_GB2312"/>
          <w:bCs/>
          <w:color w:val="000000" w:themeColor="text1"/>
          <w:spacing w:val="-6"/>
          <w:szCs w:val="32"/>
          <w14:textFill>
            <w14:solidFill>
              <w14:schemeClr w14:val="tx1"/>
            </w14:solidFill>
          </w14:textFill>
        </w:rPr>
        <w:t>“</w:t>
      </w:r>
      <w:r>
        <w:rPr>
          <w:rFonts w:ascii="Times New Roman" w:hAnsi="Times New Roman" w:eastAsia="仿宋_GB2312"/>
          <w:bCs/>
          <w:color w:val="000000" w:themeColor="text1"/>
          <w:spacing w:val="-6"/>
          <w:szCs w:val="32"/>
          <w14:textFill>
            <w14:solidFill>
              <w14:schemeClr w14:val="tx1"/>
            </w14:solidFill>
          </w14:textFill>
        </w:rPr>
        <w:t>三源</w:t>
      </w:r>
      <w:r>
        <w:rPr>
          <w:rFonts w:hint="eastAsia" w:ascii="Times New Roman" w:hAnsi="Times New Roman" w:eastAsia="仿宋_GB2312"/>
          <w:bCs/>
          <w:color w:val="000000" w:themeColor="text1"/>
          <w:spacing w:val="-6"/>
          <w:szCs w:val="32"/>
          <w14:textFill>
            <w14:solidFill>
              <w14:schemeClr w14:val="tx1"/>
            </w14:solidFill>
          </w14:textFill>
        </w:rPr>
        <w:t>”</w:t>
      </w:r>
      <w:r>
        <w:rPr>
          <w:rFonts w:ascii="Times New Roman" w:hAnsi="Times New Roman" w:eastAsia="仿宋_GB2312"/>
          <w:bCs/>
          <w:color w:val="000000" w:themeColor="text1"/>
          <w:spacing w:val="-6"/>
          <w:szCs w:val="32"/>
          <w14:textFill>
            <w14:solidFill>
              <w14:schemeClr w14:val="tx1"/>
            </w14:solidFill>
          </w14:textFill>
        </w:rPr>
        <w:t>，推广装配式建筑，综合整治扬尘污染。治理移动污染源，配合许昌市推广新能源汽车等节能环保交通工具，发展绿色公交，推动货物运输绿色转型。依托豫能热电，积极发展高值化利用为重点的先进生物质能源，提高清洁能源使用率</w:t>
      </w:r>
      <w:r>
        <w:rPr>
          <w:rFonts w:ascii="Times New Roman" w:hAnsi="Times New Roman" w:eastAsia="仿宋_GB2312"/>
          <w:bCs/>
          <w:color w:val="000000" w:themeColor="text1"/>
          <w:szCs w:val="32"/>
          <w14:textFill>
            <w14:solidFill>
              <w14:schemeClr w14:val="tx1"/>
            </w14:solidFill>
          </w14:textFill>
        </w:rPr>
        <w:t>。</w:t>
      </w:r>
    </w:p>
    <w:p>
      <w:pPr>
        <w:widowControl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强化水污染防治。</w:t>
      </w:r>
      <w:r>
        <w:rPr>
          <w:rFonts w:ascii="Times New Roman" w:hAnsi="Times New Roman" w:eastAsia="仿宋_GB2312"/>
          <w:bCs/>
          <w:color w:val="000000" w:themeColor="text1"/>
          <w:szCs w:val="32"/>
          <w14:textFill>
            <w14:solidFill>
              <w14:schemeClr w14:val="tx1"/>
            </w14:solidFill>
          </w14:textFill>
        </w:rPr>
        <w:t>继续实施工业水污染物排放全过程总量控制，确保辖区工业企业排放污染物浓度达标。加强地表水环境管控，综合整治灞陵河，实施护城河截污整治工程。开展化工企业、加油站、垃圾填埋场等区域地下水污染调查评估，稳步推进地下水污染防治。</w:t>
      </w:r>
    </w:p>
    <w:p>
      <w:pPr>
        <w:widowControl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强化土壤污染控制。</w:t>
      </w:r>
      <w:r>
        <w:rPr>
          <w:rFonts w:ascii="Times New Roman" w:hAnsi="Times New Roman" w:eastAsia="仿宋_GB2312"/>
          <w:bCs/>
          <w:color w:val="000000" w:themeColor="text1"/>
          <w:szCs w:val="32"/>
          <w14:textFill>
            <w14:solidFill>
              <w14:schemeClr w14:val="tx1"/>
            </w14:solidFill>
          </w14:textFill>
        </w:rPr>
        <w:t>加强建设用地准入管理，强化重点监管企业土壤污染隐患排查。加强重点区域土壤污染综合防控，做好许继集团电镀车间疑似污染地块的详调和治理修复。巩固提升农用地风险管控，推进受污染耕地安全利用。</w:t>
      </w:r>
    </w:p>
    <w:p>
      <w:pPr>
        <w:widowControl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强化噪声污染控制。</w:t>
      </w:r>
      <w:r>
        <w:rPr>
          <w:rFonts w:ascii="Times New Roman" w:hAnsi="Times New Roman" w:eastAsia="仿宋_GB2312"/>
          <w:bCs/>
          <w:color w:val="000000" w:themeColor="text1"/>
          <w:szCs w:val="32"/>
          <w14:textFill>
            <w14:solidFill>
              <w14:schemeClr w14:val="tx1"/>
            </w14:solidFill>
          </w14:textFill>
        </w:rPr>
        <w:t>深入开展噪声污染防治，加强机动车管控、建设噪声屏障、安装降噪装置、种植绿化带等措施减轻噪声污染，大力开展</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宁静社区</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宁静街区</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示范建设。严格防控工业、社会生活和建筑噪声，加强建筑噪声的监管和检查执法，进一步营造和谐环境。</w:t>
      </w:r>
    </w:p>
    <w:p>
      <w:pPr>
        <w:pStyle w:val="5"/>
        <w:keepNext w:val="0"/>
        <w:keepLines w:val="0"/>
        <w:widowControl w:val="0"/>
        <w:adjustRightInd w:val="0"/>
        <w:snapToGrid w:val="0"/>
        <w:spacing w:before="297" w:beforeLines="50" w:after="297" w:afterLines="50" w:line="560" w:lineRule="exact"/>
        <w:ind w:firstLine="0" w:firstLineChars="0"/>
      </w:pPr>
      <w:bookmarkStart w:id="83" w:name="_Toc7529"/>
      <w:bookmarkStart w:id="84" w:name="_Toc17780"/>
      <w:r>
        <w:t xml:space="preserve">第二节  </w:t>
      </w:r>
      <w:bookmarkEnd w:id="83"/>
      <w:r>
        <w:t>加强生态系统建设保护</w:t>
      </w:r>
      <w:bookmarkEnd w:id="84"/>
    </w:p>
    <w:p>
      <w:pPr>
        <w:widowControl w:val="0"/>
        <w:adjustRightInd w:val="0"/>
        <w:snapToGrid w:val="0"/>
        <w:spacing w:after="0" w:line="560" w:lineRule="exact"/>
        <w:ind w:firstLine="680" w:firstLineChars="200"/>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强化园林城市建设。</w:t>
      </w:r>
      <w:r>
        <w:rPr>
          <w:rFonts w:ascii="Times New Roman" w:hAnsi="Times New Roman" w:eastAsia="仿宋_GB2312"/>
          <w:bCs/>
          <w:color w:val="000000" w:themeColor="text1"/>
          <w:szCs w:val="32"/>
          <w14:textFill>
            <w14:solidFill>
              <w14:schemeClr w14:val="tx1"/>
            </w14:solidFill>
          </w14:textFill>
        </w:rPr>
        <w:t>注重城市绿化层次、色彩和植物景观营造，推广海绵绿地建设，推进道路绿色化、生态化改造，做好主干道生态隔离和花卉彩扮、支小路见缝插绿。加强生态廊道建设，提升道路沿线、河湖沿岸绿化品质，重点建设天宝路、灞陵路、阳光大道、文峰路绿化示路，提升辖区八一路、许继大道、延安路等绿化水平。见缝插绿，乔灌花结合，提升老街道、老小区、老庭院绿化水平。高标准规划建设综合性游园，把生态功能与休闲健身、科普教育、文化传承等功能有机融合。巩固外环路两侧现有防护林及崔代张社区西南林海等成果，对具备造林条件的规划林地及时造林，构筑城市外围生态屏障。鼓励单位和个人以投资、捐资、认建、认养等方式，参与城市绿化建设和养护，加快居民社区、机关和企事业单位绿化建设，构筑城市绿色生活圈。实施园林绿化精细化管理，实行永久保护绿地制度，持续提升城市绿化质量。</w:t>
      </w:r>
    </w:p>
    <w:p>
      <w:pPr>
        <w:widowControl w:val="0"/>
        <w:adjustRightInd w:val="0"/>
        <w:snapToGrid w:val="0"/>
        <w:spacing w:after="0" w:line="560" w:lineRule="exact"/>
        <w:ind w:firstLine="680" w:firstLineChars="200"/>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改善水生态环境。</w:t>
      </w:r>
      <w:r>
        <w:rPr>
          <w:rFonts w:ascii="Times New Roman" w:hAnsi="Times New Roman" w:eastAsia="仿宋_GB2312"/>
          <w:bCs/>
          <w:color w:val="000000" w:themeColor="text1"/>
          <w:szCs w:val="32"/>
          <w14:textFill>
            <w14:solidFill>
              <w14:schemeClr w14:val="tx1"/>
            </w14:solidFill>
          </w14:textFill>
        </w:rPr>
        <w:t>结合许昌市</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五湖四海畔三川、两环一水润莲城</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生态水系建设，以水系连通、恢复水面为重点</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坚持四水同治，持续巩固提升拓展水生态文明建设成果。实施灞陵河生态系统修复工程、颖汝干渠调蓄湖工程、幸福渠东支改造工程，营造水生态景观。综合整治老吴营社区寨河和长店沟，恢复农村社区河湖功能，全面提升区域水生态质量。以海绵城市建设为抓</w:t>
      </w:r>
      <w:r>
        <w:rPr>
          <w:rFonts w:hint="eastAsia" w:ascii="Times New Roman" w:hAnsi="Times New Roman" w:eastAsia="仿宋_GB2312"/>
          <w:bCs/>
          <w:color w:val="000000" w:themeColor="text1"/>
          <w:szCs w:val="32"/>
          <w14:textFill>
            <w14:solidFill>
              <w14:schemeClr w14:val="tx1"/>
            </w14:solidFill>
          </w14:textFill>
        </w:rPr>
        <w:t>手</w:t>
      </w:r>
      <w:r>
        <w:rPr>
          <w:rFonts w:ascii="Times New Roman" w:hAnsi="Times New Roman" w:eastAsia="仿宋_GB2312"/>
          <w:bCs/>
          <w:color w:val="000000" w:themeColor="text1"/>
          <w:szCs w:val="32"/>
          <w14:textFill>
            <w14:solidFill>
              <w14:schemeClr w14:val="tx1"/>
            </w14:solidFill>
          </w14:textFill>
        </w:rPr>
        <w:t>，最大限度将雨水就地截流、收集</w:t>
      </w:r>
      <w:r>
        <w:rPr>
          <w:rFonts w:ascii="Times New Roman" w:hAnsi="Times New Roman" w:eastAsia="仿宋_GB2312"/>
          <w:bCs/>
          <w:color w:val="000000" w:themeColor="text1"/>
          <w:spacing w:val="-6"/>
          <w:szCs w:val="32"/>
          <w14:textFill>
            <w14:solidFill>
              <w14:schemeClr w14:val="tx1"/>
            </w14:solidFill>
          </w14:textFill>
        </w:rPr>
        <w:t>利用。加强城市建设沉降水控制管理，严控沉降水道路管网直排。加强湿地恢复和保护，实施再生水输送工程，利用再生水资源建设晨鸣纸业湿地，推进西部水生态系统保护与修复。落实好河湖长制，履行好河湖健康代言人和守护者的重要责任，开展河湖健康评价，保障辖区河湖水生态安全。推进生物多样性保护，推广有利于生物多样性保护的理念与行为规范</w:t>
      </w:r>
      <w:r>
        <w:rPr>
          <w:rFonts w:ascii="Times New Roman" w:hAnsi="Times New Roman" w:eastAsia="仿宋_GB2312"/>
          <w:bCs/>
          <w:color w:val="000000" w:themeColor="text1"/>
          <w:szCs w:val="32"/>
          <w14:textFill>
            <w14:solidFill>
              <w14:schemeClr w14:val="tx1"/>
            </w14:solidFill>
          </w14:textFill>
        </w:rPr>
        <w:t>。</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widowControl w:val="0"/>
              <w:adjustRightInd w:val="0"/>
              <w:snapToGrid w:val="0"/>
              <w:spacing w:after="0" w:line="510" w:lineRule="exact"/>
              <w:jc w:val="center"/>
              <w:rPr>
                <w:rFonts w:ascii="黑体" w:hAnsi="黑体" w:eastAsia="黑体" w:cs="黑体"/>
                <w:bCs/>
                <w:color w:val="000000" w:themeColor="text1"/>
                <w:kern w:val="2"/>
                <w:sz w:val="28"/>
                <w:szCs w:val="28"/>
                <w14:textFill>
                  <w14:solidFill>
                    <w14:schemeClr w14:val="tx1"/>
                  </w14:solidFill>
                </w14:textFill>
              </w:rPr>
            </w:pPr>
            <w:r>
              <w:rPr>
                <w:rFonts w:ascii="黑体" w:hAnsi="黑体" w:eastAsia="黑体" w:cs="黑体"/>
                <w:bCs/>
                <w:color w:val="000000" w:themeColor="text1"/>
                <w:kern w:val="2"/>
                <w:sz w:val="28"/>
                <w:szCs w:val="28"/>
                <w14:textFill>
                  <w14:solidFill>
                    <w14:schemeClr w14:val="tx1"/>
                  </w14:solidFill>
                </w14:textFill>
              </w:rPr>
              <w:t>专栏</w:t>
            </w:r>
            <w:r>
              <w:rPr>
                <w:rFonts w:hint="eastAsia" w:ascii="Times New Roman" w:hAnsi="Times New Roman" w:eastAsia="黑体" w:cs="黑体"/>
                <w:bCs/>
                <w:color w:val="000000" w:themeColor="text1"/>
                <w:kern w:val="2"/>
                <w:sz w:val="28"/>
                <w:szCs w:val="28"/>
                <w14:textFill>
                  <w14:solidFill>
                    <w14:schemeClr w14:val="tx1"/>
                  </w14:solidFill>
                </w14:textFill>
              </w:rPr>
              <w:t>7</w:t>
            </w:r>
            <w:r>
              <w:rPr>
                <w:rFonts w:ascii="黑体" w:hAnsi="黑体" w:eastAsia="黑体" w:cs="黑体"/>
                <w:bCs/>
                <w:color w:val="000000" w:themeColor="text1"/>
                <w:kern w:val="2"/>
                <w:sz w:val="28"/>
                <w:szCs w:val="28"/>
                <w14:textFill>
                  <w14:solidFill>
                    <w14:schemeClr w14:val="tx1"/>
                  </w14:solidFill>
                </w14:textFill>
              </w:rPr>
              <w:t>：生态项目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1、道路绿化：</w:t>
            </w:r>
            <w:r>
              <w:rPr>
                <w:rFonts w:eastAsia="楷体_GB2312"/>
                <w:color w:val="000000" w:themeColor="text1"/>
                <w:sz w:val="28"/>
                <w:szCs w:val="28"/>
                <w14:textFill>
                  <w14:solidFill>
                    <w14:schemeClr w14:val="tx1"/>
                  </w14:solidFill>
                </w14:textFill>
              </w:rPr>
              <w:t>实施滨河路、滨河东路、阳光大道、新绿街、科创街、丁香路、龙祥路、陈庄街、翠柳路、玉龙街、天顺街等20条道路绿化。</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2、游园绿地建设：</w:t>
            </w:r>
            <w:r>
              <w:rPr>
                <w:rFonts w:eastAsia="楷体_GB2312"/>
                <w:color w:val="000000" w:themeColor="text1"/>
                <w:sz w:val="28"/>
                <w:szCs w:val="28"/>
                <w14:textFill>
                  <w14:solidFill>
                    <w14:schemeClr w14:val="tx1"/>
                  </w14:solidFill>
                </w14:textFill>
              </w:rPr>
              <w:t>完成幸福渠灞陵路至灞陵河段滨河游园、幸福渠天宝路至七里店街段滨河等一批游园建设。</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3、完成中央公园绿化提升，</w:t>
            </w:r>
            <w:r>
              <w:rPr>
                <w:rFonts w:eastAsia="楷体_GB2312"/>
                <w:color w:val="000000" w:themeColor="text1"/>
                <w:sz w:val="28"/>
                <w:szCs w:val="28"/>
                <w14:textFill>
                  <w14:solidFill>
                    <w14:schemeClr w14:val="tx1"/>
                  </w14:solidFill>
                </w14:textFill>
              </w:rPr>
              <w:t>建设颍汝干渠付夏齐郊野公园，建设新绿街片林、京广铁路（天宝路至陈庄街）片林。</w:t>
            </w:r>
          </w:p>
          <w:p>
            <w:pPr>
              <w:pStyle w:val="19"/>
              <w:adjustRightInd w:val="0"/>
              <w:snapToGrid w:val="0"/>
              <w:spacing w:line="520" w:lineRule="exact"/>
              <w:ind w:firstLine="600" w:firstLineChars="200"/>
              <w:rPr>
                <w:rFonts w:eastAsia="楷体_GB2312"/>
                <w:b/>
                <w:bCs/>
                <w:color w:val="000000" w:themeColor="text1"/>
                <w:spacing w:val="-10"/>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4、灞陵河流域生态修复工程。</w:t>
            </w:r>
            <w:r>
              <w:rPr>
                <w:rFonts w:hint="eastAsia" w:eastAsia="楷体_GB2312"/>
                <w:color w:val="000000" w:themeColor="text1"/>
                <w:spacing w:val="-10"/>
                <w:sz w:val="28"/>
                <w:szCs w:val="28"/>
                <w14:textFill>
                  <w14:solidFill>
                    <w14:schemeClr w14:val="tx1"/>
                  </w14:solidFill>
                </w14:textFill>
              </w:rPr>
              <w:t>实施以西外环以东，五一路以西，天顺街以南，许禹路以北的灞陵河流域水生态系统修复工程。</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5、颖汝干渠调蓄连通工程</w:t>
            </w:r>
            <w:r>
              <w:rPr>
                <w:rFonts w:eastAsia="楷体_GB2312"/>
                <w:color w:val="000000" w:themeColor="text1"/>
                <w:sz w:val="28"/>
                <w:szCs w:val="28"/>
                <w14:textFill>
                  <w14:solidFill>
                    <w14:schemeClr w14:val="tx1"/>
                  </w14:solidFill>
                </w14:textFill>
              </w:rPr>
              <w:t>：补充老吴营社区寨河水源，提高乡村河道生态修复能力。</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6、老吴营寨河与干渠调蓄湖环通工程</w:t>
            </w:r>
            <w:r>
              <w:rPr>
                <w:rFonts w:eastAsia="楷体_GB2312"/>
                <w:color w:val="000000" w:themeColor="text1"/>
                <w:sz w:val="28"/>
                <w:szCs w:val="28"/>
                <w14:textFill>
                  <w14:solidFill>
                    <w14:schemeClr w14:val="tx1"/>
                  </w14:solidFill>
                </w14:textFill>
              </w:rPr>
              <w:t>：对老吴营、东李庄、刘铁庄连片治理，通过景观绿化、河道治理、环境整治、村容村貌提升、公共设施建设等，打造老吴营片区</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水美乡村</w:t>
            </w:r>
            <w:r>
              <w:rPr>
                <w:rFonts w:hint="eastAsia" w:eastAsia="楷体_GB2312"/>
                <w:color w:val="000000" w:themeColor="text1"/>
                <w:sz w:val="28"/>
                <w:szCs w:val="28"/>
                <w14:textFill>
                  <w14:solidFill>
                    <w14:schemeClr w14:val="tx1"/>
                  </w14:solidFill>
                </w14:textFill>
              </w:rPr>
              <w:t>”</w:t>
            </w:r>
            <w:r>
              <w:rPr>
                <w:rFonts w:eastAsia="楷体_GB2312"/>
                <w:color w:val="000000" w:themeColor="text1"/>
                <w:sz w:val="28"/>
                <w:szCs w:val="28"/>
                <w14:textFill>
                  <w14:solidFill>
                    <w14:schemeClr w14:val="tx1"/>
                  </w14:solidFill>
                </w14:textFill>
              </w:rPr>
              <w:t>。</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7、幸福渠东支提升改造工程</w:t>
            </w:r>
            <w:r>
              <w:rPr>
                <w:rFonts w:eastAsia="楷体_GB2312"/>
                <w:color w:val="000000" w:themeColor="text1"/>
                <w:sz w:val="28"/>
                <w:szCs w:val="28"/>
                <w14:textFill>
                  <w14:solidFill>
                    <w14:schemeClr w14:val="tx1"/>
                  </w14:solidFill>
                </w14:textFill>
              </w:rPr>
              <w:t>：重点改造东支渠，全面提升幸福渠生态景观效果。</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8、长店沟魏都区段综合治理工程</w:t>
            </w:r>
            <w:r>
              <w:rPr>
                <w:rFonts w:eastAsia="楷体_GB2312"/>
                <w:color w:val="000000" w:themeColor="text1"/>
                <w:sz w:val="28"/>
                <w:szCs w:val="28"/>
                <w14:textFill>
                  <w14:solidFill>
                    <w14:schemeClr w14:val="tx1"/>
                  </w14:solidFill>
                </w14:textFill>
              </w:rPr>
              <w:t>：基本解决长店沟水生态环境差的问题。</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9、晨鸣纸业湿地工程：</w:t>
            </w:r>
            <w:r>
              <w:rPr>
                <w:rFonts w:eastAsia="楷体_GB2312"/>
                <w:color w:val="000000" w:themeColor="text1"/>
                <w:sz w:val="28"/>
                <w:szCs w:val="28"/>
                <w14:textFill>
                  <w14:solidFill>
                    <w14:schemeClr w14:val="tx1"/>
                  </w14:solidFill>
                </w14:textFill>
              </w:rPr>
              <w:t>利用中水改善周边水生态环境。</w:t>
            </w:r>
          </w:p>
          <w:p>
            <w:pPr>
              <w:pStyle w:val="19"/>
              <w:adjustRightInd w:val="0"/>
              <w:snapToGrid w:val="0"/>
              <w:spacing w:line="520" w:lineRule="exact"/>
              <w:ind w:firstLine="600" w:firstLineChars="200"/>
              <w:rPr>
                <w:rFonts w:eastAsia="楷体_GB2312"/>
                <w:color w:val="000000" w:themeColor="text1"/>
                <w:sz w:val="28"/>
                <w:szCs w:val="28"/>
                <w14:textFill>
                  <w14:solidFill>
                    <w14:schemeClr w14:val="tx1"/>
                  </w14:solidFill>
                </w14:textFill>
              </w:rPr>
            </w:pPr>
            <w:r>
              <w:rPr>
                <w:rFonts w:eastAsia="楷体_GB2312"/>
                <w:b/>
                <w:bCs/>
                <w:color w:val="000000" w:themeColor="text1"/>
                <w:sz w:val="28"/>
                <w:szCs w:val="28"/>
                <w14:textFill>
                  <w14:solidFill>
                    <w14:schemeClr w14:val="tx1"/>
                  </w14:solidFill>
                </w14:textFill>
              </w:rPr>
              <w:t>10、运粮河（天宝路--许由路段）清淤工程</w:t>
            </w:r>
            <w:r>
              <w:rPr>
                <w:rFonts w:eastAsia="楷体_GB2312"/>
                <w:color w:val="000000" w:themeColor="text1"/>
                <w:sz w:val="28"/>
                <w:szCs w:val="28"/>
                <w14:textFill>
                  <w14:solidFill>
                    <w14:schemeClr w14:val="tx1"/>
                  </w14:solidFill>
                </w14:textFill>
              </w:rPr>
              <w:t>：有效提升河流水质。</w:t>
            </w:r>
          </w:p>
          <w:p>
            <w:pPr>
              <w:pStyle w:val="19"/>
              <w:adjustRightInd w:val="0"/>
              <w:snapToGrid w:val="0"/>
              <w:spacing w:line="520" w:lineRule="exact"/>
              <w:ind w:firstLine="600" w:firstLineChars="200"/>
              <w:rPr>
                <w:color w:val="000000" w:themeColor="text1"/>
                <w:sz w:val="24"/>
                <w14:textFill>
                  <w14:solidFill>
                    <w14:schemeClr w14:val="tx1"/>
                  </w14:solidFill>
                </w14:textFill>
              </w:rPr>
            </w:pPr>
            <w:r>
              <w:rPr>
                <w:rFonts w:eastAsia="楷体_GB2312"/>
                <w:b/>
                <w:bCs/>
                <w:color w:val="000000" w:themeColor="text1"/>
                <w:sz w:val="28"/>
                <w:szCs w:val="28"/>
                <w14:textFill>
                  <w14:solidFill>
                    <w14:schemeClr w14:val="tx1"/>
                  </w14:solidFill>
                </w14:textFill>
              </w:rPr>
              <w:t>11、智慧水利平台建设工程：</w:t>
            </w:r>
            <w:r>
              <w:rPr>
                <w:rFonts w:eastAsia="楷体_GB2312"/>
                <w:color w:val="000000" w:themeColor="text1"/>
                <w:sz w:val="28"/>
                <w:szCs w:val="28"/>
                <w14:textFill>
                  <w14:solidFill>
                    <w14:schemeClr w14:val="tx1"/>
                  </w14:solidFill>
                </w14:textFill>
              </w:rPr>
              <w:t>主要建设智能泵站管理、污水处理、河湖管理、水资源管理、城乡供水、水旱灾害防御等智慧水利管理平台。</w:t>
            </w:r>
          </w:p>
        </w:tc>
      </w:tr>
    </w:tbl>
    <w:p>
      <w:pPr>
        <w:pStyle w:val="5"/>
        <w:keepNext w:val="0"/>
        <w:keepLines w:val="0"/>
        <w:widowControl w:val="0"/>
        <w:adjustRightInd w:val="0"/>
        <w:snapToGrid w:val="0"/>
        <w:spacing w:before="297" w:beforeLines="50" w:after="297" w:afterLines="50" w:line="560" w:lineRule="exact"/>
        <w:ind w:firstLine="680"/>
      </w:pPr>
      <w:bookmarkStart w:id="85" w:name="_Toc20819"/>
      <w:r>
        <w:t xml:space="preserve">第三节 </w:t>
      </w:r>
      <w:r>
        <w:rPr>
          <w:rFonts w:hint="eastAsia"/>
        </w:rPr>
        <w:t xml:space="preserve"> </w:t>
      </w:r>
      <w:r>
        <w:t>积极践行绿色发展方式</w:t>
      </w:r>
      <w:bookmarkEnd w:id="85"/>
    </w:p>
    <w:p>
      <w:pPr>
        <w:widowControl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持续推进绿色发展。</w:t>
      </w:r>
      <w:r>
        <w:rPr>
          <w:rFonts w:ascii="Times New Roman" w:hAnsi="Times New Roman" w:eastAsia="仿宋_GB2312"/>
          <w:bCs/>
          <w:color w:val="000000" w:themeColor="text1"/>
          <w:szCs w:val="32"/>
          <w14:textFill>
            <w14:solidFill>
              <w14:schemeClr w14:val="tx1"/>
            </w14:solidFill>
          </w14:textFill>
        </w:rPr>
        <w:t>落实绿色产业指导目录，全面推行能效水效</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领跑者</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制度，加强工业企业提标治理和园区循环化改造，淘汰出清落后产能，加快传统产业绿色化、智能化改造，推进绿色技术创新和应用，培育创建绿色工厂、绿色园区，大力发展环境友好型产业，推动产业转型和绿色发展。加快培育绿色产业市场主体，促进绿色产业规模化集聚性发展，推动绿色服务模式创新，以重点企业为抓手构建绿色产业链体系。配合许昌市城市碳汇能力体系建设，推动重点企业积极参与碳排放交易。落实</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公转铁</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战略，实现大宗商品运输从公路到铁路的转变。</w:t>
      </w:r>
    </w:p>
    <w:p>
      <w:pPr>
        <w:widowControl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持续推进低碳循环发展。</w:t>
      </w:r>
      <w:r>
        <w:rPr>
          <w:rFonts w:ascii="Times New Roman" w:hAnsi="Times New Roman" w:eastAsia="仿宋_GB2312"/>
          <w:bCs/>
          <w:color w:val="000000" w:themeColor="text1"/>
          <w:szCs w:val="32"/>
          <w14:textFill>
            <w14:solidFill>
              <w14:schemeClr w14:val="tx1"/>
            </w14:solidFill>
          </w14:textFill>
        </w:rPr>
        <w:t>完善能源消费总量和强度</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双控</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制度，提高能源利用效率，着力推进结构节能、技术节能、管理节能。大力发展循环经济，强化</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城市矿产</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的开发利用，以</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无废城市</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建设为抓手，推进旧机电设备、旧家电等重点领域再制造产业发展，建立和完善垃圾分类体系和废旧物资循环利用体系，做好固废危废安全处置。依托静脉产业园，推动餐厨废弃物、建筑垃圾、包装废弃物、电子垃圾、废旧农膜、污泥等资源化利用和无害化处置，强力推动新型无废城市建设EOD（生态环境导向开发）模式试点项目，推进生产和生活系统循环链接，探索可借鉴、可复制、可推广</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无废城市</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建设的魏都路径。强化水资源总量强度指标双约束，以</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海绵城市</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建设为抓手，加强雨水、再生水资源的开发利用，全面提升水资源利用效率。持续实施节水行动</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 xml:space="preserve"> 加大节水宣传教育力度</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建立节水评价机制</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扎实推进节水型企业、节水型单位、节水型居民小区等载体建设</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在全社会形成节水的浓厚氛围。深入开展绿色生活创建，实行奖励和强制相结合的绿色消费政策，大力开展绿色机关、绿色家庭、绿色学校、绿色社区、绿色商场、绿色建筑创建活动，倡导和践行简约适度、绿色低碳的生活理念和生活方式，推动绿色消费，畅通绿色产品销售渠道，促进绿色发展。配合许昌市加快充电设施建设，推动新能源汽车应用规模化和公交车、出租车、物流车电动化。</w:t>
      </w:r>
    </w:p>
    <w:p>
      <w:pPr>
        <w:widowControl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健全绿色发展政策体系。</w:t>
      </w:r>
      <w:r>
        <w:rPr>
          <w:rFonts w:ascii="Times New Roman" w:hAnsi="Times New Roman" w:eastAsia="仿宋_GB2312"/>
          <w:bCs/>
          <w:color w:val="000000" w:themeColor="text1"/>
          <w:szCs w:val="32"/>
          <w14:textFill>
            <w14:solidFill>
              <w14:schemeClr w14:val="tx1"/>
            </w14:solidFill>
          </w14:textFill>
        </w:rPr>
        <w:t>落实好税收优惠政策，大力支持产业绿色转型、绿色技术创新、绿色产业培育、绿色生活创建等。积极争取许昌市绿色金融发展基金，吸引更多社会</w:t>
      </w:r>
      <w:r>
        <w:rPr>
          <w:rFonts w:ascii="Times New Roman" w:hAnsi="Times New Roman" w:eastAsia="仿宋_GB2312"/>
          <w:bCs/>
          <w:color w:val="000000" w:themeColor="text1"/>
          <w:spacing w:val="-6"/>
          <w:szCs w:val="32"/>
          <w14:textFill>
            <w14:solidFill>
              <w14:schemeClr w14:val="tx1"/>
            </w14:solidFill>
          </w14:textFill>
        </w:rPr>
        <w:t>资本投资绿色产业。健全污水处理和垃圾处理收费机制、节约用水价格机制、节能环保电价机制，引导社会走上集约化道路</w:t>
      </w:r>
      <w:r>
        <w:rPr>
          <w:rFonts w:ascii="Times New Roman" w:hAnsi="Times New Roman" w:eastAsia="仿宋_GB2312"/>
          <w:bCs/>
          <w:color w:val="000000" w:themeColor="text1"/>
          <w:szCs w:val="32"/>
          <w14:textFill>
            <w14:solidFill>
              <w14:schemeClr w14:val="tx1"/>
            </w14:solidFill>
          </w14:textFill>
        </w:rPr>
        <w:t>。</w:t>
      </w:r>
    </w:p>
    <w:p>
      <w:pPr>
        <w:pStyle w:val="5"/>
        <w:keepNext w:val="0"/>
        <w:keepLines w:val="0"/>
        <w:widowControl w:val="0"/>
        <w:adjustRightInd w:val="0"/>
        <w:snapToGrid w:val="0"/>
        <w:spacing w:before="297" w:beforeLines="50" w:after="297" w:afterLines="50" w:line="560" w:lineRule="exact"/>
        <w:ind w:firstLine="0" w:firstLineChars="0"/>
      </w:pPr>
      <w:bookmarkStart w:id="86" w:name="_Toc11430"/>
      <w:r>
        <w:t>第四节  健全现代生态文明治理体系</w:t>
      </w:r>
      <w:bookmarkEnd w:id="86"/>
    </w:p>
    <w:p>
      <w:pPr>
        <w:widowControl w:val="0"/>
        <w:adjustRightInd w:val="0"/>
        <w:snapToGrid w:val="0"/>
        <w:spacing w:after="0" w:line="560" w:lineRule="exact"/>
        <w:ind w:firstLine="680" w:firstLineChars="200"/>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构建生态治理监管体系。</w:t>
      </w:r>
      <w:r>
        <w:rPr>
          <w:rFonts w:ascii="Times New Roman" w:hAnsi="Times New Roman" w:eastAsia="仿宋_GB2312"/>
          <w:bCs/>
          <w:color w:val="000000" w:themeColor="text1"/>
          <w:szCs w:val="32"/>
          <w14:textFill>
            <w14:solidFill>
              <w14:schemeClr w14:val="tx1"/>
            </w14:solidFill>
          </w14:textFill>
        </w:rPr>
        <w:t>以生态保护红线、环境质量底线、资源利用上线和生态环境准入清单（</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三线一单</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）为抓手，实施分类管控，构建源头严防、过程严管、后果严惩的全过程监管体系。积极推行生态环境第三方治理，配合许昌市开展园区污染防治第三方治理示范，建立健全</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污染者付费+第三方治理</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等新模式。</w:t>
      </w:r>
    </w:p>
    <w:p>
      <w:pPr>
        <w:widowControl w:val="0"/>
        <w:adjustRightInd w:val="0"/>
        <w:snapToGrid w:val="0"/>
        <w:spacing w:after="0" w:line="560" w:lineRule="exact"/>
        <w:ind w:firstLine="680" w:firstLineChars="200"/>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开展固定污染源清理整顿。</w:t>
      </w:r>
      <w:r>
        <w:rPr>
          <w:rFonts w:ascii="Times New Roman" w:hAnsi="Times New Roman" w:eastAsia="仿宋_GB2312"/>
          <w:bCs/>
          <w:color w:val="000000" w:themeColor="text1"/>
          <w:szCs w:val="32"/>
          <w14:textFill>
            <w14:solidFill>
              <w14:schemeClr w14:val="tx1"/>
            </w14:solidFill>
          </w14:textFill>
        </w:rPr>
        <w:t>加强以排污许可为核心的固定污染源监管，严厉打击无证排放。严格执行重点排污单位环境信用分级分类监管，推进环境保护领域严惩失信行为惩戒行动，完善环境信用体系。严格实行生态环境损害赔偿制度，加强生态环境保护综合执法队伍建设，落实生态文明建设考核和责任追究制度。</w:t>
      </w:r>
      <w:bookmarkStart w:id="87" w:name="_Toc30011"/>
      <w:bookmarkStart w:id="88" w:name="_Toc55780669"/>
      <w:bookmarkStart w:id="89" w:name="_Toc17065"/>
    </w:p>
    <w:p>
      <w:pPr>
        <w:widowControl w:val="0"/>
        <w:adjustRightInd w:val="0"/>
        <w:snapToGrid w:val="0"/>
        <w:spacing w:after="0" w:line="560" w:lineRule="exact"/>
        <w:ind w:firstLine="680" w:firstLineChars="200"/>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提升智慧监管能力。</w:t>
      </w:r>
      <w:r>
        <w:rPr>
          <w:rFonts w:ascii="Times New Roman" w:hAnsi="Times New Roman" w:eastAsia="仿宋_GB2312"/>
          <w:bCs/>
          <w:color w:val="000000" w:themeColor="text1"/>
          <w:szCs w:val="32"/>
          <w14:textFill>
            <w14:solidFill>
              <w14:schemeClr w14:val="tx1"/>
            </w14:solidFill>
          </w14:textFill>
        </w:rPr>
        <w:t>开展生态系统保护成效监测评估，加强监测数据的集成分析和综合利用，及时发现变化、预警风险，推动问题早发现、早处置、早整改。强化生态环境风险防控和生态环境问题突发事件应急管理，妥善处置环境突发事件，维护生态环境安全。完善环保信息公开和举报制度，强化社会监督。加强生态环境保护宣传教育，大力弘扬生态文化，增强全社会生态环保意识。</w:t>
      </w: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4"/>
        <w:keepNext w:val="0"/>
        <w:keepLines w:val="0"/>
        <w:widowControl w:val="0"/>
        <w:numPr>
          <w:ilvl w:val="0"/>
          <w:numId w:val="1"/>
        </w:numPr>
        <w:adjustRightInd w:val="0"/>
        <w:snapToGrid w:val="0"/>
        <w:spacing w:after="0" w:line="600" w:lineRule="exact"/>
      </w:pPr>
      <w:bookmarkStart w:id="90" w:name="_Toc28042"/>
      <w:bookmarkStart w:id="91" w:name="_Toc17769"/>
      <w:r>
        <w:rPr>
          <w:rFonts w:hint="eastAsia"/>
        </w:rPr>
        <w:t>深入</w:t>
      </w:r>
      <w:r>
        <w:t>推进改革开放</w:t>
      </w:r>
      <w:r>
        <w:rPr>
          <w:rFonts w:hint="eastAsia"/>
        </w:rPr>
        <w:t>，</w:t>
      </w:r>
      <w:r>
        <w:t>激发对内对外</w:t>
      </w:r>
    </w:p>
    <w:p>
      <w:pPr>
        <w:pStyle w:val="4"/>
        <w:keepNext w:val="0"/>
        <w:keepLines w:val="0"/>
        <w:widowControl w:val="0"/>
        <w:adjustRightInd w:val="0"/>
        <w:snapToGrid w:val="0"/>
        <w:spacing w:after="0" w:line="600" w:lineRule="exact"/>
      </w:pPr>
      <w:r>
        <w:t>发展新</w:t>
      </w:r>
      <w:bookmarkEnd w:id="87"/>
      <w:r>
        <w:t>活力</w:t>
      </w:r>
      <w:bookmarkEnd w:id="88"/>
      <w:bookmarkEnd w:id="89"/>
      <w:bookmarkEnd w:id="90"/>
      <w:bookmarkEnd w:id="91"/>
    </w:p>
    <w:p>
      <w:pPr>
        <w:widowControl w:val="0"/>
        <w:adjustRightInd w:val="0"/>
        <w:snapToGrid w:val="0"/>
        <w:spacing w:after="0" w:line="590" w:lineRule="exact"/>
        <w:ind w:firstLine="640"/>
        <w:rPr>
          <w:rFonts w:ascii="Times New Roman" w:hAnsi="Times New Roman" w:eastAsia="仿宋_GB2312"/>
          <w:bCs/>
          <w:color w:val="000000" w:themeColor="text1"/>
          <w:szCs w:val="32"/>
          <w14:textFill>
            <w14:solidFill>
              <w14:schemeClr w14:val="tx1"/>
            </w14:solidFill>
          </w14:textFill>
        </w:rPr>
      </w:pPr>
    </w:p>
    <w:p>
      <w:pPr>
        <w:widowControl w:val="0"/>
        <w:adjustRightInd w:val="0"/>
        <w:snapToGrid w:val="0"/>
        <w:spacing w:after="0" w:line="590" w:lineRule="exact"/>
        <w:ind w:firstLine="640"/>
        <w:rPr>
          <w:rFonts w:ascii="Times New Roman" w:hAnsi="Times New Roman" w:eastAsia="仿宋_GB2312"/>
          <w:bCs/>
          <w:color w:val="000000" w:themeColor="text1"/>
          <w:szCs w:val="32"/>
          <w14:textFill>
            <w14:solidFill>
              <w14:schemeClr w14:val="tx1"/>
            </w14:solidFill>
          </w14:textFill>
        </w:rPr>
      </w:pPr>
      <w:r>
        <w:rPr>
          <w:rFonts w:ascii="Times New Roman" w:hAnsi="Times New Roman" w:eastAsia="仿宋_GB2312"/>
          <w:bCs/>
          <w:color w:val="000000" w:themeColor="text1"/>
          <w:szCs w:val="32"/>
          <w14:textFill>
            <w14:solidFill>
              <w14:schemeClr w14:val="tx1"/>
            </w14:solidFill>
          </w14:textFill>
        </w:rPr>
        <w:t>坚持以改革破解难题，以开放寻求突破，强化有效投资，激发潜在消费，积极融入国内国际双循环大格局。</w:t>
      </w:r>
    </w:p>
    <w:p>
      <w:pPr>
        <w:pStyle w:val="5"/>
        <w:keepNext w:val="0"/>
        <w:keepLines w:val="0"/>
        <w:widowControl w:val="0"/>
        <w:adjustRightInd w:val="0"/>
        <w:snapToGrid w:val="0"/>
        <w:spacing w:before="297" w:beforeLines="50" w:after="297" w:afterLines="50" w:line="580" w:lineRule="exact"/>
        <w:ind w:firstLine="0" w:firstLineChars="0"/>
      </w:pPr>
      <w:bookmarkStart w:id="92" w:name="_Toc816"/>
      <w:bookmarkStart w:id="93" w:name="_Toc7425"/>
      <w:r>
        <w:t>第一节   加快城乡融合发展试验区改革</w:t>
      </w:r>
      <w:bookmarkEnd w:id="92"/>
      <w:bookmarkEnd w:id="93"/>
    </w:p>
    <w:p>
      <w:pPr>
        <w:widowControl w:val="0"/>
        <w:adjustRightInd w:val="0"/>
        <w:snapToGrid w:val="0"/>
        <w:spacing w:after="0" w:line="590" w:lineRule="exact"/>
        <w:ind w:firstLine="640"/>
        <w:rPr>
          <w:rFonts w:ascii="Times New Roman" w:hAnsi="Times New Roman" w:eastAsia="仿宋_GB2312"/>
          <w:bCs/>
          <w:color w:val="000000" w:themeColor="text1"/>
          <w:szCs w:val="32"/>
          <w14:textFill>
            <w14:solidFill>
              <w14:schemeClr w14:val="tx1"/>
            </w14:solidFill>
          </w14:textFill>
        </w:rPr>
      </w:pPr>
      <w:r>
        <w:rPr>
          <w:rFonts w:ascii="Times New Roman" w:hAnsi="Times New Roman" w:eastAsia="仿宋_GB2312"/>
          <w:bCs/>
          <w:color w:val="000000" w:themeColor="text1"/>
          <w:szCs w:val="32"/>
          <w14:textFill>
            <w14:solidFill>
              <w14:schemeClr w14:val="tx1"/>
            </w14:solidFill>
          </w14:textFill>
        </w:rPr>
        <w:t>以搭建城中村改造合作平台为重点，加快探索农村集体经营性建设用地入市制度、城乡基本公共服务均等化和城乡基础设施一化体化发展的体制机制，为全省城乡融合发展提供可复制推广的经验。</w:t>
      </w:r>
    </w:p>
    <w:p>
      <w:pPr>
        <w:pStyle w:val="5"/>
        <w:keepNext w:val="0"/>
        <w:keepLines w:val="0"/>
        <w:widowControl w:val="0"/>
        <w:adjustRightInd w:val="0"/>
        <w:snapToGrid w:val="0"/>
        <w:spacing w:before="297" w:beforeLines="50" w:after="297" w:afterLines="50" w:line="580" w:lineRule="exact"/>
        <w:ind w:firstLine="0" w:firstLineChars="0"/>
      </w:pPr>
      <w:bookmarkStart w:id="94" w:name="_Toc1658"/>
      <w:bookmarkStart w:id="95" w:name="_Toc29985"/>
      <w:r>
        <w:t>第二节  持续优化营商环境</w:t>
      </w:r>
      <w:bookmarkEnd w:id="94"/>
      <w:bookmarkEnd w:id="95"/>
    </w:p>
    <w:p>
      <w:pPr>
        <w:widowControl w:val="0"/>
        <w:adjustRightInd w:val="0"/>
        <w:snapToGrid w:val="0"/>
        <w:spacing w:after="0" w:line="590" w:lineRule="exact"/>
        <w:ind w:firstLine="641"/>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放宽市场准入。</w:t>
      </w:r>
      <w:r>
        <w:rPr>
          <w:rFonts w:ascii="Times New Roman" w:hAnsi="Times New Roman" w:eastAsia="仿宋_GB2312"/>
          <w:color w:val="000000" w:themeColor="text1"/>
          <w:spacing w:val="2"/>
          <w:szCs w:val="32"/>
          <w14:textFill>
            <w14:solidFill>
              <w14:schemeClr w14:val="tx1"/>
            </w14:solidFill>
          </w14:textFill>
        </w:rPr>
        <w:t>放宽小微企业、个体工商户登记经营场所限制，实行住所（经营场所）自主申报承诺制。探索推进</w:t>
      </w:r>
      <w:r>
        <w:rPr>
          <w:rFonts w:hint="eastAsia" w:ascii="Times New Roman" w:hAnsi="Times New Roman" w:eastAsia="仿宋_GB2312"/>
          <w:color w:val="000000" w:themeColor="text1"/>
          <w:spacing w:val="2"/>
          <w:szCs w:val="32"/>
          <w14:textFill>
            <w14:solidFill>
              <w14:schemeClr w14:val="tx1"/>
            </w14:solidFill>
          </w14:textFill>
        </w:rPr>
        <w:t>“</w:t>
      </w:r>
      <w:r>
        <w:rPr>
          <w:rFonts w:ascii="Times New Roman" w:hAnsi="Times New Roman" w:eastAsia="仿宋_GB2312"/>
          <w:color w:val="000000" w:themeColor="text1"/>
          <w:spacing w:val="2"/>
          <w:szCs w:val="32"/>
          <w14:textFill>
            <w14:solidFill>
              <w14:schemeClr w14:val="tx1"/>
            </w14:solidFill>
          </w14:textFill>
        </w:rPr>
        <w:t>一业一证</w:t>
      </w:r>
      <w:r>
        <w:rPr>
          <w:rFonts w:hint="eastAsia" w:ascii="Times New Roman" w:hAnsi="Times New Roman" w:eastAsia="仿宋_GB2312"/>
          <w:color w:val="000000" w:themeColor="text1"/>
          <w:spacing w:val="2"/>
          <w:szCs w:val="32"/>
          <w14:textFill>
            <w14:solidFill>
              <w14:schemeClr w14:val="tx1"/>
            </w14:solidFill>
          </w14:textFill>
        </w:rPr>
        <w:t>”</w:t>
      </w:r>
      <w:r>
        <w:rPr>
          <w:rFonts w:ascii="Times New Roman" w:hAnsi="Times New Roman" w:eastAsia="仿宋_GB2312"/>
          <w:color w:val="000000" w:themeColor="text1"/>
          <w:spacing w:val="2"/>
          <w:szCs w:val="32"/>
          <w14:textFill>
            <w14:solidFill>
              <w14:schemeClr w14:val="tx1"/>
            </w14:solidFill>
          </w14:textFill>
        </w:rPr>
        <w:t>改革，将一个行业准入涉及的多张许可证整合为一张许可证。全面实施市场准入负面清单制度，持续放宽基础设施、社会事业、服务业等重点领域市场准入。支持个体工商户发展，促进灵活就业，降低小微企业等经</w:t>
      </w:r>
      <w:r>
        <w:rPr>
          <w:rFonts w:ascii="Times New Roman" w:hAnsi="Times New Roman" w:eastAsia="仿宋_GB2312"/>
          <w:bCs/>
          <w:color w:val="000000" w:themeColor="text1"/>
          <w:spacing w:val="2"/>
          <w:szCs w:val="32"/>
          <w14:textFill>
            <w14:solidFill>
              <w14:schemeClr w14:val="tx1"/>
            </w14:solidFill>
          </w14:textFill>
        </w:rPr>
        <w:t>营成本，激发创新创业活力。</w:t>
      </w:r>
    </w:p>
    <w:p>
      <w:pPr>
        <w:widowControl w:val="0"/>
        <w:adjustRightInd w:val="0"/>
        <w:snapToGrid w:val="0"/>
        <w:spacing w:after="0" w:line="590" w:lineRule="exact"/>
        <w:ind w:firstLine="643"/>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加快政府职能转变。</w:t>
      </w:r>
      <w:r>
        <w:rPr>
          <w:rFonts w:ascii="Times New Roman" w:hAnsi="Times New Roman" w:eastAsia="仿宋_GB2312"/>
          <w:bCs/>
          <w:color w:val="000000" w:themeColor="text1"/>
          <w:szCs w:val="32"/>
          <w14:textFill>
            <w14:solidFill>
              <w14:schemeClr w14:val="tx1"/>
            </w14:solidFill>
          </w14:textFill>
        </w:rPr>
        <w:t>全面实行政府权责清单管理制度，实施涉企经营许可事项清单管理，加强事中事后监管，对新产业新业态实行包容审慎监管。大力发展</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互联网+政务</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，推进跨部门、跨行业数据共享，线上线下无缝衔接，提升一体化政务服务水平。深化</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四个一百</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专项行动，落实好规范化、常态化政企沟通机制和企业服务制度，畅通政企双向沟通渠道，构建亲清政商关系。成立优化营商环境办公室，全面推进魏都区优化营商环境工作，营造良好的经济发展氛围。建立完善县级领导干部联系企业制度，帮助企业破难解困，依法保护企业家合法权益，坚定企业发展信心。加强知识产权保护和社会信用体系建设，推进</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双随机、一公开</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跨部门联合监管，提升监管执法的规范性和透明度，营造公平竞争的社会环境。</w:t>
      </w:r>
    </w:p>
    <w:p>
      <w:pPr>
        <w:pStyle w:val="5"/>
        <w:keepNext w:val="0"/>
        <w:keepLines w:val="0"/>
        <w:widowControl w:val="0"/>
        <w:adjustRightInd w:val="0"/>
        <w:snapToGrid w:val="0"/>
        <w:spacing w:before="297" w:beforeLines="50" w:after="297" w:afterLines="50" w:line="580" w:lineRule="exact"/>
        <w:ind w:firstLine="0" w:firstLineChars="0"/>
      </w:pPr>
      <w:bookmarkStart w:id="96" w:name="_Toc9974"/>
      <w:bookmarkStart w:id="97" w:name="_Toc2138"/>
      <w:r>
        <w:t>第三节  以开放促发展</w:t>
      </w:r>
      <w:bookmarkEnd w:id="96"/>
      <w:bookmarkEnd w:id="97"/>
    </w:p>
    <w:p>
      <w:pPr>
        <w:widowControl w:val="0"/>
        <w:adjustRightInd w:val="0"/>
        <w:snapToGrid w:val="0"/>
        <w:spacing w:after="0" w:line="590" w:lineRule="exact"/>
        <w:ind w:firstLine="641"/>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提升对外开放水平。</w:t>
      </w:r>
      <w:r>
        <w:rPr>
          <w:rFonts w:ascii="Times New Roman" w:hAnsi="Times New Roman" w:eastAsia="仿宋_GB2312"/>
          <w:bCs/>
          <w:color w:val="000000" w:themeColor="text1"/>
          <w:szCs w:val="32"/>
          <w14:textFill>
            <w14:solidFill>
              <w14:schemeClr w14:val="tx1"/>
            </w14:solidFill>
          </w14:textFill>
        </w:rPr>
        <w:t>坚持以企业为主体，以市场为导向，以项目为抓手，以开放寻求突破，推动开放向更高层次、更高水平迈进。加强与京津冀、长三角、粤港澳地区合作交流，深化郑许城市群等区域合作，用好发达地区资金、技术、人才等要素，实现借力发展。把握国家支持中部地区承接东部沿海和国外产业转移机遇，依托产业集聚区主平台吸引优质项目落地，实现由</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承接产业转移</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向</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承接产业布局和转移</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跃进。积极融入</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一带一路</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建设，支持有条件的企业走出去开辟海外市场。</w:t>
      </w:r>
    </w:p>
    <w:p>
      <w:pPr>
        <w:widowControl w:val="0"/>
        <w:adjustRightInd w:val="0"/>
        <w:snapToGrid w:val="0"/>
        <w:spacing w:after="0" w:line="590" w:lineRule="exact"/>
        <w:ind w:firstLine="643"/>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创新招商引资方式。</w:t>
      </w:r>
      <w:r>
        <w:rPr>
          <w:rFonts w:ascii="Times New Roman" w:hAnsi="Times New Roman" w:eastAsia="仿宋_GB2312"/>
          <w:bCs/>
          <w:color w:val="000000" w:themeColor="text1"/>
          <w:szCs w:val="32"/>
          <w14:textFill>
            <w14:solidFill>
              <w14:schemeClr w14:val="tx1"/>
            </w14:solidFill>
          </w14:textFill>
        </w:rPr>
        <w:t>聚焦延链补链强链、三大产业培育和传统产业升级等开展精准招商。强化以商招商、资本招商、产业链招商，由单一招商引资向招才引智引技并重转变，建设承接产业转移示范区和共建产业园区。坚持</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二分之一</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工作法，加强跟踪问效，提高招商项目签约率、落地率、开工率。扩大文化、旅游、教育、医疗、养老等领域对外合作，加强跟踪对接儿童游乐园、呼叫中心、全自动生活垃圾裂解成套装备等招商项目，争取尽快落地。</w:t>
      </w:r>
    </w:p>
    <w:p>
      <w:pPr>
        <w:pStyle w:val="5"/>
        <w:keepNext w:val="0"/>
        <w:keepLines w:val="0"/>
        <w:widowControl w:val="0"/>
        <w:adjustRightInd w:val="0"/>
        <w:snapToGrid w:val="0"/>
        <w:spacing w:before="297" w:beforeLines="50" w:after="297" w:afterLines="50" w:line="580" w:lineRule="exact"/>
        <w:ind w:firstLine="0" w:firstLineChars="0"/>
      </w:pPr>
      <w:bookmarkStart w:id="98" w:name="_Toc7688"/>
      <w:bookmarkStart w:id="99" w:name="_Toc5681"/>
      <w:r>
        <w:t>第四节  创新投融资机制</w:t>
      </w:r>
      <w:bookmarkEnd w:id="98"/>
      <w:bookmarkEnd w:id="99"/>
    </w:p>
    <w:p>
      <w:pPr>
        <w:widowControl w:val="0"/>
        <w:adjustRightInd w:val="0"/>
        <w:snapToGrid w:val="0"/>
        <w:spacing w:after="0" w:line="560" w:lineRule="exact"/>
        <w:ind w:firstLine="680" w:firstLineChars="200"/>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扩大融资资产规模。</w:t>
      </w:r>
      <w:r>
        <w:rPr>
          <w:rFonts w:ascii="Times New Roman" w:hAnsi="Times New Roman" w:eastAsia="仿宋_GB2312"/>
          <w:bCs/>
          <w:color w:val="000000" w:themeColor="text1"/>
          <w:szCs w:val="32"/>
          <w14:textFill>
            <w14:solidFill>
              <w14:schemeClr w14:val="tx1"/>
            </w14:solidFill>
          </w14:textFill>
        </w:rPr>
        <w:t>依托魏都投资总公司，利用土地开发、城建配套设施、市政道路等资源，以多种方式引资合作，提高优势资源的开发、经营和利用价值，变资源为资产，不断扩大净资产规模，巩固土地整理、地产开发、金融、园林绿化、公共事业、城市基础设施建设等领域投资优势，形成投入、产出、再投入的良性循环，促进资产不断增值，持续做大做强政府性投融资平台。</w:t>
      </w:r>
    </w:p>
    <w:p>
      <w:pPr>
        <w:widowControl w:val="0"/>
        <w:adjustRightInd w:val="0"/>
        <w:snapToGrid w:val="0"/>
        <w:spacing w:after="0" w:line="560" w:lineRule="exact"/>
        <w:ind w:firstLine="680" w:firstLineChars="200"/>
        <w:jc w:val="both"/>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强化直接融资能力。</w:t>
      </w:r>
      <w:r>
        <w:rPr>
          <w:rFonts w:ascii="Times New Roman" w:hAnsi="Times New Roman" w:eastAsia="仿宋_GB2312"/>
          <w:bCs/>
          <w:color w:val="000000" w:themeColor="text1"/>
          <w:szCs w:val="32"/>
          <w14:textFill>
            <w14:solidFill>
              <w14:schemeClr w14:val="tx1"/>
            </w14:solidFill>
          </w14:textFill>
        </w:rPr>
        <w:t>依托政府性投融资平台，积极引进战略投资者，试点创新安置房建设融资模式，通过包装发行ABS</w:t>
      </w:r>
      <w:r>
        <w:rPr>
          <w:rStyle w:val="13"/>
          <w:rFonts w:ascii="Times New Roman" w:hAnsi="Times New Roman" w:eastAsia="仿宋_GB2312"/>
          <w:bCs/>
          <w:color w:val="000000" w:themeColor="text1"/>
          <w:szCs w:val="32"/>
          <w14:textFill>
            <w14:solidFill>
              <w14:schemeClr w14:val="tx1"/>
            </w14:solidFill>
          </w14:textFill>
        </w:rPr>
        <w:footnoteReference w:id="0"/>
      </w:r>
      <w:r>
        <w:rPr>
          <w:rFonts w:ascii="Times New Roman" w:hAnsi="Times New Roman" w:eastAsia="仿宋_GB2312"/>
          <w:bCs/>
          <w:color w:val="000000" w:themeColor="text1"/>
          <w:szCs w:val="32"/>
          <w14:textFill>
            <w14:solidFill>
              <w14:schemeClr w14:val="tx1"/>
            </w14:solidFill>
          </w14:textFill>
        </w:rPr>
        <w:t>项目收益债进行直接融资。积极开拓投资领</w:t>
      </w:r>
      <w:r>
        <w:rPr>
          <w:rFonts w:ascii="Times New Roman" w:hAnsi="Times New Roman" w:eastAsia="仿宋_GB2312"/>
          <w:color w:val="000000" w:themeColor="text1"/>
          <w:szCs w:val="32"/>
          <w14:textFill>
            <w14:solidFill>
              <w14:schemeClr w14:val="tx1"/>
            </w14:solidFill>
          </w14:textFill>
        </w:rPr>
        <w:t>域，合理确定投资组合，</w:t>
      </w:r>
      <w:r>
        <w:rPr>
          <w:rFonts w:ascii="Times New Roman" w:hAnsi="Times New Roman" w:eastAsia="仿宋_GB2312"/>
          <w:bCs/>
          <w:color w:val="000000" w:themeColor="text1"/>
          <w:szCs w:val="32"/>
          <w14:textFill>
            <w14:solidFill>
              <w14:schemeClr w14:val="tx1"/>
            </w14:solidFill>
          </w14:textFill>
        </w:rPr>
        <w:t>尝试采用金融租赁、信托基金等方式加快创新资本的形成。以优质企业、优质项目为股权投资为重点，促进科技、资本和产业的紧密融合，打造具有实体产业的融资盈利模式，助力魏都区产业快速发展。</w:t>
      </w:r>
    </w:p>
    <w:p>
      <w:pPr>
        <w:pStyle w:val="5"/>
        <w:keepNext w:val="0"/>
        <w:keepLines w:val="0"/>
        <w:widowControl w:val="0"/>
        <w:adjustRightInd w:val="0"/>
        <w:snapToGrid w:val="0"/>
        <w:spacing w:before="297" w:beforeLines="50" w:after="297" w:afterLines="50" w:line="560" w:lineRule="exact"/>
        <w:ind w:firstLine="0" w:firstLineChars="0"/>
      </w:pPr>
      <w:bookmarkStart w:id="100" w:name="_Toc8591"/>
      <w:bookmarkStart w:id="101" w:name="_Toc20024"/>
      <w:r>
        <w:t>第五节  扩内需促消费</w:t>
      </w:r>
      <w:bookmarkEnd w:id="100"/>
      <w:bookmarkEnd w:id="101"/>
    </w:p>
    <w:p>
      <w:pPr>
        <w:widowControl w:val="0"/>
        <w:adjustRightInd w:val="0"/>
        <w:snapToGrid w:val="0"/>
        <w:spacing w:after="0" w:line="560" w:lineRule="exact"/>
        <w:ind w:firstLine="680" w:firstLineChars="200"/>
        <w:rPr>
          <w:rFonts w:ascii="Times New Roman" w:hAnsi="Times New Roman" w:eastAsia="仿宋_GB2312"/>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扩大有效投资。</w:t>
      </w:r>
      <w:r>
        <w:rPr>
          <w:rFonts w:ascii="Times New Roman" w:hAnsi="Times New Roman" w:eastAsia="仿宋_GB2312"/>
          <w:bCs/>
          <w:color w:val="000000" w:themeColor="text1"/>
          <w:szCs w:val="32"/>
          <w14:textFill>
            <w14:solidFill>
              <w14:schemeClr w14:val="tx1"/>
            </w14:solidFill>
          </w14:textFill>
        </w:rPr>
        <w:t>拓展投资空间，优化投资结构，保持投资合理增长，发挥投资在促消费、调结构、增功能、强后劲、促协调的支持作用。提高投资强度，加快补齐基础设施、市政工程、公共安全、生态环保、公共卫生、防灾减灾民生保障等领域短板，加大强基础、增功能、利长远的重大工程和重大项目建设投资。以提高传统产业创新能力和水平重点，鼓励企业加大设备更新和技术改造投资，推动传统产业高端化、智能化、绿色化。扩大新兴产业投资，推动先进制造业发展，增强新产业</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新业态</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新需求</w:t>
      </w:r>
      <w:r>
        <w:rPr>
          <w:rFonts w:hint="eastAsia" w:ascii="Times New Roman" w:hAnsi="Times New Roman" w:eastAsia="仿宋_GB2312"/>
          <w:bCs/>
          <w:color w:val="000000" w:themeColor="text1"/>
          <w:szCs w:val="32"/>
          <w14:textFill>
            <w14:solidFill>
              <w14:schemeClr w14:val="tx1"/>
            </w14:solidFill>
          </w14:textFill>
        </w:rPr>
        <w:t>、</w:t>
      </w:r>
      <w:r>
        <w:rPr>
          <w:rFonts w:ascii="Times New Roman" w:hAnsi="Times New Roman" w:eastAsia="仿宋_GB2312"/>
          <w:bCs/>
          <w:color w:val="000000" w:themeColor="text1"/>
          <w:szCs w:val="32"/>
          <w14:textFill>
            <w14:solidFill>
              <w14:schemeClr w14:val="tx1"/>
            </w14:solidFill>
          </w14:textFill>
        </w:rPr>
        <w:t>新模式的能力。创新政府引导、市场主导的投融资机制，撬动社会资本积极投入基础设施和公共服务领域，激发民间投资活力。</w:t>
      </w:r>
    </w:p>
    <w:p>
      <w:pPr>
        <w:pStyle w:val="2"/>
        <w:widowControl w:val="0"/>
        <w:adjustRightInd w:val="0"/>
        <w:snapToGrid w:val="0"/>
        <w:spacing w:after="0"/>
        <w:ind w:firstLine="680" w:firstLineChars="200"/>
        <w:rPr>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培育新兴消费。</w:t>
      </w:r>
      <w:r>
        <w:rPr>
          <w:bCs/>
          <w:color w:val="000000" w:themeColor="text1"/>
          <w:szCs w:val="32"/>
          <w14:textFill>
            <w14:solidFill>
              <w14:schemeClr w14:val="tx1"/>
            </w14:solidFill>
          </w14:textFill>
        </w:rPr>
        <w:t>推进线上线下融合，积极发展在线下单、无接触配送等</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云经济</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云消费</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新模式，培育网络消费、定制消费、体验消费等消费新热点，推动线下服务消费加速</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触网</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，释放线上经济潜力。</w:t>
      </w:r>
    </w:p>
    <w:p>
      <w:pPr>
        <w:pStyle w:val="2"/>
        <w:widowControl w:val="0"/>
        <w:adjustRightInd w:val="0"/>
        <w:snapToGrid w:val="0"/>
        <w:spacing w:after="0"/>
        <w:ind w:firstLine="680" w:firstLineChars="200"/>
        <w:rPr>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鼓励传统消费。</w:t>
      </w:r>
      <w:r>
        <w:rPr>
          <w:bCs/>
          <w:color w:val="000000" w:themeColor="text1"/>
          <w:szCs w:val="32"/>
          <w14:textFill>
            <w14:solidFill>
              <w14:schemeClr w14:val="tx1"/>
            </w14:solidFill>
          </w14:textFill>
        </w:rPr>
        <w:t>鼓励大型商贸企业在户外特定区域，利用节假日自主开展形式多样的促销活动。支持限上企业开展家电以旧换新活动，积极挖潜新增限上商贸企业，支持发展首店经济。鼓励传统商场改造为多功能、综合性新型消费载体，完善便利店、社区菜市场等便民消费设施，对社区早餐店、家政服务网点、理发店及提供养老、托育服务的生活服务经营场所给予用地、办证、内部改造等方面支持。</w:t>
      </w:r>
    </w:p>
    <w:p>
      <w:pPr>
        <w:pStyle w:val="2"/>
        <w:widowControl w:val="0"/>
        <w:adjustRightInd w:val="0"/>
        <w:snapToGrid w:val="0"/>
        <w:spacing w:after="0"/>
        <w:ind w:firstLine="680" w:firstLineChars="200"/>
        <w:rPr>
          <w:bCs/>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提振特色消费。</w:t>
      </w:r>
      <w:r>
        <w:rPr>
          <w:bCs/>
          <w:color w:val="000000" w:themeColor="text1"/>
          <w:szCs w:val="32"/>
          <w14:textFill>
            <w14:solidFill>
              <w14:schemeClr w14:val="tx1"/>
            </w14:solidFill>
          </w14:textFill>
        </w:rPr>
        <w:t>刺激餐饮消费，鼓励企业弘扬传统特色，创新提升菜品，推介优质特色餐饮。以曹魏古城特色商业街为引领，发展壮大夜间经济和时尚休闲消费。降低健康、养老、育幼、文旅</w:t>
      </w:r>
      <w:r>
        <w:rPr>
          <w:rFonts w:hint="eastAsia"/>
          <w:bCs/>
          <w:color w:val="000000" w:themeColor="text1"/>
          <w:szCs w:val="32"/>
          <w14:textFill>
            <w14:solidFill>
              <w14:schemeClr w14:val="tx1"/>
            </w14:solidFill>
          </w14:textFill>
        </w:rPr>
        <w:t>、</w:t>
      </w:r>
      <w:r>
        <w:rPr>
          <w:bCs/>
          <w:color w:val="000000" w:themeColor="text1"/>
          <w:szCs w:val="32"/>
          <w14:textFill>
            <w14:solidFill>
              <w14:schemeClr w14:val="tx1"/>
            </w14:solidFill>
          </w14:textFill>
        </w:rPr>
        <w:t>体育等服务业准入门槛，推动生活性服务业向高品质和多样化发展。</w:t>
      </w:r>
    </w:p>
    <w:p>
      <w:pPr>
        <w:widowControl w:val="0"/>
        <w:adjustRightInd w:val="0"/>
        <w:snapToGrid w:val="0"/>
        <w:spacing w:after="0" w:line="560" w:lineRule="exact"/>
        <w:ind w:firstLine="680" w:firstLineChars="200"/>
        <w:rPr>
          <w:rFonts w:ascii="仿宋_GB2312" w:hAnsi="仿宋_GB2312" w:eastAsia="仿宋_GB2312" w:cs="仿宋_GB2312"/>
        </w:rPr>
      </w:pPr>
      <w:bookmarkStart w:id="102" w:name="_Toc8181"/>
      <w:bookmarkStart w:id="103" w:name="_Toc29043"/>
      <w:r>
        <w:rPr>
          <w:rFonts w:hint="eastAsia" w:ascii="楷体_GB2312" w:hAnsi="楷体_GB2312" w:eastAsia="楷体_GB2312" w:cs="楷体_GB2312"/>
          <w:b/>
          <w:bCs/>
          <w:color w:val="000000" w:themeColor="text1"/>
          <w:szCs w:val="32"/>
          <w14:textFill>
            <w14:solidFill>
              <w14:schemeClr w14:val="tx1"/>
            </w14:solidFill>
          </w14:textFill>
        </w:rPr>
        <w:t>增强消费能力。</w:t>
      </w:r>
      <w:r>
        <w:rPr>
          <w:rFonts w:hint="eastAsia" w:ascii="仿宋_GB2312" w:hAnsi="仿宋_GB2312" w:eastAsia="仿宋_GB2312" w:cs="仿宋_GB2312"/>
        </w:rPr>
        <w:t>适当增加公共消费，发挥其杠杆作用，激发居民消费意愿，增强消费能力。优化消费市场环境，加大消费者权益保护力度，推进消费领域诚信体系建设，营造安全放心的消费市场环境</w:t>
      </w:r>
      <w:bookmarkStart w:id="104" w:name="_Toc4760"/>
      <w:bookmarkStart w:id="105" w:name="_Toc47930319"/>
      <w:bookmarkStart w:id="106" w:name="_Toc55780671"/>
      <w:bookmarkStart w:id="107" w:name="_Toc13162"/>
      <w:r>
        <w:rPr>
          <w:rFonts w:hint="eastAsia" w:ascii="仿宋_GB2312" w:hAnsi="仿宋_GB2312" w:eastAsia="仿宋_GB2312" w:cs="仿宋_GB2312"/>
        </w:rPr>
        <w:t>。</w:t>
      </w:r>
      <w:bookmarkEnd w:id="102"/>
      <w:bookmarkEnd w:id="103"/>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2"/>
        <w:widowControl w:val="0"/>
        <w:adjustRightInd w:val="0"/>
        <w:snapToGrid w:val="0"/>
        <w:ind w:firstLine="340"/>
      </w:pPr>
    </w:p>
    <w:p>
      <w:pPr>
        <w:pStyle w:val="4"/>
        <w:keepNext w:val="0"/>
        <w:keepLines w:val="0"/>
        <w:widowControl w:val="0"/>
        <w:adjustRightInd w:val="0"/>
        <w:snapToGrid w:val="0"/>
        <w:spacing w:after="0" w:line="600" w:lineRule="exact"/>
      </w:pPr>
      <w:bookmarkStart w:id="108" w:name="_Toc28076"/>
      <w:bookmarkStart w:id="109" w:name="_Toc29774"/>
      <w:r>
        <w:t>第九章  改善人民生活质量，实现人民幸福感获得</w:t>
      </w:r>
      <w:r>
        <w:rPr>
          <w:rFonts w:hint="eastAsia"/>
        </w:rPr>
        <w:t>感</w:t>
      </w:r>
      <w:r>
        <w:t>新提升</w:t>
      </w:r>
      <w:bookmarkEnd w:id="104"/>
      <w:bookmarkEnd w:id="105"/>
      <w:bookmarkEnd w:id="106"/>
      <w:bookmarkEnd w:id="107"/>
      <w:bookmarkEnd w:id="108"/>
      <w:bookmarkEnd w:id="109"/>
    </w:p>
    <w:p>
      <w:pPr>
        <w:widowControl w:val="0"/>
        <w:adjustRightInd w:val="0"/>
        <w:snapToGrid w:val="0"/>
        <w:spacing w:after="0" w:line="590" w:lineRule="exact"/>
        <w:ind w:firstLine="680" w:firstLineChars="200"/>
        <w:rPr>
          <w:rFonts w:ascii="Times New Roman" w:hAnsi="Times New Roman" w:eastAsia="仿宋_GB2312"/>
          <w:color w:val="000000" w:themeColor="text1"/>
          <w:szCs w:val="32"/>
          <w14:textFill>
            <w14:solidFill>
              <w14:schemeClr w14:val="tx1"/>
            </w14:solidFill>
          </w14:textFill>
        </w:rPr>
      </w:pPr>
      <w:bookmarkStart w:id="110" w:name="_Hlk33213038"/>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紧紧围绕满足魏都人民过上更加美好生活的新期待、新要求，办实办好民生实事，健全基本公共服务体系，推动民生福祉达到新高度。</w:t>
      </w:r>
    </w:p>
    <w:p>
      <w:pPr>
        <w:pStyle w:val="5"/>
        <w:keepNext w:val="0"/>
        <w:keepLines w:val="0"/>
        <w:widowControl w:val="0"/>
        <w:adjustRightInd w:val="0"/>
        <w:snapToGrid w:val="0"/>
        <w:spacing w:before="297" w:beforeLines="50" w:after="297" w:afterLines="50" w:line="560" w:lineRule="exact"/>
        <w:ind w:firstLine="0" w:firstLineChars="0"/>
      </w:pPr>
      <w:bookmarkStart w:id="111" w:name="_Toc13351"/>
      <w:bookmarkStart w:id="112" w:name="_Toc20051"/>
      <w:r>
        <w:rPr>
          <w:rFonts w:hint="eastAsia"/>
        </w:rPr>
        <w:t xml:space="preserve">第一节  </w:t>
      </w:r>
      <w:r>
        <w:t>推进更高质量充分就业</w:t>
      </w:r>
      <w:bookmarkEnd w:id="111"/>
      <w:bookmarkEnd w:id="112"/>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强化就业优先政策。</w:t>
      </w:r>
      <w:r>
        <w:rPr>
          <w:rFonts w:ascii="Times New Roman" w:hAnsi="Times New Roman" w:eastAsia="仿宋_GB2312"/>
          <w:color w:val="000000" w:themeColor="text1"/>
          <w:szCs w:val="32"/>
          <w14:textFill>
            <w14:solidFill>
              <w14:schemeClr w14:val="tx1"/>
            </w14:solidFill>
          </w14:textFill>
        </w:rPr>
        <w:t>坚持经济发展就业导向，完善促进创业带动就业、多渠道灵活就业机制，健全就业公共服务体系，营造公平就业环境，解决好魏都区重点企业的高新技术人才需求，满足中、小企业用工需求，重点解决好高校毕业生、退役军人、下岗职工、农民工、返乡人员等重点人群的就业问题，扩大公益性岗位安置，帮扶残疾人、零就业家庭成员就业，让群众就业更充分、工作更稳定。</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促进就业结构优化。</w:t>
      </w:r>
      <w:r>
        <w:rPr>
          <w:rFonts w:ascii="Times New Roman" w:hAnsi="Times New Roman" w:eastAsia="仿宋_GB2312"/>
          <w:color w:val="000000" w:themeColor="text1"/>
          <w:szCs w:val="32"/>
          <w14:textFill>
            <w14:solidFill>
              <w14:schemeClr w14:val="tx1"/>
            </w14:solidFill>
          </w14:textFill>
        </w:rPr>
        <w:t>支持和规范发展新就业形态，完善创业带动就业、多渠道灵活就业保障制度，加强创业孵化示范基地建设，推动创业载体升级。不断提高城乡居民收入水平，坚持居民收入增长和经济增长同步。健全企事业职工工资正常增长机制，落实和完善按要素分配政策制度，多渠道</w:t>
      </w:r>
      <w:r>
        <w:rPr>
          <w:rFonts w:ascii="Times New Roman" w:hAnsi="Times New Roman" w:eastAsia="仿宋_GB2312"/>
          <w:color w:val="000000" w:themeColor="text1"/>
          <w:spacing w:val="-6"/>
          <w:szCs w:val="32"/>
          <w14:textFill>
            <w14:solidFill>
              <w14:schemeClr w14:val="tx1"/>
            </w14:solidFill>
          </w14:textFill>
        </w:rPr>
        <w:t>增加居民经营性收入、工资性收入、财产性收入和转移性收</w:t>
      </w:r>
      <w:r>
        <w:rPr>
          <w:rFonts w:ascii="Times New Roman" w:hAnsi="Times New Roman" w:eastAsia="仿宋_GB2312"/>
          <w:color w:val="000000" w:themeColor="text1"/>
          <w:szCs w:val="32"/>
          <w14:textFill>
            <w14:solidFill>
              <w14:schemeClr w14:val="tx1"/>
            </w14:solidFill>
          </w14:textFill>
        </w:rPr>
        <w:t>入。</w:t>
      </w:r>
    </w:p>
    <w:p>
      <w:pPr>
        <w:pStyle w:val="5"/>
        <w:keepNext w:val="0"/>
        <w:keepLines w:val="0"/>
        <w:widowControl w:val="0"/>
        <w:adjustRightInd w:val="0"/>
        <w:snapToGrid w:val="0"/>
        <w:spacing w:before="297" w:beforeLines="50" w:after="297" w:afterLines="50" w:line="560" w:lineRule="exact"/>
        <w:ind w:firstLine="0" w:firstLineChars="0"/>
      </w:pPr>
      <w:bookmarkStart w:id="113" w:name="_Toc10741"/>
      <w:bookmarkStart w:id="114" w:name="_Toc16350"/>
      <w:r>
        <w:rPr>
          <w:rFonts w:hint="eastAsia"/>
        </w:rPr>
        <w:t xml:space="preserve">第二节  </w:t>
      </w:r>
      <w:r>
        <w:t>加快推进魏都教育现代化</w:t>
      </w:r>
      <w:bookmarkEnd w:id="113"/>
      <w:bookmarkEnd w:id="114"/>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提升魏都教育事业的现代化水平。</w:t>
      </w:r>
      <w:r>
        <w:rPr>
          <w:rFonts w:ascii="Times New Roman" w:hAnsi="Times New Roman" w:eastAsia="仿宋_GB2312"/>
          <w:color w:val="000000" w:themeColor="text1"/>
          <w:szCs w:val="32"/>
          <w14:textFill>
            <w14:solidFill>
              <w14:schemeClr w14:val="tx1"/>
            </w14:solidFill>
          </w14:textFill>
        </w:rPr>
        <w:t>深入实施教育高质量发展新三年攻坚计划，按照国家高等教育办学标准，引进社会资金创办许昌陶瓷学院，实现高校建设零突破。在双创宜居区内引进社会和民间资金规划建设一批高中学校，拟新建和改扩建一批中小学和公办幼儿园，促进义务教育优质均衡发展，推进学前教育优质普惠发展，满足辖区人民群众入学需求。</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构建现代职业教育体系。</w:t>
      </w:r>
      <w:r>
        <w:rPr>
          <w:rFonts w:ascii="Times New Roman" w:hAnsi="Times New Roman" w:eastAsia="仿宋_GB2312"/>
          <w:color w:val="000000" w:themeColor="text1"/>
          <w:szCs w:val="32"/>
          <w14:textFill>
            <w14:solidFill>
              <w14:schemeClr w14:val="tx1"/>
            </w14:solidFill>
          </w14:textFill>
        </w:rPr>
        <w:t>加快构建适应产业升级需求、产教深度融合、灵活开放的现代职业教育体系，在双创宜居示范区内规划建设职业教育中心，依托纪年科技、德通振动、爱彼爱和等知名企业，大力实施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校企合作、产教融合</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育人模式，为智造企业培养生产管理服务一线需要的技术应用型人才。</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纵深推进教育综合改革。</w:t>
      </w:r>
      <w:r>
        <w:rPr>
          <w:rFonts w:ascii="Times New Roman" w:hAnsi="Times New Roman" w:eastAsia="仿宋_GB2312"/>
          <w:color w:val="000000" w:themeColor="text1"/>
          <w:szCs w:val="32"/>
          <w14:textFill>
            <w14:solidFill>
              <w14:schemeClr w14:val="tx1"/>
            </w14:solidFill>
          </w14:textFill>
        </w:rPr>
        <w:t>强力推进校长职级制、教师</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县管校聘</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、集团化办学等重点改革事项，协同推进教科研机制、教育督导机制。深化</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精品学校</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创建，全力打造智慧教育、智慧校园、智慧评价体系，全面加快全区教育信息化2.0进程。</w:t>
      </w:r>
    </w:p>
    <w:p>
      <w:pPr>
        <w:pStyle w:val="5"/>
        <w:keepNext w:val="0"/>
        <w:keepLines w:val="0"/>
        <w:widowControl w:val="0"/>
        <w:adjustRightInd w:val="0"/>
        <w:snapToGrid w:val="0"/>
        <w:spacing w:before="297" w:beforeLines="50" w:after="297" w:afterLines="50" w:line="560" w:lineRule="exact"/>
        <w:ind w:firstLine="0" w:firstLineChars="0"/>
      </w:pPr>
      <w:bookmarkStart w:id="115" w:name="_Toc26033"/>
      <w:bookmarkStart w:id="116" w:name="_Toc22063"/>
      <w:r>
        <w:rPr>
          <w:rFonts w:hint="eastAsia"/>
        </w:rPr>
        <w:t xml:space="preserve">第三节  </w:t>
      </w:r>
      <w:r>
        <w:t>建设健康新魏都</w:t>
      </w:r>
      <w:bookmarkEnd w:id="115"/>
      <w:bookmarkEnd w:id="116"/>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推动医防融合。</w:t>
      </w:r>
      <w:r>
        <w:rPr>
          <w:rFonts w:ascii="Times New Roman" w:hAnsi="Times New Roman" w:eastAsia="仿宋_GB2312"/>
          <w:color w:val="000000" w:themeColor="text1"/>
          <w:szCs w:val="32"/>
          <w14:textFill>
            <w14:solidFill>
              <w14:schemeClr w14:val="tx1"/>
            </w14:solidFill>
          </w14:textFill>
        </w:rPr>
        <w:t>将健康融入城市发展，预防为主、防治结合，构建适应城乡居民健康需求、全生命周期、全人群健康服务体系，推动健康服务从疾病管理向健康管理转变。坚持基本医疗卫生事业公益属性，优化完善疾病预防控制管理体制。</w:t>
      </w:r>
    </w:p>
    <w:p>
      <w:pPr>
        <w:pStyle w:val="3"/>
        <w:widowControl w:val="0"/>
        <w:adjustRightInd w:val="0"/>
        <w:snapToGrid w:val="0"/>
        <w:spacing w:after="0"/>
        <w:ind w:firstLine="683"/>
        <w:jc w:val="both"/>
        <w:rPr>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完善应急体制。</w:t>
      </w:r>
      <w:r>
        <w:rPr>
          <w:color w:val="000000" w:themeColor="text1"/>
          <w:szCs w:val="32"/>
          <w14:textFill>
            <w14:solidFill>
              <w14:schemeClr w14:val="tx1"/>
            </w14:solidFill>
          </w14:textFill>
        </w:rPr>
        <w:t>优化公共卫生应急管理体系运行机制， 增强重大突发公共卫生事件应对处置能力。实施卫生应急能力提升工程，加强应急指挥、实验室检测网络、应急医疗救治、紧急医学救援能力、物资保障体系建设，初步建成统一</w:t>
      </w:r>
      <w:r>
        <w:rPr>
          <w:color w:val="000000" w:themeColor="text1"/>
          <w:spacing w:val="-6"/>
          <w:szCs w:val="32"/>
          <w14:textFill>
            <w14:solidFill>
              <w14:schemeClr w14:val="tx1"/>
            </w14:solidFill>
          </w14:textFill>
        </w:rPr>
        <w:t>指挥、结构合理、反应灵敏、协调有序、运转高效的运行机</w:t>
      </w:r>
      <w:r>
        <w:rPr>
          <w:color w:val="000000" w:themeColor="text1"/>
          <w:szCs w:val="32"/>
          <w14:textFill>
            <w14:solidFill>
              <w14:schemeClr w14:val="tx1"/>
            </w14:solidFill>
          </w14:textFill>
        </w:rPr>
        <w:t>制。</w:t>
      </w:r>
    </w:p>
    <w:p>
      <w:pPr>
        <w:pStyle w:val="3"/>
        <w:widowControl w:val="0"/>
        <w:adjustRightInd w:val="0"/>
        <w:snapToGrid w:val="0"/>
        <w:spacing w:after="0"/>
        <w:ind w:firstLine="683"/>
        <w:jc w:val="both"/>
        <w:rPr>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加强优质医疗资源扩容和均衡布局。</w:t>
      </w:r>
      <w:r>
        <w:rPr>
          <w:color w:val="000000" w:themeColor="text1"/>
          <w:szCs w:val="32"/>
          <w14:textFill>
            <w14:solidFill>
              <w14:schemeClr w14:val="tx1"/>
            </w14:solidFill>
          </w14:textFill>
        </w:rPr>
        <w:t>实施公共卫生服务提质工程，规范化提升区综合医院、社区卫生服务中心（站）建设，全面补齐公共卫生服务能力短板。实施医疗服务提质增效工程，加快推进医联体建设与发展，促进医疗卫生工作重心下移和资源下沉。</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实施中医药传承创新提升工程。</w:t>
      </w:r>
      <w:r>
        <w:rPr>
          <w:rFonts w:ascii="Times New Roman" w:hAnsi="Times New Roman" w:eastAsia="仿宋_GB2312"/>
          <w:color w:val="000000" w:themeColor="text1"/>
          <w:szCs w:val="32"/>
          <w14:textFill>
            <w14:solidFill>
              <w14:schemeClr w14:val="tx1"/>
            </w14:solidFill>
          </w14:textFill>
        </w:rPr>
        <w:t>加强中医药人才队伍建设，持续开展基层中医药人才培养、全科医生培训项目。打造</w:t>
      </w:r>
      <w:r>
        <w:rPr>
          <w:rFonts w:hint="eastAsia" w:ascii="Times New Roman" w:hAnsi="Times New Roman" w:eastAsia="仿宋_GB2312"/>
          <w:color w:val="000000" w:themeColor="text1"/>
          <w:szCs w:val="32"/>
          <w14:textFill>
            <w14:solidFill>
              <w14:schemeClr w14:val="tx1"/>
            </w14:solidFill>
          </w14:textFill>
        </w:rPr>
        <w:t>以</w:t>
      </w:r>
      <w:r>
        <w:rPr>
          <w:rFonts w:ascii="Times New Roman" w:hAnsi="Times New Roman" w:eastAsia="仿宋_GB2312"/>
          <w:color w:val="000000" w:themeColor="text1"/>
          <w:szCs w:val="32"/>
          <w14:textFill>
            <w14:solidFill>
              <w14:schemeClr w14:val="tx1"/>
            </w14:solidFill>
          </w14:textFill>
        </w:rPr>
        <w:t>中医药文化传播和体验为特色的中医药服务体验馆或主题公园、生态廊道、健康步道等中医药宣教基地。让中医药在新时代焕发新活力。实施基层服务能力提升工程，提升</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15分钟健康服务圈</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质量。</w:t>
      </w:r>
    </w:p>
    <w:p>
      <w:pPr>
        <w:pStyle w:val="3"/>
        <w:widowControl w:val="0"/>
        <w:adjustRightInd w:val="0"/>
        <w:snapToGrid w:val="0"/>
        <w:spacing w:after="0"/>
        <w:ind w:firstLine="683"/>
        <w:jc w:val="both"/>
        <w:rPr>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加强健康卫生设施建设。</w:t>
      </w:r>
      <w:r>
        <w:rPr>
          <w:color w:val="000000" w:themeColor="text1"/>
          <w:szCs w:val="32"/>
          <w14:textFill>
            <w14:solidFill>
              <w14:schemeClr w14:val="tx1"/>
            </w14:solidFill>
          </w14:textFill>
        </w:rPr>
        <w:t>巩固提升全国健康促进区、国家慢性病综合防控示范区创建成果，规划建设一批体育场、室外体育活动广场、体育馆、游泳馆（池）、全民健身综合馆和大型体育场馆，在河道湖泊沿岸、滩地建设健身步道，新建或改扩建体育公园，提升</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15分钟健身圈</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质量。积极营造全民健身氛围，广泛开展全民健身活动和赛事活动，提高人民群众身体素质。</w:t>
      </w:r>
    </w:p>
    <w:p>
      <w:pPr>
        <w:pStyle w:val="5"/>
        <w:keepNext w:val="0"/>
        <w:keepLines w:val="0"/>
        <w:widowControl w:val="0"/>
        <w:adjustRightInd w:val="0"/>
        <w:snapToGrid w:val="0"/>
        <w:spacing w:before="297" w:beforeLines="50" w:after="297" w:afterLines="50" w:line="560" w:lineRule="exact"/>
        <w:ind w:firstLine="0" w:firstLineChars="0"/>
      </w:pPr>
      <w:bookmarkStart w:id="117" w:name="_Toc25476"/>
      <w:bookmarkStart w:id="118" w:name="_Toc8718"/>
      <w:r>
        <w:rPr>
          <w:rFonts w:hint="eastAsia"/>
        </w:rPr>
        <w:t xml:space="preserve">第四节  </w:t>
      </w:r>
      <w:r>
        <w:t>建成现代化养老体系</w:t>
      </w:r>
      <w:bookmarkEnd w:id="117"/>
      <w:bookmarkEnd w:id="118"/>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完善基层养老服务体系。</w:t>
      </w:r>
      <w:r>
        <w:rPr>
          <w:rFonts w:ascii="Times New Roman" w:hAnsi="Times New Roman" w:eastAsia="仿宋_GB2312"/>
          <w:color w:val="000000" w:themeColor="text1"/>
          <w:szCs w:val="32"/>
          <w14:textFill>
            <w14:solidFill>
              <w14:schemeClr w14:val="tx1"/>
            </w14:solidFill>
          </w14:textFill>
        </w:rPr>
        <w:t>积极应对人口老龄化，全面建成以</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居家为基础、社区为依托、机构为补充、医养相结合</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的覆盖全区的现代社会养老服务体系，满足不同层次的养老服务需求。将社区居家养老服务设施建设纳入社区配套用房建设范围，街道办事处综合养老服务中心全覆盖，生活照料、医疗护理、精神慰藉、紧急救援等基本养老服务覆盖所有居家老年人。</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推进养老产业融合发展。</w:t>
      </w:r>
      <w:r>
        <w:rPr>
          <w:rFonts w:ascii="Times New Roman" w:hAnsi="Times New Roman" w:eastAsia="仿宋_GB2312"/>
          <w:color w:val="000000" w:themeColor="text1"/>
          <w:szCs w:val="32"/>
          <w14:textFill>
            <w14:solidFill>
              <w14:schemeClr w14:val="tx1"/>
            </w14:solidFill>
          </w14:textFill>
        </w:rPr>
        <w:t>大力发展养老服务业，实现养老与医疗、家政、保险、教育、健身、旅游等相关领域互动发展，吸引更多社会力量投入。</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发展智慧养老。</w:t>
      </w:r>
      <w:r>
        <w:rPr>
          <w:rFonts w:ascii="Times New Roman" w:hAnsi="Times New Roman" w:eastAsia="仿宋_GB2312"/>
          <w:color w:val="000000" w:themeColor="text1"/>
          <w:szCs w:val="32"/>
          <w14:textFill>
            <w14:solidFill>
              <w14:schemeClr w14:val="tx1"/>
            </w14:solidFill>
          </w14:textFill>
        </w:rPr>
        <w:t>加快推进智慧养老服务项目，建设智慧养老应用示范基地，构建智慧养老服务网络，推动</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互联网＋应用</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与养老服务深度融合，打造魏都区多层次、普惠型、广覆盖的</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智慧健康养老服务体系</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w:t>
      </w:r>
    </w:p>
    <w:p>
      <w:pPr>
        <w:pStyle w:val="5"/>
        <w:keepNext w:val="0"/>
        <w:keepLines w:val="0"/>
        <w:widowControl w:val="0"/>
        <w:adjustRightInd w:val="0"/>
        <w:snapToGrid w:val="0"/>
        <w:spacing w:before="297" w:beforeLines="50" w:after="297" w:afterLines="50" w:line="560" w:lineRule="exact"/>
        <w:ind w:firstLine="0" w:firstLineChars="0"/>
      </w:pPr>
      <w:bookmarkStart w:id="119" w:name="_Toc16419"/>
      <w:bookmarkStart w:id="120" w:name="_Toc8301"/>
      <w:r>
        <w:rPr>
          <w:rFonts w:hint="eastAsia"/>
        </w:rPr>
        <w:t xml:space="preserve">第五节  </w:t>
      </w:r>
      <w:r>
        <w:t>完善覆盖全民的社会保障体系</w:t>
      </w:r>
      <w:bookmarkEnd w:id="119"/>
      <w:bookmarkEnd w:id="120"/>
    </w:p>
    <w:p>
      <w:pPr>
        <w:pStyle w:val="16"/>
        <w:widowControl w:val="0"/>
        <w:adjustRightInd w:val="0"/>
        <w:snapToGrid w:val="0"/>
        <w:spacing w:after="0" w:line="560" w:lineRule="exact"/>
        <w:ind w:left="0" w:leftChars="0" w:firstLine="68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积极落实国家社会保险有关政策，继续扩大社会保险覆盖面，逐步实现</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人人享有社会保险</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。坚持</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房用不炒</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定位，促进房地产市场平稳健康发展。完善基本养老保险制度，促进基本养老保险基金长期平衡。建立新型社会救助体系，加强低保动态管理，完善低保标准与物价上涨挂钩的联动机制。加大临时救助力度，在街道办事处设立临时救助储备金。强化残疾人福利保障，持续做好残疾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两补</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工作。健全留守儿童和困境儿童关爱服务体系，提升未成年人救助保护机构服务能力。加快推进街道办事处救助管理所、社区救助服务点的建设，实现对流浪乞讨工作全覆盖。全面落实慈善法，健全魏都慈善总会运作机制，规划化、制度化、透明化提升慈善资金的接受、管理和使用全过程，充分发挥慈善资金济难救困的作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adjustRightInd w:val="0"/>
              <w:snapToGrid w:val="0"/>
              <w:spacing w:after="0" w:line="510" w:lineRule="exact"/>
              <w:jc w:val="center"/>
              <w:rPr>
                <w:rFonts w:ascii="黑体" w:hAnsi="黑体" w:eastAsia="黑体" w:cs="黑体"/>
                <w:bCs/>
                <w:color w:val="000000" w:themeColor="text1"/>
                <w:kern w:val="2"/>
                <w:sz w:val="28"/>
                <w:szCs w:val="28"/>
                <w14:textFill>
                  <w14:solidFill>
                    <w14:schemeClr w14:val="tx1"/>
                  </w14:solidFill>
                </w14:textFill>
              </w:rPr>
            </w:pPr>
            <w:r>
              <w:rPr>
                <w:rFonts w:ascii="黑体" w:hAnsi="黑体" w:eastAsia="黑体" w:cs="黑体"/>
                <w:bCs/>
                <w:color w:val="000000" w:themeColor="text1"/>
                <w:kern w:val="2"/>
                <w:sz w:val="28"/>
                <w:szCs w:val="28"/>
                <w14:textFill>
                  <w14:solidFill>
                    <w14:schemeClr w14:val="tx1"/>
                  </w14:solidFill>
                </w14:textFill>
              </w:rPr>
              <w:t>专栏</w:t>
            </w:r>
            <w:r>
              <w:rPr>
                <w:rFonts w:hint="eastAsia" w:ascii="Times New Roman" w:hAnsi="Times New Roman" w:eastAsia="黑体" w:cs="黑体"/>
                <w:bCs/>
                <w:color w:val="000000" w:themeColor="text1"/>
                <w:kern w:val="2"/>
                <w:sz w:val="28"/>
                <w:szCs w:val="28"/>
                <w14:textFill>
                  <w14:solidFill>
                    <w14:schemeClr w14:val="tx1"/>
                  </w14:solidFill>
                </w14:textFill>
              </w:rPr>
              <w:t>8</w:t>
            </w:r>
            <w:r>
              <w:rPr>
                <w:rFonts w:ascii="黑体" w:hAnsi="黑体" w:eastAsia="黑体" w:cs="黑体"/>
                <w:bCs/>
                <w:color w:val="000000" w:themeColor="text1"/>
                <w:kern w:val="2"/>
                <w:sz w:val="28"/>
                <w:szCs w:val="28"/>
                <w14:textFill>
                  <w14:solidFill>
                    <w14:schemeClr w14:val="tx1"/>
                  </w14:solidFill>
                </w14:textFill>
              </w:rPr>
              <w:t xml:space="preserve"> 社会事业项目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6"/>
              <w:widowControl w:val="0"/>
              <w:adjustRightInd w:val="0"/>
              <w:snapToGrid w:val="0"/>
              <w:spacing w:after="0" w:line="520" w:lineRule="exact"/>
              <w:ind w:left="0" w:leftChars="0" w:firstLine="602"/>
              <w:rPr>
                <w:rFonts w:ascii="Times New Roman" w:hAnsi="Times New Roman" w:eastAsia="楷体_GB2312"/>
                <w:color w:val="000000" w:themeColor="text1"/>
                <w:sz w:val="28"/>
                <w:szCs w:val="28"/>
                <w14:textFill>
                  <w14:solidFill>
                    <w14:schemeClr w14:val="tx1"/>
                  </w14:solidFill>
                </w14:textFill>
              </w:rPr>
            </w:pPr>
            <w:r>
              <w:rPr>
                <w:rFonts w:ascii="Times New Roman" w:hAnsi="Times New Roman" w:eastAsia="楷体_GB2312"/>
                <w:b/>
                <w:bCs/>
                <w:color w:val="000000" w:themeColor="text1"/>
                <w:sz w:val="28"/>
                <w:szCs w:val="28"/>
                <w14:textFill>
                  <w14:solidFill>
                    <w14:schemeClr w14:val="tx1"/>
                  </w14:solidFill>
                </w14:textFill>
              </w:rPr>
              <w:t>新建项目：</w:t>
            </w:r>
            <w:r>
              <w:rPr>
                <w:rFonts w:ascii="Times New Roman" w:hAnsi="Times New Roman" w:eastAsia="楷体_GB2312"/>
                <w:color w:val="000000" w:themeColor="text1"/>
                <w:sz w:val="28"/>
                <w:szCs w:val="28"/>
                <w14:textFill>
                  <w14:solidFill>
                    <w14:schemeClr w14:val="tx1"/>
                  </w14:solidFill>
                </w14:textFill>
              </w:rPr>
              <w:t>灞陵办事处康复养老中心、魏都区应急物资储备库、樊沟文化综合体、许昌百康园养老养生国际城、魏都区人民法院审判法庭（一期）、文峰路小学、魏都区户外活动设施项目、魏都区学前教育集团项目、魏都区新建学校操场地下空间综合利用项目、许昌市人民医院门诊东楼新建项目</w:t>
            </w:r>
          </w:p>
          <w:p>
            <w:pPr>
              <w:pStyle w:val="16"/>
              <w:widowControl w:val="0"/>
              <w:adjustRightInd w:val="0"/>
              <w:snapToGrid w:val="0"/>
              <w:spacing w:after="0" w:line="520" w:lineRule="exact"/>
              <w:ind w:left="0" w:leftChars="0" w:firstLine="602"/>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楷体_GB2312"/>
                <w:b/>
                <w:bCs/>
                <w:color w:val="000000" w:themeColor="text1"/>
                <w:sz w:val="28"/>
                <w:szCs w:val="28"/>
                <w14:textFill>
                  <w14:solidFill>
                    <w14:schemeClr w14:val="tx1"/>
                  </w14:solidFill>
                </w14:textFill>
              </w:rPr>
              <w:t>续建项目：</w:t>
            </w:r>
            <w:r>
              <w:rPr>
                <w:rFonts w:ascii="Times New Roman" w:hAnsi="Times New Roman" w:eastAsia="楷体_GB2312"/>
                <w:color w:val="000000" w:themeColor="text1"/>
                <w:sz w:val="28"/>
                <w:szCs w:val="28"/>
                <w14:textFill>
                  <w14:solidFill>
                    <w14:schemeClr w14:val="tx1"/>
                  </w14:solidFill>
                </w14:textFill>
              </w:rPr>
              <w:t>许昌市优乐养怡园医养结合养老项目</w:t>
            </w:r>
          </w:p>
        </w:tc>
      </w:tr>
    </w:tbl>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bookmarkStart w:id="121" w:name="_Toc29779"/>
      <w:bookmarkStart w:id="122" w:name="_Toc25394"/>
      <w:bookmarkStart w:id="123" w:name="_Toc55780672"/>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outlineLvl w:val="0"/>
        <w:rPr>
          <w:rFonts w:ascii="Times New Roman" w:hAnsi="Times New Roman" w:eastAsia="黑体" w:cs="Times New Roman"/>
          <w:color w:val="000000" w:themeColor="text1"/>
          <w14:textFill>
            <w14:solidFill>
              <w14:schemeClr w14:val="tx1"/>
            </w14:solidFill>
          </w14:textFill>
        </w:rPr>
      </w:pPr>
    </w:p>
    <w:p>
      <w:pPr>
        <w:pStyle w:val="4"/>
        <w:keepNext w:val="0"/>
        <w:keepLines w:val="0"/>
        <w:widowControl w:val="0"/>
        <w:adjustRightInd w:val="0"/>
        <w:snapToGrid w:val="0"/>
        <w:spacing w:after="0" w:line="600" w:lineRule="exact"/>
      </w:pPr>
      <w:bookmarkStart w:id="124" w:name="_Toc5129"/>
      <w:bookmarkStart w:id="125" w:name="_Toc11379"/>
      <w:r>
        <w:t>第十章  统筹做好发展和安全，</w:t>
      </w:r>
      <w:bookmarkEnd w:id="121"/>
      <w:r>
        <w:t>构建现代</w:t>
      </w:r>
      <w:bookmarkEnd w:id="124"/>
    </w:p>
    <w:p>
      <w:pPr>
        <w:pStyle w:val="4"/>
        <w:keepNext w:val="0"/>
        <w:keepLines w:val="0"/>
        <w:widowControl w:val="0"/>
        <w:adjustRightInd w:val="0"/>
        <w:snapToGrid w:val="0"/>
        <w:spacing w:after="0" w:line="600" w:lineRule="exact"/>
      </w:pPr>
      <w:bookmarkStart w:id="126" w:name="_Toc28413"/>
      <w:r>
        <w:t>社会治理新格局</w:t>
      </w:r>
      <w:bookmarkEnd w:id="122"/>
      <w:bookmarkEnd w:id="123"/>
      <w:bookmarkEnd w:id="125"/>
      <w:bookmarkEnd w:id="126"/>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积极探索和创新更高质量、更高层次、更加科学的社会治理模式，加强安全体系和能力建设，防范和化解各种风险，建设更高水平的</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和谐魏都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和</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平安魏都</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w:t>
      </w:r>
      <w:bookmarkStart w:id="127" w:name="_Toc5036"/>
    </w:p>
    <w:p>
      <w:pPr>
        <w:pStyle w:val="5"/>
        <w:keepNext w:val="0"/>
        <w:keepLines w:val="0"/>
        <w:widowControl w:val="0"/>
        <w:adjustRightInd w:val="0"/>
        <w:snapToGrid w:val="0"/>
        <w:spacing w:before="297" w:beforeLines="50" w:after="297" w:afterLines="50" w:line="560" w:lineRule="exact"/>
        <w:ind w:firstLine="0" w:firstLineChars="0"/>
      </w:pPr>
      <w:bookmarkStart w:id="128" w:name="_Toc30456"/>
      <w:r>
        <w:rPr>
          <w:rFonts w:hint="eastAsia"/>
        </w:rPr>
        <w:t xml:space="preserve">第一节  </w:t>
      </w:r>
      <w:r>
        <w:t>全面推进法治建设</w:t>
      </w:r>
      <w:bookmarkEnd w:id="127"/>
      <w:bookmarkEnd w:id="128"/>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深入贯彻落实习近平法治思想，充分发挥法治在治理能力现代化中的重要作用，切实维护社会公平正义。坚持党领导立法、保证执法、支持司法、带头守法，支持区人大、政府、政协、</w:t>
      </w:r>
      <w:r>
        <w:rPr>
          <w:rFonts w:hint="eastAsia" w:ascii="Times New Roman" w:hAnsi="Times New Roman" w:eastAsia="仿宋_GB2312"/>
          <w:color w:val="000000" w:themeColor="text1"/>
          <w:szCs w:val="32"/>
          <w14:textFill>
            <w14:solidFill>
              <w14:schemeClr w14:val="tx1"/>
            </w14:solidFill>
          </w14:textFill>
        </w:rPr>
        <w:t>纪律</w:t>
      </w:r>
      <w:r>
        <w:rPr>
          <w:rFonts w:ascii="Times New Roman" w:hAnsi="Times New Roman" w:eastAsia="仿宋_GB2312"/>
          <w:color w:val="000000" w:themeColor="text1"/>
          <w:szCs w:val="32"/>
          <w14:textFill>
            <w14:solidFill>
              <w14:schemeClr w14:val="tx1"/>
            </w14:solidFill>
          </w14:textFill>
        </w:rPr>
        <w:t>监察、法院、检察院依法依章程履行职责。加快法治政府建设，健全执法、司法、法律服务衔接配套的综合服务保障体系，积极营造一流的法治化营商环境。</w:t>
      </w:r>
      <w:r>
        <w:rPr>
          <w:rFonts w:ascii="Times New Roman" w:hAnsi="Times New Roman" w:eastAsia="仿宋_GB2312"/>
          <w:color w:val="000000" w:themeColor="text1"/>
          <w:szCs w:val="32"/>
          <w:shd w:val="clear" w:color="auto" w:fill="FFFFFF"/>
          <w14:textFill>
            <w14:solidFill>
              <w14:schemeClr w14:val="tx1"/>
            </w14:solidFill>
          </w14:textFill>
        </w:rPr>
        <w:t>抓好</w:t>
      </w:r>
      <w:r>
        <w:rPr>
          <w:rFonts w:hint="eastAsia" w:ascii="Times New Roman" w:hAnsi="Times New Roman" w:eastAsia="仿宋_GB2312"/>
          <w:color w:val="000000" w:themeColor="text1"/>
          <w:szCs w:val="32"/>
          <w:shd w:val="clear" w:color="auto" w:fill="FFFFFF"/>
          <w14:textFill>
            <w14:solidFill>
              <w14:schemeClr w14:val="tx1"/>
            </w14:solidFill>
          </w14:textFill>
        </w:rPr>
        <w:t>“</w:t>
      </w:r>
      <w:r>
        <w:rPr>
          <w:rFonts w:ascii="Times New Roman" w:hAnsi="Times New Roman" w:eastAsia="仿宋_GB2312"/>
          <w:color w:val="000000" w:themeColor="text1"/>
          <w:szCs w:val="32"/>
          <w:shd w:val="clear" w:color="auto" w:fill="FFFFFF"/>
          <w14:textFill>
            <w14:solidFill>
              <w14:schemeClr w14:val="tx1"/>
            </w14:solidFill>
          </w14:textFill>
        </w:rPr>
        <w:t>八五</w:t>
      </w:r>
      <w:r>
        <w:rPr>
          <w:rFonts w:hint="eastAsia" w:ascii="Times New Roman" w:hAnsi="Times New Roman" w:eastAsia="仿宋_GB2312"/>
          <w:color w:val="000000" w:themeColor="text1"/>
          <w:szCs w:val="32"/>
          <w:shd w:val="clear" w:color="auto" w:fill="FFFFFF"/>
          <w14:textFill>
            <w14:solidFill>
              <w14:schemeClr w14:val="tx1"/>
            </w14:solidFill>
          </w14:textFill>
        </w:rPr>
        <w:t>”</w:t>
      </w:r>
      <w:r>
        <w:rPr>
          <w:rFonts w:ascii="Times New Roman" w:hAnsi="Times New Roman" w:eastAsia="仿宋_GB2312"/>
          <w:color w:val="000000" w:themeColor="text1"/>
          <w:szCs w:val="32"/>
          <w:shd w:val="clear" w:color="auto" w:fill="FFFFFF"/>
          <w14:textFill>
            <w14:solidFill>
              <w14:schemeClr w14:val="tx1"/>
            </w14:solidFill>
          </w14:textFill>
        </w:rPr>
        <w:t>普法规划的制定和组织实施，</w:t>
      </w:r>
      <w:r>
        <w:rPr>
          <w:rFonts w:ascii="Times New Roman" w:hAnsi="Times New Roman" w:eastAsia="仿宋_GB2312"/>
          <w:bCs/>
          <w:color w:val="000000" w:themeColor="text1"/>
          <w:szCs w:val="32"/>
          <w14:textFill>
            <w14:solidFill>
              <w14:schemeClr w14:val="tx1"/>
            </w14:solidFill>
          </w14:textFill>
        </w:rPr>
        <w:t>进一步降低法律援助门槛，继续扩大法律援助覆盖面</w:t>
      </w:r>
      <w:r>
        <w:rPr>
          <w:rFonts w:ascii="Times New Roman" w:hAnsi="Times New Roman" w:eastAsia="仿宋_GB2312"/>
          <w:color w:val="000000" w:themeColor="text1"/>
          <w:szCs w:val="32"/>
          <w:shd w:val="clear" w:color="auto" w:fill="FFFFFF"/>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深化司法体制改革，努力让人民群众在每个司法案件中都能感受到公平正义。加强法治社会建设，建立健全尊法、学法、守法、用法制度，弘扬社会主义法治精神。</w:t>
      </w:r>
    </w:p>
    <w:p>
      <w:pPr>
        <w:pStyle w:val="5"/>
        <w:keepNext w:val="0"/>
        <w:keepLines w:val="0"/>
        <w:widowControl w:val="0"/>
        <w:adjustRightInd w:val="0"/>
        <w:snapToGrid w:val="0"/>
        <w:spacing w:before="297" w:beforeLines="50" w:after="297" w:afterLines="50" w:line="560" w:lineRule="exact"/>
        <w:ind w:firstLine="0" w:firstLineChars="0"/>
      </w:pPr>
      <w:bookmarkStart w:id="129" w:name="_Toc9719"/>
      <w:bookmarkStart w:id="130" w:name="_Toc374"/>
      <w:r>
        <w:rPr>
          <w:rFonts w:hint="eastAsia"/>
        </w:rPr>
        <w:t xml:space="preserve">第二节  </w:t>
      </w:r>
      <w:r>
        <w:t>加强社会治理创新</w:t>
      </w:r>
      <w:bookmarkEnd w:id="129"/>
      <w:bookmarkEnd w:id="130"/>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进一步理顺社会治理体制机制，擦亮</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全国社区治理和服务创新试验区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金</w:t>
      </w:r>
      <w:r>
        <w:rPr>
          <w:rFonts w:hint="eastAsia" w:ascii="Times New Roman" w:hAnsi="Times New Roman" w:eastAsia="仿宋_GB2312"/>
          <w:color w:val="000000" w:themeColor="text1"/>
          <w:szCs w:val="32"/>
          <w14:textFill>
            <w14:solidFill>
              <w14:schemeClr w14:val="tx1"/>
            </w14:solidFill>
          </w14:textFill>
        </w:rPr>
        <w:t>字</w:t>
      </w:r>
      <w:r>
        <w:rPr>
          <w:rFonts w:ascii="Times New Roman" w:hAnsi="Times New Roman" w:eastAsia="仿宋_GB2312"/>
          <w:color w:val="000000" w:themeColor="text1"/>
          <w:szCs w:val="32"/>
          <w14:textFill>
            <w14:solidFill>
              <w14:schemeClr w14:val="tx1"/>
            </w14:solidFill>
          </w14:textFill>
        </w:rPr>
        <w:t>招牌，保持我区社会治理工作始终走在全省、全市前列。推动城市治理重心向基层下移，向基层放权赋能，进一步理顺魏都市民之家、区直部门和各街道办事处的治理事权职责，构建权责明确、服务为先、管理优化、执法规范、安全有序的社会治理体制。进一步健全</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党建引领</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的自治、法治、德治相融合的基层治理体系，建设人人有责、人人尽责、人人享有的社会治理共同体，实现政府治理和社会调节、居民自治的良性互动。发挥群团组织和社会组织作用，畅通和规范市场主体、新社会阶层、社会工作者和志愿者等参与社会治理途径。</w:t>
      </w:r>
    </w:p>
    <w:p>
      <w:pPr>
        <w:pStyle w:val="5"/>
        <w:keepNext w:val="0"/>
        <w:keepLines w:val="0"/>
        <w:widowControl w:val="0"/>
        <w:adjustRightInd w:val="0"/>
        <w:snapToGrid w:val="0"/>
        <w:spacing w:before="297" w:beforeLines="50" w:after="297" w:afterLines="50" w:line="560" w:lineRule="exact"/>
        <w:ind w:firstLine="0" w:firstLineChars="0"/>
      </w:pPr>
      <w:bookmarkStart w:id="131" w:name="_Toc5611"/>
      <w:bookmarkStart w:id="132" w:name="_Toc20444"/>
      <w:r>
        <w:rPr>
          <w:rFonts w:hint="eastAsia"/>
        </w:rPr>
        <w:t xml:space="preserve">第三节  </w:t>
      </w:r>
      <w:r>
        <w:t>维护社会大局稳定</w:t>
      </w:r>
      <w:bookmarkEnd w:id="131"/>
      <w:bookmarkEnd w:id="132"/>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围绕实现</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信访总量明显下降、信访秩序明显好转、群众满意度持续提升</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三大目标，畅通和规范群众诉求表达、利益协调、权益保障通道，完善信访制度，完善各类调解联动工作体系，构建源头防控、排查梳理、纠纷化解、应急处置的社会矛盾综合治理机制，着力解决群众反映强烈的征迁改造、劳动纠纷、非法集资、问题楼盘等突出问题，把矛盾纠纷化解在基层、消除在萌芽状态。依法规范信访秩序，结合大数据应用，最大限度减少进京赴省上访和非正常上访，坚决防止发生影响社会稳定的重大信访问题和群体性事件。深化拓展新时代文明实践站建设，把实践站建设成为开展特色志愿服务的广阔舞台，通过深入细致、暖心贴心的服务，把党的声音和温暖传递给群众，引导和动员群众自我教育、自我服务、自我提升，不断增强群众的获得感满意度。坚持专群结合、群防群治，加强社会治安防控体系建设，为全区经济社会健康发展</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营造和谐稳定的社会环境。</w:t>
      </w:r>
    </w:p>
    <w:p>
      <w:pPr>
        <w:pStyle w:val="5"/>
        <w:keepNext w:val="0"/>
        <w:keepLines w:val="0"/>
        <w:widowControl w:val="0"/>
        <w:adjustRightInd w:val="0"/>
        <w:snapToGrid w:val="0"/>
        <w:spacing w:before="297" w:beforeLines="50" w:after="297" w:afterLines="50" w:line="560" w:lineRule="exact"/>
        <w:ind w:firstLine="0" w:firstLineChars="0"/>
      </w:pPr>
      <w:bookmarkStart w:id="133" w:name="_Toc19060"/>
      <w:r>
        <w:rPr>
          <w:rFonts w:hint="eastAsia"/>
        </w:rPr>
        <w:t xml:space="preserve">第四节 </w:t>
      </w:r>
      <w:r>
        <w:t xml:space="preserve"> 筑牢</w:t>
      </w:r>
      <w:bookmarkEnd w:id="110"/>
      <w:r>
        <w:t>安全发展防线</w:t>
      </w:r>
      <w:bookmarkEnd w:id="133"/>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bookmarkStart w:id="134" w:name="_Toc11164"/>
      <w:r>
        <w:rPr>
          <w:rFonts w:hint="eastAsia" w:ascii="楷体_GB2312" w:hAnsi="楷体_GB2312" w:eastAsia="楷体_GB2312" w:cs="楷体_GB2312"/>
          <w:b/>
          <w:bCs/>
          <w:color w:val="000000" w:themeColor="text1"/>
          <w:szCs w:val="32"/>
          <w14:textFill>
            <w14:solidFill>
              <w14:schemeClr w14:val="tx1"/>
            </w14:solidFill>
          </w14:textFill>
        </w:rPr>
        <w:t>保障城市运营安全。</w:t>
      </w:r>
      <w:r>
        <w:rPr>
          <w:rFonts w:ascii="Times New Roman" w:hAnsi="Times New Roman" w:eastAsia="仿宋_GB2312"/>
          <w:color w:val="000000" w:themeColor="text1"/>
          <w:szCs w:val="32"/>
          <w14:textFill>
            <w14:solidFill>
              <w14:schemeClr w14:val="tx1"/>
            </w14:solidFill>
          </w14:textFill>
        </w:rPr>
        <w:t>坚决捍卫政治安全，把维护政权安全、制度安全、意识形态安全放在首位。加强经济领域安全风险预警、防控机制和能力建设，确保产业链</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供应链稳定可控，探索建立</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链长制</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。加强社会治安综合治理，构建人防、物防、技防相结合的立体化、现代化治安防控体系，健全</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雪亮工程</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网络和运行机制，推动扫黑除恶常态化，坚决防范和打击暴力恐怖、黑恶势力、新型网络犯罪和跨国犯罪，深入开展平安创建活动。</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加强网络空间综合治理。</w:t>
      </w:r>
      <w:r>
        <w:rPr>
          <w:rFonts w:ascii="Times New Roman" w:hAnsi="Times New Roman" w:eastAsia="仿宋_GB2312"/>
          <w:color w:val="000000" w:themeColor="text1"/>
          <w:szCs w:val="32"/>
          <w14:textFill>
            <w14:solidFill>
              <w14:schemeClr w14:val="tx1"/>
            </w14:solidFill>
          </w14:textFill>
        </w:rPr>
        <w:t>统筹推进网络生态治理和网络安全保障体系建设，扎实推进基础信息化工作和警务大数据工作。加强和改进食品药品安全监管，健全食品药品监管体制机制，不断扩大药品、医疗器械、化妆品等不良反应监测网络，建立健全预警机制，提升应对突发、严重群体药械化不良事件处置能力。加强城市安全保障，维护水利、电力、</w:t>
      </w:r>
      <w:r>
        <w:rPr>
          <w:rFonts w:ascii="Times New Roman" w:hAnsi="Times New Roman" w:eastAsia="仿宋_GB2312"/>
          <w:color w:val="000000" w:themeColor="text1"/>
          <w:spacing w:val="-6"/>
          <w:szCs w:val="32"/>
          <w14:textFill>
            <w14:solidFill>
              <w14:schemeClr w14:val="tx1"/>
            </w14:solidFill>
          </w14:textFill>
        </w:rPr>
        <w:t xml:space="preserve">供水、油气、交通、通信、网络、金融、地下空间等重要基础设施安全。加强公安监管、强制戒毒、社区矫正等场所建设。 </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加强安全生产管理。</w:t>
      </w:r>
      <w:r>
        <w:rPr>
          <w:rFonts w:ascii="Times New Roman" w:hAnsi="Times New Roman" w:eastAsia="仿宋_GB2312"/>
          <w:color w:val="000000" w:themeColor="text1"/>
          <w:szCs w:val="32"/>
          <w14:textFill>
            <w14:solidFill>
              <w14:schemeClr w14:val="tx1"/>
            </w14:solidFill>
          </w14:textFill>
        </w:rPr>
        <w:t>依托</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智慧城市</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系统，完成相关单位、企业基础数据采集录入等工作，完善风险监测数据库，形成</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人防+技防</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的科技化信息系统。严格落实安全生产企业主体责任制，全面推进安全生产风险隐患双重预防体系建设，推行特种设备生产</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使用</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经营单位安全管理标准化。树牢安全发展理念，加强重点企业及其从业人员的安全意识与安全文化教育培训。开展安全发展示范城市创建工作，打造城市安全管理品牌，提高城市安全风险管控能力。</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加强应急管理体系和能力建设。</w:t>
      </w:r>
      <w:r>
        <w:rPr>
          <w:rFonts w:ascii="Times New Roman" w:hAnsi="Times New Roman" w:eastAsia="仿宋_GB2312"/>
          <w:color w:val="000000" w:themeColor="text1"/>
          <w:szCs w:val="32"/>
          <w14:textFill>
            <w14:solidFill>
              <w14:schemeClr w14:val="tx1"/>
            </w14:solidFill>
          </w14:textFill>
        </w:rPr>
        <w:t>完善应急管理组织体系、完善应急管理预案体系并强化应急演练，提升应急救援实战能力，加强专业应急救援队伍建设，支持社会救援力量发展。建设魏都区应急救灾物资储备库，提升综合救援和物资保障能力。加大新型应急救援专业装备的引入，强化应急装备与</w:t>
      </w:r>
      <w:r>
        <w:rPr>
          <w:rFonts w:ascii="Times New Roman" w:hAnsi="Times New Roman" w:eastAsia="仿宋_GB2312"/>
          <w:color w:val="000000" w:themeColor="text1"/>
          <w:szCs w:val="32"/>
          <w:shd w:val="clear" w:color="auto" w:fill="FFFFFF"/>
          <w14:textFill>
            <w14:solidFill>
              <w14:schemeClr w14:val="tx1"/>
            </w14:solidFill>
          </w14:textFill>
        </w:rPr>
        <w:t>设施的培训与应用。开展自然灾害综合风险普查，提升自然灾害防治能力。</w:t>
      </w:r>
      <w:r>
        <w:rPr>
          <w:rFonts w:ascii="Times New Roman" w:hAnsi="Times New Roman" w:eastAsia="仿宋_GB2312"/>
          <w:color w:val="000000" w:themeColor="text1"/>
          <w:szCs w:val="32"/>
          <w14:textFill>
            <w14:solidFill>
              <w14:schemeClr w14:val="tx1"/>
            </w14:solidFill>
          </w14:textFill>
        </w:rPr>
        <w:t xml:space="preserve">加强公共应急避难场所建设，发挥好人防疏散基地和地下防护工程的应急避难功能。 </w:t>
      </w:r>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楷体_GB2312" w:hAnsi="楷体_GB2312" w:eastAsia="楷体_GB2312" w:cs="楷体_GB2312"/>
          <w:b/>
          <w:bCs/>
          <w:color w:val="000000" w:themeColor="text1"/>
          <w:szCs w:val="32"/>
          <w14:textFill>
            <w14:solidFill>
              <w14:schemeClr w14:val="tx1"/>
            </w14:solidFill>
          </w14:textFill>
        </w:rPr>
        <w:t>防范化解金融领域重大风险。</w:t>
      </w:r>
      <w:r>
        <w:rPr>
          <w:rFonts w:ascii="Times New Roman" w:hAnsi="Times New Roman" w:eastAsia="仿宋_GB2312"/>
          <w:color w:val="000000" w:themeColor="text1"/>
          <w:szCs w:val="32"/>
          <w14:textFill>
            <w14:solidFill>
              <w14:schemeClr w14:val="tx1"/>
            </w14:solidFill>
          </w14:textFill>
        </w:rPr>
        <w:t>加强金融监管协调，健全信息共享机制、监测预警和早期干预机制、风险应急处置机制，建立重大风险网络防控预警平台。树立金融市场整体思维，强化与国家驻</w:t>
      </w:r>
      <w:r>
        <w:rPr>
          <w:rFonts w:hint="eastAsia" w:ascii="Times New Roman" w:hAnsi="Times New Roman" w:eastAsia="仿宋_GB2312"/>
          <w:color w:val="000000" w:themeColor="text1"/>
          <w:szCs w:val="32"/>
          <w14:textFill>
            <w14:solidFill>
              <w14:schemeClr w14:val="tx1"/>
            </w14:solidFill>
          </w14:textFill>
        </w:rPr>
        <w:t>许</w:t>
      </w:r>
      <w:r>
        <w:rPr>
          <w:rFonts w:ascii="Times New Roman" w:hAnsi="Times New Roman" w:eastAsia="仿宋_GB2312"/>
          <w:color w:val="000000" w:themeColor="text1"/>
          <w:szCs w:val="32"/>
          <w14:textFill>
            <w14:solidFill>
              <w14:schemeClr w14:val="tx1"/>
            </w14:solidFill>
          </w14:textFill>
        </w:rPr>
        <w:t>金融监管部门和</w:t>
      </w:r>
      <w:r>
        <w:rPr>
          <w:rFonts w:hint="eastAsia" w:ascii="Times New Roman" w:hAnsi="Times New Roman" w:eastAsia="仿宋_GB2312"/>
          <w:color w:val="000000" w:themeColor="text1"/>
          <w:szCs w:val="32"/>
          <w14:textFill>
            <w14:solidFill>
              <w14:schemeClr w14:val="tx1"/>
            </w14:solidFill>
          </w14:textFill>
        </w:rPr>
        <w:t>市</w:t>
      </w:r>
      <w:r>
        <w:rPr>
          <w:rFonts w:ascii="Times New Roman" w:hAnsi="Times New Roman" w:eastAsia="仿宋_GB2312"/>
          <w:color w:val="000000" w:themeColor="text1"/>
          <w:szCs w:val="32"/>
          <w14:textFill>
            <w14:solidFill>
              <w14:schemeClr w14:val="tx1"/>
            </w14:solidFill>
          </w14:textFill>
        </w:rPr>
        <w:t>监管部门的沟通协作。持续整治民间集资、互联网金融等领域的违法行为。加强企业债务风险防控，督促企业盘活有效资产，做好信息披露和偿付预案，防范企业风险跨领域、跨行业传染，严厉打击恶意逃</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废债行为。积极稳妥做好政府债务风险防范化解工作，严控新增政府债务，管控地方融资平台，坚守不发生区域性经济金融风险的底线。</w:t>
      </w:r>
    </w:p>
    <w:p>
      <w:pPr>
        <w:pStyle w:val="20"/>
        <w:widowControl w:val="0"/>
        <w:adjustRightInd w:val="0"/>
        <w:snapToGrid w:val="0"/>
        <w:spacing w:after="0" w:line="590" w:lineRule="exact"/>
        <w:ind w:firstLine="680" w:firstLineChars="200"/>
        <w:jc w:val="lef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ind w:firstLine="680" w:firstLineChars="200"/>
        <w:jc w:val="lef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ind w:firstLine="680" w:firstLineChars="200"/>
        <w:jc w:val="lef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ind w:firstLine="680" w:firstLineChars="200"/>
        <w:jc w:val="left"/>
        <w:outlineLvl w:val="0"/>
        <w:rPr>
          <w:rFonts w:ascii="Times New Roman" w:hAnsi="Times New Roman" w:eastAsia="黑体" w:cs="Times New Roman"/>
          <w:color w:val="000000" w:themeColor="text1"/>
          <w14:textFill>
            <w14:solidFill>
              <w14:schemeClr w14:val="tx1"/>
            </w14:solidFill>
          </w14:textFill>
        </w:rPr>
      </w:pPr>
    </w:p>
    <w:p>
      <w:pPr>
        <w:pStyle w:val="20"/>
        <w:widowControl w:val="0"/>
        <w:adjustRightInd w:val="0"/>
        <w:snapToGrid w:val="0"/>
        <w:spacing w:after="0" w:line="590" w:lineRule="exact"/>
        <w:ind w:firstLine="680" w:firstLineChars="200"/>
        <w:jc w:val="left"/>
        <w:outlineLvl w:val="0"/>
        <w:rPr>
          <w:rFonts w:ascii="Times New Roman" w:hAnsi="Times New Roman" w:eastAsia="黑体" w:cs="Times New Roman"/>
          <w:color w:val="000000" w:themeColor="text1"/>
          <w14:textFill>
            <w14:solidFill>
              <w14:schemeClr w14:val="tx1"/>
            </w14:solidFill>
          </w14:textFill>
        </w:rPr>
      </w:pPr>
    </w:p>
    <w:p>
      <w:pPr>
        <w:pStyle w:val="4"/>
        <w:keepNext w:val="0"/>
        <w:keepLines w:val="0"/>
        <w:widowControl w:val="0"/>
        <w:adjustRightInd w:val="0"/>
        <w:snapToGrid w:val="0"/>
        <w:spacing w:after="0" w:line="600" w:lineRule="exact"/>
      </w:pPr>
      <w:bookmarkStart w:id="135" w:name="_Toc23298"/>
      <w:bookmarkStart w:id="136" w:name="_Toc5261"/>
      <w:r>
        <w:t>第十一章  强化规划实施保障，</w:t>
      </w:r>
      <w:bookmarkEnd w:id="135"/>
    </w:p>
    <w:p>
      <w:pPr>
        <w:pStyle w:val="4"/>
        <w:keepNext w:val="0"/>
        <w:keepLines w:val="0"/>
        <w:widowControl w:val="0"/>
        <w:adjustRightInd w:val="0"/>
        <w:snapToGrid w:val="0"/>
        <w:spacing w:after="0" w:line="600" w:lineRule="exact"/>
      </w:pPr>
      <w:bookmarkStart w:id="137" w:name="_Toc11461"/>
      <w:r>
        <w:t>为实现</w:t>
      </w:r>
      <w:r>
        <w:rPr>
          <w:rFonts w:hint="eastAsia"/>
        </w:rPr>
        <w:t>“</w:t>
      </w:r>
      <w:r>
        <w:t>十四五</w:t>
      </w:r>
      <w:r>
        <w:rPr>
          <w:rFonts w:hint="eastAsia"/>
        </w:rPr>
        <w:t>”</w:t>
      </w:r>
      <w:r>
        <w:t>规划提供坚强</w:t>
      </w:r>
      <w:bookmarkEnd w:id="134"/>
      <w:bookmarkEnd w:id="136"/>
      <w:bookmarkEnd w:id="137"/>
      <w:r>
        <w:rPr>
          <w:rFonts w:hint="eastAsia"/>
        </w:rPr>
        <w:t>保障</w:t>
      </w: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实现</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十四五</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规划，必须坚持党的全面领导，充分调动一切积极因素，广泛团结一切可以团结的力量，形成推动发展的强大合力。要坚持项目引领和科学实施，确保各项目标任务顺利完成。</w:t>
      </w:r>
      <w:bookmarkStart w:id="138" w:name="_Toc47930321"/>
      <w:bookmarkEnd w:id="138"/>
      <w:bookmarkStart w:id="139" w:name="_Toc13777"/>
      <w:bookmarkEnd w:id="139"/>
      <w:bookmarkStart w:id="140" w:name="_Toc55780674"/>
      <w:bookmarkEnd w:id="140"/>
    </w:p>
    <w:p>
      <w:pPr>
        <w:pStyle w:val="5"/>
        <w:keepNext w:val="0"/>
        <w:keepLines w:val="0"/>
        <w:widowControl w:val="0"/>
        <w:adjustRightInd w:val="0"/>
        <w:snapToGrid w:val="0"/>
        <w:spacing w:before="297" w:beforeLines="50" w:after="297" w:afterLines="50" w:line="560" w:lineRule="exact"/>
        <w:ind w:firstLine="0" w:firstLineChars="0"/>
      </w:pPr>
      <w:bookmarkStart w:id="141" w:name="_Toc3572"/>
      <w:bookmarkStart w:id="142" w:name="_Toc24551"/>
      <w:r>
        <w:t>第一节  提高党领导发展的能力水平</w:t>
      </w:r>
      <w:bookmarkEnd w:id="141"/>
      <w:bookmarkEnd w:id="142"/>
    </w:p>
    <w:p>
      <w:pPr>
        <w:widowControl w:val="0"/>
        <w:adjustRightInd w:val="0"/>
        <w:snapToGrid w:val="0"/>
        <w:spacing w:after="0" w:line="560" w:lineRule="exact"/>
        <w:ind w:firstLine="680" w:firstLineChars="200"/>
        <w:jc w:val="both"/>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坚决维护党中央权威和集中统一领导，不断增强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四个意识</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、坚定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四个自信</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、做到</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两个维护</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充分发挥党总揽全局、协调各方的领导核心作用，把党的领导贯彻落实到规划实施各领域全过程，以党的领导坚强有力保证中央、省委、市委决策部署在魏都区落实有力、推进有力。充分发挥基层党组织的战斗堡垒作用和党员的先锋模范作用，增强基层党组织政治功能和组织力。全面落实新时期好干部标准，建立健全干部担当作为的激励和保护机制。</w:t>
      </w:r>
      <w:bookmarkStart w:id="143" w:name="_Toc47930322"/>
      <w:bookmarkStart w:id="144" w:name="_Toc32393"/>
      <w:bookmarkStart w:id="145" w:name="_Toc55780675"/>
    </w:p>
    <w:p>
      <w:pPr>
        <w:pStyle w:val="5"/>
        <w:keepNext w:val="0"/>
        <w:keepLines w:val="0"/>
        <w:widowControl w:val="0"/>
        <w:adjustRightInd w:val="0"/>
        <w:snapToGrid w:val="0"/>
        <w:spacing w:before="297" w:beforeLines="50" w:after="297" w:afterLines="50" w:line="560" w:lineRule="exact"/>
        <w:ind w:firstLine="0" w:firstLineChars="0"/>
      </w:pPr>
      <w:bookmarkStart w:id="146" w:name="_Toc30004"/>
      <w:bookmarkStart w:id="147" w:name="_Toc11852"/>
      <w:r>
        <w:t>第二节  营造风清气正政治生态</w:t>
      </w:r>
      <w:bookmarkEnd w:id="146"/>
      <w:bookmarkEnd w:id="147"/>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落实全面从严治党主体责任、监督责任，严格落实八项规定精神，持续纠正形式主义、官僚主义，切实为基层减负。完善党和国家监督体系，强化对公权力运行的制约和监督，围绕营造公平、公正、透明、高效的营商环境，着力解决群众身边的</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微腐败</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和行政效能低下的问题。持续深化不敢腐、不能腐、不想腐一体推进机制建设，持续巩固好发展好全区上下风清气正、团结干事的良好政治生态。</w:t>
      </w:r>
      <w:bookmarkEnd w:id="143"/>
      <w:bookmarkEnd w:id="144"/>
      <w:bookmarkEnd w:id="145"/>
    </w:p>
    <w:p>
      <w:pPr>
        <w:pStyle w:val="5"/>
        <w:keepNext w:val="0"/>
        <w:keepLines w:val="0"/>
        <w:widowControl w:val="0"/>
        <w:adjustRightInd w:val="0"/>
        <w:snapToGrid w:val="0"/>
        <w:spacing w:before="297" w:beforeLines="50" w:after="297" w:afterLines="50" w:line="560" w:lineRule="exact"/>
        <w:ind w:firstLine="0" w:firstLineChars="0"/>
      </w:pPr>
      <w:bookmarkStart w:id="148" w:name="_Toc25104"/>
      <w:bookmarkStart w:id="149" w:name="_Toc29026"/>
      <w:r>
        <w:t>第三节  广泛凝聚各方智慧力量</w:t>
      </w:r>
      <w:bookmarkEnd w:id="148"/>
      <w:bookmarkEnd w:id="149"/>
    </w:p>
    <w:p>
      <w:pPr>
        <w:widowControl w:val="0"/>
        <w:adjustRightInd w:val="0"/>
        <w:snapToGrid w:val="0"/>
        <w:spacing w:after="0" w:line="560" w:lineRule="exact"/>
        <w:ind w:firstLine="68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支持人大、政协依法依章程履行职责。发挥好工会、共青团、妇联等人民团体作用，把各自联系的群众紧紧凝聚在党的周围。全面贯彻党的宗教工作基本方针，积极引导宗教与社会主义社会相适应。加强国防动员体系建设，巩固军民团结，做好拥军优属工作。巩固和发展最广泛的爱国统一战线，加强党外干部队伍建设，做好非公经济人士、新阶层人士统战工作，强化港澳台侨和海外联谊工作，画出最大同心圆，最大限度凝聚各方面力量。尊重基层首创精神，形成全区人民群策群力、共建共享的生动局面。</w:t>
      </w:r>
    </w:p>
    <w:p>
      <w:pPr>
        <w:pStyle w:val="5"/>
        <w:keepNext w:val="0"/>
        <w:keepLines w:val="0"/>
        <w:widowControl w:val="0"/>
        <w:adjustRightInd w:val="0"/>
        <w:snapToGrid w:val="0"/>
        <w:spacing w:before="297" w:beforeLines="50" w:after="297" w:afterLines="50" w:line="560" w:lineRule="exact"/>
        <w:ind w:firstLine="0" w:firstLineChars="0"/>
      </w:pPr>
      <w:bookmarkStart w:id="150" w:name="_Toc12302"/>
      <w:bookmarkStart w:id="151" w:name="_Toc6414"/>
      <w:r>
        <w:t>第四节  确保</w:t>
      </w:r>
      <w:r>
        <w:rPr>
          <w:rFonts w:hint="eastAsia"/>
        </w:rPr>
        <w:t>“</w:t>
      </w:r>
      <w:r>
        <w:t>十四五</w:t>
      </w:r>
      <w:r>
        <w:rPr>
          <w:rFonts w:hint="eastAsia"/>
        </w:rPr>
        <w:t>”</w:t>
      </w:r>
      <w:r>
        <w:t>规划目标任务落实</w:t>
      </w:r>
      <w:bookmarkEnd w:id="150"/>
      <w:bookmarkEnd w:id="151"/>
    </w:p>
    <w:p>
      <w:pPr>
        <w:widowControl w:val="0"/>
        <w:adjustRightInd w:val="0"/>
        <w:snapToGrid w:val="0"/>
        <w:spacing w:after="0" w:line="560" w:lineRule="exact"/>
        <w:ind w:firstLine="68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eastAsia="仿宋_GB2312"/>
          <w:color w:val="000000" w:themeColor="text1"/>
          <w:szCs w:val="32"/>
          <w14:textFill>
            <w14:solidFill>
              <w14:schemeClr w14:val="tx1"/>
            </w14:solidFill>
          </w14:textFill>
        </w:rPr>
        <w:t>实施</w:t>
      </w:r>
      <w:r>
        <w:rPr>
          <w:rFonts w:ascii="Times New Roman" w:hAnsi="Times New Roman" w:eastAsia="仿宋_GB2312"/>
          <w:color w:val="000000" w:themeColor="text1"/>
          <w:szCs w:val="32"/>
          <w14:textFill>
            <w14:solidFill>
              <w14:schemeClr w14:val="tx1"/>
            </w14:solidFill>
          </w14:textFill>
        </w:rPr>
        <w:t>我区</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十四五</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规划纲要，要坚决贯彻中央、省委和市委决策部署，落实</w:t>
      </w:r>
      <w:r>
        <w:rPr>
          <w:rFonts w:hint="eastAsia" w:ascii="Times New Roman" w:hAnsi="Times New Roman" w:eastAsia="仿宋_GB2312"/>
          <w:color w:val="000000" w:themeColor="text1"/>
          <w:szCs w:val="32"/>
          <w14:textFill>
            <w14:solidFill>
              <w14:schemeClr w14:val="tx1"/>
            </w14:solidFill>
          </w14:textFill>
        </w:rPr>
        <w:t>规划</w:t>
      </w:r>
      <w:r>
        <w:rPr>
          <w:rFonts w:ascii="Times New Roman" w:hAnsi="Times New Roman" w:eastAsia="仿宋_GB2312"/>
          <w:color w:val="000000" w:themeColor="text1"/>
          <w:szCs w:val="32"/>
          <w14:textFill>
            <w14:solidFill>
              <w14:schemeClr w14:val="tx1"/>
            </w14:solidFill>
          </w14:textFill>
        </w:rPr>
        <w:t>建议确定的目标要求、战略任务、重大举措，形成定位准确、边界清晰、功能互补、统一衔接的规划体系。要把项目作为主要支撑，围绕工业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1355行动计划</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、现代服务业</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一赋四培计划</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、城市建设</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两区、两改、两线、六路计划</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，科学谋划、滚动储备、组织建设一批重大工程项目，持续完善重大项目协调推进机制，真正把</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十四五</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规划落实到一个一个具体项目上。各职能部门要加强与市级部门的对接，按照许昌市统一部署，立足区情实际，编制好、实施好</w:t>
      </w:r>
      <w:r>
        <w:rPr>
          <w:rFonts w:hint="eastAsia" w:ascii="Times New Roman" w:hAnsi="Times New Roman" w:eastAsia="仿宋_GB2312"/>
          <w:color w:val="000000" w:themeColor="text1"/>
          <w:szCs w:val="32"/>
          <w14:textFill>
            <w14:solidFill>
              <w14:schemeClr w14:val="tx1"/>
            </w14:solidFill>
          </w14:textFill>
        </w:rPr>
        <w:t>各</w:t>
      </w:r>
      <w:r>
        <w:rPr>
          <w:rFonts w:ascii="Times New Roman" w:hAnsi="Times New Roman" w:eastAsia="仿宋_GB2312"/>
          <w:color w:val="000000" w:themeColor="text1"/>
          <w:szCs w:val="32"/>
          <w14:textFill>
            <w14:solidFill>
              <w14:schemeClr w14:val="tx1"/>
            </w14:solidFill>
          </w14:textFill>
        </w:rPr>
        <w:t>行业领域内的</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十四五</w:t>
      </w:r>
      <w:r>
        <w:rPr>
          <w:rFonts w:hint="eastAsia"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专项规划。各级各类规划要明确坚持新发展理念的指标，增加高质量发展约束性指标。要健全政策协调和工作协同机制，</w:t>
      </w:r>
      <w:bookmarkEnd w:id="7"/>
      <w:r>
        <w:rPr>
          <w:rFonts w:hint="eastAsia" w:ascii="Times New Roman" w:hAnsi="Times New Roman" w:eastAsia="仿宋_GB2312"/>
          <w:color w:val="000000" w:themeColor="text1"/>
          <w:szCs w:val="32"/>
          <w14:textFill>
            <w14:solidFill>
              <w14:schemeClr w14:val="tx1"/>
            </w14:solidFill>
          </w14:textFill>
        </w:rPr>
        <w:t>并在各专项规划的编制过程中同步谋划规划落实工作，统筹规划的年度监测、中期检查和终期考核等工作，形成规划编制、实施、考核的管理闭环，确保“十四五”规划的各项目标任务落到实处。</w:t>
      </w:r>
    </w:p>
    <w:sectPr>
      <w:footerReference r:id="rId15" w:type="first"/>
      <w:footerReference r:id="rId13" w:type="default"/>
      <w:footerReference r:id="rId14" w:type="even"/>
      <w:pgSz w:w="11906" w:h="16838"/>
      <w:pgMar w:top="1587" w:right="1417" w:bottom="1587" w:left="1417" w:header="851" w:footer="850" w:gutter="0"/>
      <w:pgNumType w:fmt="numberInDash"/>
      <w:cols w:space="0" w:num="1"/>
      <w:titlePg/>
      <w:docGrid w:type="linesAndChars" w:linePitch="595"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line="240" w:lineRule="auto"/>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line="240" w:lineRule="auto"/>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19"/>
        <w:spacing w:line="400" w:lineRule="exact"/>
        <w:ind w:firstLine="420" w:firstLineChars="200"/>
        <w:rPr>
          <w:sz w:val="18"/>
          <w:szCs w:val="18"/>
          <w:shd w:val="clear" w:color="auto" w:fill="FFFFFF"/>
        </w:rPr>
      </w:pPr>
      <w:r>
        <w:rPr>
          <w:rStyle w:val="13"/>
        </w:rPr>
        <w:footnoteRef/>
      </w:r>
      <w:r>
        <w:rPr>
          <w:sz w:val="18"/>
          <w:szCs w:val="18"/>
        </w:rPr>
        <w:t xml:space="preserve"> ABS融资模式是以项目所属的资产为支撑的证券化</w:t>
      </w:r>
      <w:r>
        <w:fldChar w:fldCharType="begin"/>
      </w:r>
      <w:r>
        <w:instrText xml:space="preserve"> HYPERLINK "https://baike.so.com/doc/216844-229372.html" \t "_blank" </w:instrText>
      </w:r>
      <w:r>
        <w:fldChar w:fldCharType="separate"/>
      </w:r>
      <w:r>
        <w:rPr>
          <w:sz w:val="18"/>
          <w:szCs w:val="18"/>
        </w:rPr>
        <w:t>融资方式</w:t>
      </w:r>
      <w:r>
        <w:rPr>
          <w:sz w:val="18"/>
          <w:szCs w:val="18"/>
        </w:rPr>
        <w:fldChar w:fldCharType="end"/>
      </w:r>
      <w:r>
        <w:rPr>
          <w:sz w:val="18"/>
          <w:szCs w:val="18"/>
        </w:rPr>
        <w:t>，即以项目所拥有的资产为基础，以项目资产可以带来的预期收益为保证，通过在资本市场</w:t>
      </w:r>
      <w:r>
        <w:fldChar w:fldCharType="begin"/>
      </w:r>
      <w:r>
        <w:instrText xml:space="preserve"> HYPERLINK "https://baike.so.com/doc/4926653-5146249.html" \t "_blank" </w:instrText>
      </w:r>
      <w:r>
        <w:fldChar w:fldCharType="separate"/>
      </w:r>
      <w:r>
        <w:rPr>
          <w:sz w:val="18"/>
          <w:szCs w:val="18"/>
        </w:rPr>
        <w:t>发行债券</w:t>
      </w:r>
      <w:r>
        <w:rPr>
          <w:sz w:val="18"/>
          <w:szCs w:val="18"/>
        </w:rPr>
        <w:fldChar w:fldCharType="end"/>
      </w:r>
      <w:r>
        <w:rPr>
          <w:sz w:val="18"/>
          <w:szCs w:val="18"/>
        </w:rPr>
        <w:t>来募集资金的一种项目融资方式。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9BA8"/>
    <w:multiLevelType w:val="singleLevel"/>
    <w:tmpl w:val="B17C9BA8"/>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70"/>
  <w:drawingGridVerticalSpacing w:val="595"/>
  <w:displayHorizont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MjQ1MGI5ODlkNDViMWM2OTcwMmYxMjY2NGY1YTUifQ=="/>
  </w:docVars>
  <w:rsids>
    <w:rsidRoot w:val="009E5677"/>
    <w:rsid w:val="000570F6"/>
    <w:rsid w:val="0007110D"/>
    <w:rsid w:val="0008270B"/>
    <w:rsid w:val="00096727"/>
    <w:rsid w:val="001135FD"/>
    <w:rsid w:val="00116058"/>
    <w:rsid w:val="00126538"/>
    <w:rsid w:val="00367B10"/>
    <w:rsid w:val="003A7646"/>
    <w:rsid w:val="003D43CE"/>
    <w:rsid w:val="004130C2"/>
    <w:rsid w:val="00472A80"/>
    <w:rsid w:val="004824C3"/>
    <w:rsid w:val="005174E2"/>
    <w:rsid w:val="005D52AA"/>
    <w:rsid w:val="006A54F3"/>
    <w:rsid w:val="006E1A60"/>
    <w:rsid w:val="00776249"/>
    <w:rsid w:val="00801854"/>
    <w:rsid w:val="00812600"/>
    <w:rsid w:val="00903689"/>
    <w:rsid w:val="0095684E"/>
    <w:rsid w:val="009C612C"/>
    <w:rsid w:val="009E5677"/>
    <w:rsid w:val="00B307DF"/>
    <w:rsid w:val="00BF291C"/>
    <w:rsid w:val="00D15D4B"/>
    <w:rsid w:val="00D21423"/>
    <w:rsid w:val="00D46A82"/>
    <w:rsid w:val="00D744BA"/>
    <w:rsid w:val="00DE054E"/>
    <w:rsid w:val="00E3586F"/>
    <w:rsid w:val="00ED7E47"/>
    <w:rsid w:val="00F31A93"/>
    <w:rsid w:val="00F44D3D"/>
    <w:rsid w:val="00FB1775"/>
    <w:rsid w:val="00FC36C3"/>
    <w:rsid w:val="03630937"/>
    <w:rsid w:val="042E3C79"/>
    <w:rsid w:val="04AB7DB1"/>
    <w:rsid w:val="04D9754F"/>
    <w:rsid w:val="054D04AF"/>
    <w:rsid w:val="086026AC"/>
    <w:rsid w:val="0B845935"/>
    <w:rsid w:val="0CAF7F09"/>
    <w:rsid w:val="0D366E24"/>
    <w:rsid w:val="0DAD1F63"/>
    <w:rsid w:val="0F696892"/>
    <w:rsid w:val="10146E2F"/>
    <w:rsid w:val="17982A34"/>
    <w:rsid w:val="17B04C0A"/>
    <w:rsid w:val="1845080D"/>
    <w:rsid w:val="18A50881"/>
    <w:rsid w:val="18B80605"/>
    <w:rsid w:val="18E17E1C"/>
    <w:rsid w:val="19AA017B"/>
    <w:rsid w:val="19F46AF7"/>
    <w:rsid w:val="1B7579BA"/>
    <w:rsid w:val="1BA522D7"/>
    <w:rsid w:val="1E2070CA"/>
    <w:rsid w:val="21F77ECE"/>
    <w:rsid w:val="23D4434F"/>
    <w:rsid w:val="26C31AE1"/>
    <w:rsid w:val="2792552D"/>
    <w:rsid w:val="28F3129B"/>
    <w:rsid w:val="29A07EDE"/>
    <w:rsid w:val="2B3D3731"/>
    <w:rsid w:val="2C090C45"/>
    <w:rsid w:val="2DFF64A5"/>
    <w:rsid w:val="2ED444EB"/>
    <w:rsid w:val="31FD2AC3"/>
    <w:rsid w:val="323F24B0"/>
    <w:rsid w:val="34EC65E8"/>
    <w:rsid w:val="352A0593"/>
    <w:rsid w:val="3A244D70"/>
    <w:rsid w:val="3BF978C2"/>
    <w:rsid w:val="3C617F70"/>
    <w:rsid w:val="3CE33CA9"/>
    <w:rsid w:val="41046C53"/>
    <w:rsid w:val="47555CC1"/>
    <w:rsid w:val="47B818F4"/>
    <w:rsid w:val="486F0B47"/>
    <w:rsid w:val="48DE416E"/>
    <w:rsid w:val="4C982D28"/>
    <w:rsid w:val="4E835D6F"/>
    <w:rsid w:val="4EB80454"/>
    <w:rsid w:val="4EE604E6"/>
    <w:rsid w:val="50F61F56"/>
    <w:rsid w:val="51F1552C"/>
    <w:rsid w:val="536F5C7B"/>
    <w:rsid w:val="55501A54"/>
    <w:rsid w:val="55AF70D1"/>
    <w:rsid w:val="565E6214"/>
    <w:rsid w:val="58C87E77"/>
    <w:rsid w:val="5A8D5858"/>
    <w:rsid w:val="5ADC608C"/>
    <w:rsid w:val="5E966D17"/>
    <w:rsid w:val="5F181770"/>
    <w:rsid w:val="65575B9F"/>
    <w:rsid w:val="68D62601"/>
    <w:rsid w:val="696427EA"/>
    <w:rsid w:val="69EE4583"/>
    <w:rsid w:val="6B6C2458"/>
    <w:rsid w:val="6B8F557D"/>
    <w:rsid w:val="6C440F16"/>
    <w:rsid w:val="6D5A118B"/>
    <w:rsid w:val="6E204B75"/>
    <w:rsid w:val="6F844174"/>
    <w:rsid w:val="74F97103"/>
    <w:rsid w:val="75C02176"/>
    <w:rsid w:val="76E700E6"/>
    <w:rsid w:val="783C6238"/>
    <w:rsid w:val="7A8257FD"/>
    <w:rsid w:val="7BAB2813"/>
    <w:rsid w:val="7C1E719B"/>
    <w:rsid w:val="7EC10F18"/>
    <w:rsid w:val="7F6D542B"/>
    <w:rsid w:val="7F8956D7"/>
    <w:rsid w:val="7FAE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等线" w:hAnsi="等线" w:eastAsia="等线" w:cs="Times New Roman"/>
      <w:sz w:val="32"/>
      <w:szCs w:val="22"/>
      <w:lang w:val="en-US" w:eastAsia="zh-CN" w:bidi="ar-SA"/>
    </w:rPr>
  </w:style>
  <w:style w:type="paragraph" w:styleId="4">
    <w:name w:val="heading 1"/>
    <w:basedOn w:val="1"/>
    <w:next w:val="1"/>
    <w:qFormat/>
    <w:uiPriority w:val="0"/>
    <w:pPr>
      <w:keepNext/>
      <w:keepLines/>
      <w:spacing w:line="590" w:lineRule="exact"/>
      <w:jc w:val="center"/>
      <w:outlineLvl w:val="0"/>
    </w:pPr>
    <w:rPr>
      <w:rFonts w:eastAsia="方正小标宋简体"/>
      <w:kern w:val="44"/>
      <w:sz w:val="44"/>
    </w:rPr>
  </w:style>
  <w:style w:type="paragraph" w:styleId="5">
    <w:name w:val="heading 2"/>
    <w:basedOn w:val="1"/>
    <w:next w:val="1"/>
    <w:qFormat/>
    <w:uiPriority w:val="0"/>
    <w:pPr>
      <w:keepNext/>
      <w:keepLines/>
      <w:spacing w:line="590" w:lineRule="exact"/>
      <w:ind w:firstLine="420" w:firstLineChars="200"/>
      <w:jc w:val="center"/>
      <w:outlineLvl w:val="1"/>
    </w:pPr>
    <w:rPr>
      <w:rFonts w:ascii="Times New Roman" w:hAnsi="Times New Roman" w:eastAsia="黑体"/>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1"/>
    <w:qFormat/>
    <w:uiPriority w:val="0"/>
    <w:pPr>
      <w:spacing w:after="120" w:line="560" w:lineRule="exact"/>
      <w:ind w:firstLine="883" w:firstLineChars="200"/>
    </w:pPr>
    <w:rPr>
      <w:rFonts w:ascii="Times New Roman" w:hAnsi="Times New Roman" w:eastAsia="仿宋_GB231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footnote text"/>
    <w:basedOn w:val="1"/>
    <w:qFormat/>
    <w:uiPriority w:val="0"/>
    <w:pPr>
      <w:snapToGrid w:val="0"/>
    </w:pPr>
    <w:rPr>
      <w:sz w:val="18"/>
      <w:szCs w:val="18"/>
    </w:rPr>
  </w:style>
  <w:style w:type="paragraph" w:styleId="10">
    <w:name w:val="toc 2"/>
    <w:basedOn w:val="1"/>
    <w:next w:val="1"/>
    <w:qFormat/>
    <w:uiPriority w:val="0"/>
    <w:pPr>
      <w:ind w:left="420" w:leftChars="200"/>
    </w:pPr>
  </w:style>
  <w:style w:type="character" w:styleId="13">
    <w:name w:val="footnote reference"/>
    <w:basedOn w:val="12"/>
    <w:qFormat/>
    <w:uiPriority w:val="0"/>
    <w:rPr>
      <w:vertAlign w:val="superscript"/>
    </w:rPr>
  </w:style>
  <w:style w:type="paragraph" w:customStyle="1" w:styleId="14">
    <w:name w:val="正文文本缩进1"/>
    <w:basedOn w:val="1"/>
    <w:next w:val="15"/>
    <w:qFormat/>
    <w:uiPriority w:val="0"/>
    <w:pPr>
      <w:spacing w:after="120"/>
      <w:ind w:left="420" w:leftChars="200"/>
    </w:pPr>
  </w:style>
  <w:style w:type="paragraph" w:customStyle="1" w:styleId="15">
    <w:name w:val="寄信人地址1"/>
    <w:basedOn w:val="1"/>
    <w:qFormat/>
    <w:uiPriority w:val="0"/>
    <w:pPr>
      <w:snapToGrid w:val="0"/>
    </w:pPr>
    <w:rPr>
      <w:rFonts w:hint="eastAsia" w:ascii="Arial" w:hAnsi="Arial"/>
      <w:sz w:val="24"/>
    </w:rPr>
  </w:style>
  <w:style w:type="paragraph" w:customStyle="1" w:styleId="16">
    <w:name w:val="正文首行缩进 21"/>
    <w:basedOn w:val="14"/>
    <w:qFormat/>
    <w:uiPriority w:val="0"/>
    <w:pPr>
      <w:ind w:firstLine="420" w:firstLineChars="200"/>
    </w:pPr>
  </w:style>
  <w:style w:type="paragraph" w:customStyle="1" w:styleId="17">
    <w:name w:val="WPSOffice手动目录 1"/>
    <w:qFormat/>
    <w:uiPriority w:val="0"/>
    <w:rPr>
      <w:rFonts w:ascii="Calibri" w:hAnsi="Calibri" w:eastAsia="宋体" w:cs="Times New Roman"/>
      <w:lang w:val="en-US" w:eastAsia="zh-CN" w:bidi="ar-SA"/>
    </w:rPr>
  </w:style>
  <w:style w:type="paragraph" w:customStyle="1" w:styleId="18">
    <w:name w:val="WPSOffice手动目录 2"/>
    <w:qFormat/>
    <w:uiPriority w:val="0"/>
    <w:pPr>
      <w:ind w:left="200" w:leftChars="200"/>
    </w:pPr>
    <w:rPr>
      <w:rFonts w:ascii="Calibri" w:hAnsi="Calibri" w:eastAsia="宋体" w:cs="Times New Roman"/>
      <w:lang w:val="en-US" w:eastAsia="zh-CN" w:bidi="ar-SA"/>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章"/>
    <w:basedOn w:val="1"/>
    <w:qFormat/>
    <w:uiPriority w:val="0"/>
    <w:pPr>
      <w:jc w:val="center"/>
      <w:outlineLvl w:val="1"/>
    </w:pPr>
    <w:rPr>
      <w:rFonts w:ascii="楷体_GB2312" w:hAnsi="楷体_GB2312" w:eastAsia="楷体_GB2312" w:cs="楷体_GB2312"/>
      <w:b/>
      <w:bCs/>
      <w:szCs w:val="32"/>
    </w:rPr>
  </w:style>
  <w:style w:type="paragraph" w:customStyle="1" w:styleId="21">
    <w:name w:val="Body Text First Indent1"/>
    <w:basedOn w:val="3"/>
    <w:next w:val="22"/>
    <w:qFormat/>
    <w:uiPriority w:val="0"/>
    <w:pPr>
      <w:ind w:firstLine="420" w:firstLineChars="100"/>
    </w:pPr>
    <w:rPr>
      <w:rFonts w:eastAsia="宋体"/>
      <w:sz w:val="21"/>
    </w:rPr>
  </w:style>
  <w:style w:type="paragraph" w:customStyle="1" w:styleId="22">
    <w:name w:val="列出段落2"/>
    <w:basedOn w:val="1"/>
    <w:qFormat/>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F1B0F-952C-48D7-BCE2-5C6A85A3E18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72</Pages>
  <Words>33567</Words>
  <Characters>34020</Characters>
  <Lines>14</Lines>
  <Paragraphs>70</Paragraphs>
  <TotalTime>136</TotalTime>
  <ScaleCrop>false</ScaleCrop>
  <LinksUpToDate>false</LinksUpToDate>
  <CharactersWithSpaces>34321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2021-03-19T09:44:00Z</dcterms:created>
  <dc:creator>Administrator</dc:creator>
  <cp:lastModifiedBy>~声几又香~</cp:lastModifiedBy>
  <cp:lastPrinted>2021-04-01T02:51:00Z</cp:lastPrinted>
  <dcterms:modified xsi:type="dcterms:W3CDTF">2023-03-11T00:29:41Z</dcterms:modified>
  <dc:title>lok</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0E3C9B0D0FB54ACB8DA71837FEF80632</vt:lpwstr>
  </property>
</Properties>
</file>