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val="0"/>
        <w:snapToGrid w:val="0"/>
        <w:spacing w:after="0" w:line="800" w:lineRule="exact"/>
        <w:ind w:firstLine="540" w:firstLineChars="100"/>
        <w:jc w:val="center"/>
        <w:rPr>
          <w:rFonts w:ascii="Times New Roman" w:hAnsi="Times New Roman" w:eastAsia="方正小标宋简体"/>
          <w:bCs/>
          <w:color w:val="000000" w:themeColor="text1"/>
          <w:sz w:val="52"/>
          <w:szCs w:val="52"/>
          <w14:textFill>
            <w14:solidFill>
              <w14:schemeClr w14:val="tx1"/>
            </w14:solidFill>
          </w14:textFill>
        </w:rPr>
      </w:pPr>
    </w:p>
    <w:p>
      <w:pPr>
        <w:pStyle w:val="2"/>
        <w:widowControl w:val="0"/>
        <w:adjustRightInd w:val="0"/>
        <w:snapToGrid w:val="0"/>
        <w:ind w:firstLine="340"/>
      </w:pPr>
    </w:p>
    <w:p>
      <w:pPr>
        <w:widowControl w:val="0"/>
        <w:adjustRightInd w:val="0"/>
        <w:snapToGrid w:val="0"/>
        <w:spacing w:after="0" w:line="800" w:lineRule="exact"/>
        <w:ind w:firstLine="540" w:firstLineChars="100"/>
        <w:jc w:val="both"/>
        <w:rPr>
          <w:rFonts w:ascii="Times New Roman" w:hAnsi="Times New Roman" w:eastAsia="方正小标宋简体"/>
          <w:bCs/>
          <w:color w:val="000000" w:themeColor="text1"/>
          <w:sz w:val="52"/>
          <w:szCs w:val="52"/>
          <w14:textFill>
            <w14:solidFill>
              <w14:schemeClr w14:val="tx1"/>
            </w14:solidFill>
          </w14:textFill>
        </w:rPr>
      </w:pPr>
      <w:r>
        <w:rPr>
          <w:rFonts w:ascii="Times New Roman" w:hAnsi="Times New Roman" w:eastAsia="方正小标宋简体"/>
          <w:bCs/>
          <w:color w:val="000000" w:themeColor="text1"/>
          <w:sz w:val="52"/>
          <w:szCs w:val="52"/>
          <w14:textFill>
            <w14:solidFill>
              <w14:schemeClr w14:val="tx1"/>
            </w14:solidFill>
          </w14:textFill>
        </w:rPr>
        <w:t>许昌市魏都区国民经济和社会发展</w:t>
      </w:r>
    </w:p>
    <w:p>
      <w:pPr>
        <w:widowControl w:val="0"/>
        <w:adjustRightInd w:val="0"/>
        <w:snapToGrid w:val="0"/>
        <w:spacing w:after="0" w:line="800" w:lineRule="exact"/>
        <w:jc w:val="center"/>
        <w:rPr>
          <w:rFonts w:ascii="Times New Roman" w:hAnsi="Times New Roman" w:eastAsia="方正小标宋简体"/>
          <w:bCs/>
          <w:color w:val="000000" w:themeColor="text1"/>
          <w:sz w:val="52"/>
          <w:szCs w:val="52"/>
          <w14:textFill>
            <w14:solidFill>
              <w14:schemeClr w14:val="tx1"/>
            </w14:solidFill>
          </w14:textFill>
        </w:rPr>
      </w:pPr>
      <w:r>
        <w:rPr>
          <w:rFonts w:ascii="Times New Roman" w:hAnsi="Times New Roman" w:eastAsia="方正小标宋简体"/>
          <w:bCs/>
          <w:color w:val="000000" w:themeColor="text1"/>
          <w:sz w:val="52"/>
          <w:szCs w:val="52"/>
          <w14:textFill>
            <w14:solidFill>
              <w14:schemeClr w14:val="tx1"/>
            </w14:solidFill>
          </w14:textFill>
        </w:rPr>
        <w:t>第十四个五年规划和2035年</w:t>
      </w:r>
    </w:p>
    <w:p>
      <w:pPr>
        <w:widowControl w:val="0"/>
        <w:adjustRightInd w:val="0"/>
        <w:snapToGrid w:val="0"/>
        <w:spacing w:after="0" w:line="800" w:lineRule="exact"/>
        <w:jc w:val="center"/>
        <w:rPr>
          <w:rFonts w:ascii="Times New Roman" w:hAnsi="Times New Roman" w:eastAsia="方正小标宋简体"/>
          <w:bCs/>
          <w:color w:val="000000" w:themeColor="text1"/>
          <w:sz w:val="52"/>
          <w:szCs w:val="52"/>
          <w14:textFill>
            <w14:solidFill>
              <w14:schemeClr w14:val="tx1"/>
            </w14:solidFill>
          </w14:textFill>
        </w:rPr>
      </w:pPr>
      <w:r>
        <w:rPr>
          <w:rFonts w:ascii="Times New Roman" w:hAnsi="Times New Roman" w:eastAsia="方正小标宋简体"/>
          <w:bCs/>
          <w:color w:val="000000" w:themeColor="text1"/>
          <w:sz w:val="52"/>
          <w:szCs w:val="52"/>
          <w14:textFill>
            <w14:solidFill>
              <w14:schemeClr w14:val="tx1"/>
            </w14:solidFill>
          </w14:textFill>
        </w:rPr>
        <w:t>远景目标纲要（草案）</w:t>
      </w:r>
    </w:p>
    <w:p>
      <w:pPr>
        <w:widowControl w:val="0"/>
        <w:adjustRightInd w:val="0"/>
        <w:snapToGrid w:val="0"/>
        <w:spacing w:after="0" w:line="1000" w:lineRule="exact"/>
        <w:rPr>
          <w:rFonts w:ascii="Times New Roman" w:hAnsi="Times New Roman" w:eastAsia="黑体"/>
          <w:b/>
          <w:color w:val="000000" w:themeColor="text1"/>
          <w:sz w:val="48"/>
          <w:szCs w:val="48"/>
          <w14:textFill>
            <w14:solidFill>
              <w14:schemeClr w14:val="tx1"/>
            </w14:solidFill>
          </w14:textFill>
        </w:rPr>
      </w:pPr>
    </w:p>
    <w:p>
      <w:pPr>
        <w:widowControl w:val="0"/>
        <w:adjustRightInd w:val="0"/>
        <w:snapToGrid w:val="0"/>
        <w:spacing w:line="1000" w:lineRule="exact"/>
        <w:rPr>
          <w:rFonts w:ascii="Times New Roman" w:hAnsi="Times New Roman" w:eastAsia="黑体"/>
          <w:b/>
          <w:color w:val="000000" w:themeColor="text1"/>
          <w:sz w:val="48"/>
          <w:szCs w:val="48"/>
          <w14:textFill>
            <w14:solidFill>
              <w14:schemeClr w14:val="tx1"/>
            </w14:solidFill>
          </w14:textFill>
        </w:rPr>
      </w:pPr>
    </w:p>
    <w:p>
      <w:pPr>
        <w:widowControl w:val="0"/>
        <w:adjustRightInd w:val="0"/>
        <w:snapToGrid w:val="0"/>
        <w:spacing w:line="1000" w:lineRule="exact"/>
        <w:rPr>
          <w:rFonts w:ascii="Times New Roman" w:hAnsi="Times New Roman" w:eastAsia="黑体"/>
          <w:b/>
          <w:color w:val="000000" w:themeColor="text1"/>
          <w:sz w:val="48"/>
          <w:szCs w:val="48"/>
          <w14:textFill>
            <w14:solidFill>
              <w14:schemeClr w14:val="tx1"/>
            </w14:solidFill>
          </w14:textFill>
        </w:rPr>
      </w:pPr>
    </w:p>
    <w:p>
      <w:pPr>
        <w:pStyle w:val="2"/>
        <w:widowControl w:val="0"/>
        <w:adjustRightInd w:val="0"/>
        <w:snapToGrid w:val="0"/>
        <w:ind w:firstLine="340"/>
      </w:pPr>
    </w:p>
    <w:p>
      <w:pPr>
        <w:widowControl w:val="0"/>
        <w:adjustRightInd w:val="0"/>
        <w:snapToGrid w:val="0"/>
        <w:spacing w:line="1000" w:lineRule="exact"/>
        <w:rPr>
          <w:rFonts w:ascii="Times New Roman" w:hAnsi="Times New Roman" w:eastAsia="黑体"/>
          <w:b/>
          <w:color w:val="000000" w:themeColor="text1"/>
          <w:sz w:val="48"/>
          <w:szCs w:val="48"/>
          <w14:textFill>
            <w14:solidFill>
              <w14:schemeClr w14:val="tx1"/>
            </w14:solidFill>
          </w14:textFill>
        </w:rPr>
      </w:pPr>
    </w:p>
    <w:p>
      <w:pPr>
        <w:widowControl w:val="0"/>
        <w:adjustRightInd w:val="0"/>
        <w:snapToGrid w:val="0"/>
        <w:spacing w:line="1000" w:lineRule="exact"/>
        <w:rPr>
          <w:rFonts w:ascii="Times New Roman" w:hAnsi="Times New Roman" w:eastAsia="黑体"/>
          <w:b/>
          <w:color w:val="000000" w:themeColor="text1"/>
          <w:sz w:val="48"/>
          <w:szCs w:val="48"/>
          <w14:textFill>
            <w14:solidFill>
              <w14:schemeClr w14:val="tx1"/>
            </w14:solidFill>
          </w14:textFill>
        </w:rPr>
      </w:pPr>
    </w:p>
    <w:p>
      <w:pPr>
        <w:pStyle w:val="2"/>
        <w:widowControl w:val="0"/>
        <w:adjustRightInd w:val="0"/>
        <w:snapToGrid w:val="0"/>
        <w:ind w:firstLine="340"/>
      </w:pPr>
    </w:p>
    <w:p>
      <w:pPr>
        <w:widowControl w:val="0"/>
        <w:adjustRightInd w:val="0"/>
        <w:snapToGrid w:val="0"/>
        <w:spacing w:after="120" w:line="560" w:lineRule="exact"/>
        <w:jc w:val="center"/>
        <w:rPr>
          <w:rFonts w:ascii="Times New Roman" w:hAnsi="Times New Roman" w:eastAsia="楷体_GB2312"/>
          <w:b/>
          <w:bCs/>
          <w:color w:val="000000" w:themeColor="text1"/>
          <w:sz w:val="36"/>
          <w:szCs w:val="36"/>
          <w14:textFill>
            <w14:solidFill>
              <w14:schemeClr w14:val="tx1"/>
            </w14:solidFill>
          </w14:textFill>
        </w:rPr>
      </w:pPr>
      <w:r>
        <w:rPr>
          <w:rFonts w:ascii="Times New Roman" w:hAnsi="Times New Roman" w:eastAsia="楷体_GB2312"/>
          <w:b/>
          <w:bCs/>
          <w:color w:val="000000" w:themeColor="text1"/>
          <w:sz w:val="36"/>
          <w:szCs w:val="36"/>
          <w14:textFill>
            <w14:solidFill>
              <w14:schemeClr w14:val="tx1"/>
            </w14:solidFill>
          </w14:textFill>
        </w:rPr>
        <w:t>2021年1月</w:t>
      </w:r>
    </w:p>
    <w:p>
      <w:pPr>
        <w:widowControl w:val="0"/>
        <w:adjustRightInd w:val="0"/>
        <w:snapToGrid w:val="0"/>
        <w:rPr>
          <w:rFonts w:ascii="Times New Roman" w:hAnsi="Times New Roman" w:eastAsia="楷体_GB2312"/>
          <w:b/>
          <w:bCs/>
          <w:color w:val="000000" w:themeColor="text1"/>
          <w:sz w:val="36"/>
          <w:szCs w:val="36"/>
          <w14:textFill>
            <w14:solidFill>
              <w14:schemeClr w14:val="tx1"/>
            </w14:solidFill>
          </w14:textFill>
        </w:rPr>
      </w:pPr>
      <w:r>
        <w:rPr>
          <w:rFonts w:ascii="Times New Roman" w:hAnsi="Times New Roman" w:eastAsia="楷体_GB2312"/>
          <w:b/>
          <w:bCs/>
          <w:color w:val="000000" w:themeColor="text1"/>
          <w:sz w:val="36"/>
          <w:szCs w:val="36"/>
          <w14:textFill>
            <w14:solidFill>
              <w14:schemeClr w14:val="tx1"/>
            </w14:solidFill>
          </w14:textFill>
        </w:rPr>
        <w:br w:type="page"/>
      </w:r>
    </w:p>
    <w:p>
      <w:pPr>
        <w:pStyle w:val="2"/>
        <w:widowControl w:val="0"/>
        <w:adjustRightInd w:val="0"/>
        <w:snapToGrid w:val="0"/>
        <w:ind w:firstLine="340"/>
      </w:pPr>
    </w:p>
    <w:p>
      <w:pPr>
        <w:widowControl w:val="0"/>
        <w:adjustRightInd w:val="0"/>
        <w:snapToGrid w:val="0"/>
        <w:spacing w:after="120" w:line="560" w:lineRule="exact"/>
        <w:ind w:firstLine="760" w:firstLineChars="200"/>
        <w:jc w:val="center"/>
        <w:rPr>
          <w:rFonts w:ascii="Times New Roman" w:hAnsi="Times New Roman" w:eastAsia="仿宋_GB2312"/>
          <w:b/>
          <w:bCs/>
          <w:color w:val="000000" w:themeColor="text1"/>
          <w:sz w:val="36"/>
          <w:szCs w:val="36"/>
          <w14:textFill>
            <w14:solidFill>
              <w14:schemeClr w14:val="tx1"/>
            </w14:solidFill>
          </w14:textFill>
        </w:rPr>
      </w:pPr>
    </w:p>
    <w:p>
      <w:pPr>
        <w:widowControl w:val="0"/>
        <w:adjustRightInd w:val="0"/>
        <w:snapToGrid w:val="0"/>
        <w:spacing w:line="580" w:lineRule="exact"/>
        <w:rPr>
          <w:rFonts w:ascii="Times New Roman" w:hAnsi="Times New Roman"/>
          <w:color w:val="000000" w:themeColor="text1"/>
          <w14:textFill>
            <w14:solidFill>
              <w14:schemeClr w14:val="tx1"/>
            </w14:solidFill>
          </w14:textFill>
        </w:rPr>
        <w:sectPr>
          <w:headerReference r:id="rId7" w:type="first"/>
          <w:footerReference r:id="rId10" w:type="first"/>
          <w:headerReference r:id="rId5" w:type="default"/>
          <w:footerReference r:id="rId8" w:type="default"/>
          <w:headerReference r:id="rId6" w:type="even"/>
          <w:footerReference r:id="rId9" w:type="even"/>
          <w:pgSz w:w="11906" w:h="16838"/>
          <w:pgMar w:top="1587" w:right="1417" w:bottom="1587" w:left="1417" w:header="851" w:footer="992" w:gutter="0"/>
          <w:pgNumType w:fmt="numberInDash" w:start="3"/>
          <w:cols w:space="0" w:num="1"/>
          <w:titlePg/>
          <w:docGrid w:type="linesAndChars" w:linePitch="595" w:charSpace="4127"/>
        </w:sectPr>
      </w:pPr>
    </w:p>
    <w:p>
      <w:pPr>
        <w:widowControl w:val="0"/>
        <w:adjustRightInd w:val="0"/>
        <w:snapToGrid w:val="0"/>
        <w:spacing w:after="0" w:line="590" w:lineRule="exact"/>
        <w:jc w:val="center"/>
        <w:rPr>
          <w:rFonts w:ascii="Times New Roman" w:hAnsi="Times New Roman" w:eastAsia="方正小标宋简体"/>
          <w:bCs/>
          <w:color w:val="000000" w:themeColor="text1"/>
          <w:sz w:val="44"/>
          <w:szCs w:val="44"/>
          <w14:textFill>
            <w14:solidFill>
              <w14:schemeClr w14:val="tx1"/>
            </w14:solidFill>
          </w14:textFill>
        </w:rPr>
      </w:pPr>
    </w:p>
    <w:p>
      <w:pPr>
        <w:widowControl w:val="0"/>
        <w:adjustRightInd w:val="0"/>
        <w:snapToGrid w:val="0"/>
        <w:spacing w:after="0" w:line="590" w:lineRule="exact"/>
        <w:jc w:val="center"/>
        <w:rPr>
          <w:rFonts w:ascii="Times New Roman" w:hAnsi="Times New Roman" w:eastAsia="方正小标宋简体"/>
          <w:bCs/>
          <w:color w:val="000000" w:themeColor="text1"/>
          <w:sz w:val="44"/>
          <w:szCs w:val="44"/>
          <w14:textFill>
            <w14:solidFill>
              <w14:schemeClr w14:val="tx1"/>
            </w14:solidFill>
          </w14:textFill>
        </w:rPr>
      </w:pPr>
      <w:r>
        <w:rPr>
          <w:rFonts w:ascii="Times New Roman" w:hAnsi="Times New Roman" w:eastAsia="方正小标宋简体"/>
          <w:bCs/>
          <w:color w:val="000000" w:themeColor="text1"/>
          <w:sz w:val="44"/>
          <w:szCs w:val="44"/>
          <w14:textFill>
            <w14:solidFill>
              <w14:schemeClr w14:val="tx1"/>
            </w14:solidFill>
          </w14:textFill>
        </w:rPr>
        <w:t>前     言</w:t>
      </w:r>
    </w:p>
    <w:p>
      <w:pPr>
        <w:widowControl w:val="0"/>
        <w:overflowPunct w:val="0"/>
        <w:adjustRightInd w:val="0"/>
        <w:snapToGrid w:val="0"/>
        <w:spacing w:after="0" w:line="590" w:lineRule="exact"/>
        <w:ind w:firstLine="680" w:firstLineChars="200"/>
        <w:jc w:val="both"/>
        <w:rPr>
          <w:rFonts w:ascii="Times New Roman" w:hAnsi="Times New Roman" w:eastAsia="仿宋_GB2312"/>
          <w:color w:val="000000" w:themeColor="text1"/>
          <w:szCs w:val="32"/>
          <w14:textFill>
            <w14:solidFill>
              <w14:schemeClr w14:val="tx1"/>
            </w14:solidFill>
          </w14:textFill>
        </w:rPr>
      </w:pPr>
    </w:p>
    <w:p>
      <w:pPr>
        <w:widowControl w:val="0"/>
        <w:overflowPunct w:val="0"/>
        <w:adjustRightInd w:val="0"/>
        <w:snapToGrid w:val="0"/>
        <w:spacing w:after="0" w:line="590" w:lineRule="exact"/>
        <w:ind w:firstLine="680" w:firstLineChars="200"/>
        <w:jc w:val="both"/>
        <w:rPr>
          <w:rFonts w:ascii="Times New Roman" w:hAnsi="Times New Roman" w:eastAsia="仿宋_GB2312"/>
          <w:bCs/>
          <w:color w:val="000000" w:themeColor="text1"/>
          <w:szCs w:val="32"/>
          <w14:textFill>
            <w14:solidFill>
              <w14:schemeClr w14:val="tx1"/>
            </w14:solidFill>
          </w14:textFill>
        </w:rPr>
      </w:pPr>
      <w:r>
        <w:rPr>
          <w:rFonts w:ascii="Times New Roman" w:hAnsi="Times New Roman" w:eastAsia="仿宋_GB2312"/>
          <w:color w:val="000000" w:themeColor="text1"/>
          <w:szCs w:val="32"/>
          <w14:textFill>
            <w14:solidFill>
              <w14:schemeClr w14:val="tx1"/>
            </w14:solidFill>
          </w14:textFill>
        </w:rPr>
        <w:t>许昌市魏都区国民经济和社会发展第十四个五年规划和二〇三五年远景目标纲要，根据</w:t>
      </w:r>
      <w:r>
        <w:rPr>
          <w:rFonts w:ascii="Times New Roman" w:hAnsi="Times New Roman" w:eastAsia="仿宋_GB2312"/>
          <w:bCs/>
          <w:color w:val="000000" w:themeColor="text1"/>
          <w:szCs w:val="32"/>
          <w14:textFill>
            <w14:solidFill>
              <w14:schemeClr w14:val="tx1"/>
            </w14:solidFill>
          </w14:textFill>
        </w:rPr>
        <w:t>《中共魏都区委关于制定国民经济和社会发展第十四个五年规划和二〇三五远景目标的建议》</w:t>
      </w:r>
      <w:r>
        <w:rPr>
          <w:rFonts w:ascii="Times New Roman" w:hAnsi="Times New Roman" w:eastAsia="仿宋_GB2312"/>
          <w:color w:val="000000" w:themeColor="text1"/>
          <w:szCs w:val="32"/>
          <w14:textFill>
            <w14:solidFill>
              <w14:schemeClr w14:val="tx1"/>
            </w14:solidFill>
          </w14:textFill>
        </w:rPr>
        <w:t>编制。</w:t>
      </w:r>
      <w:r>
        <w:rPr>
          <w:rFonts w:ascii="Times New Roman" w:hAnsi="Times New Roman" w:eastAsia="仿宋_GB2312"/>
          <w:bCs/>
          <w:color w:val="000000" w:themeColor="text1"/>
          <w:szCs w:val="32"/>
          <w14:textFill>
            <w14:solidFill>
              <w14:schemeClr w14:val="tx1"/>
            </w14:solidFill>
          </w14:textFill>
        </w:rPr>
        <w:t>本纲要是</w:t>
      </w:r>
      <w:r>
        <w:rPr>
          <w:rFonts w:hint="eastAsia" w:ascii="Times New Roman" w:hAnsi="Times New Roman" w:eastAsia="仿宋_GB2312"/>
          <w:bCs/>
          <w:color w:val="000000" w:themeColor="text1"/>
          <w:szCs w:val="32"/>
          <w14:textFill>
            <w14:solidFill>
              <w14:schemeClr w14:val="tx1"/>
            </w14:solidFill>
          </w14:textFill>
        </w:rPr>
        <w:t>“</w:t>
      </w:r>
      <w:r>
        <w:rPr>
          <w:rFonts w:ascii="Times New Roman" w:hAnsi="Times New Roman" w:eastAsia="仿宋_GB2312"/>
          <w:bCs/>
          <w:color w:val="000000" w:themeColor="text1"/>
          <w:szCs w:val="32"/>
          <w14:textFill>
            <w14:solidFill>
              <w14:schemeClr w14:val="tx1"/>
            </w14:solidFill>
          </w14:textFill>
        </w:rPr>
        <w:t>十四五</w:t>
      </w:r>
      <w:r>
        <w:rPr>
          <w:rFonts w:hint="eastAsia" w:ascii="Times New Roman" w:hAnsi="Times New Roman" w:eastAsia="仿宋_GB2312"/>
          <w:bCs/>
          <w:color w:val="000000" w:themeColor="text1"/>
          <w:szCs w:val="32"/>
          <w14:textFill>
            <w14:solidFill>
              <w14:schemeClr w14:val="tx1"/>
            </w14:solidFill>
          </w14:textFill>
        </w:rPr>
        <w:t>”</w:t>
      </w:r>
      <w:r>
        <w:rPr>
          <w:rFonts w:ascii="Times New Roman" w:hAnsi="Times New Roman" w:eastAsia="仿宋_GB2312"/>
          <w:bCs/>
          <w:color w:val="000000" w:themeColor="text1"/>
          <w:szCs w:val="32"/>
          <w14:textFill>
            <w14:solidFill>
              <w14:schemeClr w14:val="tx1"/>
            </w14:solidFill>
          </w14:textFill>
        </w:rPr>
        <w:t>时期魏都区经济社会发展的战略性、纲领性、综合性规划，是指导魏都区未来五年发展的宏伟蓝图，是激发全区人民共同奋斗的行动纲领。</w:t>
      </w:r>
    </w:p>
    <w:p>
      <w:pPr>
        <w:widowControl w:val="0"/>
        <w:adjustRightInd w:val="0"/>
        <w:snapToGrid w:val="0"/>
        <w:rPr>
          <w:rFonts w:ascii="Times New Roman" w:hAnsi="Times New Roman" w:eastAsia="仿宋_GB2312"/>
          <w:bCs/>
          <w:color w:val="000000" w:themeColor="text1"/>
          <w:szCs w:val="32"/>
          <w14:textFill>
            <w14:solidFill>
              <w14:schemeClr w14:val="tx1"/>
            </w14:solidFill>
          </w14:textFill>
        </w:rPr>
      </w:pPr>
      <w:r>
        <w:rPr>
          <w:rFonts w:ascii="Times New Roman" w:hAnsi="Times New Roman" w:eastAsia="仿宋_GB2312"/>
          <w:bCs/>
          <w:color w:val="000000" w:themeColor="text1"/>
          <w:szCs w:val="32"/>
          <w14:textFill>
            <w14:solidFill>
              <w14:schemeClr w14:val="tx1"/>
            </w14:solidFill>
          </w14:textFill>
        </w:rPr>
        <w:br w:type="page"/>
      </w:r>
      <w:bookmarkStart w:id="152" w:name="_GoBack"/>
      <w:bookmarkEnd w:id="152"/>
    </w:p>
    <w:p>
      <w:pPr>
        <w:pStyle w:val="2"/>
        <w:widowControl w:val="0"/>
        <w:adjustRightInd w:val="0"/>
        <w:snapToGrid w:val="0"/>
        <w:spacing w:after="0" w:line="590" w:lineRule="exact"/>
        <w:ind w:firstLine="340"/>
        <w:rPr>
          <w:bCs/>
          <w:color w:val="000000" w:themeColor="text1"/>
          <w:szCs w:val="32"/>
          <w14:textFill>
            <w14:solidFill>
              <w14:schemeClr w14:val="tx1"/>
            </w14:solidFill>
          </w14:textFill>
        </w:rPr>
      </w:pPr>
    </w:p>
    <w:p>
      <w:pPr>
        <w:pStyle w:val="2"/>
        <w:widowControl w:val="0"/>
        <w:adjustRightInd w:val="0"/>
        <w:snapToGrid w:val="0"/>
        <w:spacing w:after="0" w:line="590" w:lineRule="exact"/>
        <w:ind w:firstLine="0" w:firstLineChars="0"/>
        <w:rPr>
          <w:b/>
          <w:i/>
          <w:iCs/>
          <w:color w:val="000000" w:themeColor="text1"/>
          <w:szCs w:val="32"/>
          <w14:textFill>
            <w14:solidFill>
              <w14:schemeClr w14:val="tx1"/>
            </w14:solidFill>
          </w14:textFill>
        </w:rPr>
      </w:pPr>
    </w:p>
    <w:p>
      <w:pPr>
        <w:pStyle w:val="2"/>
        <w:widowControl w:val="0"/>
        <w:adjustRightInd w:val="0"/>
        <w:snapToGrid w:val="0"/>
        <w:spacing w:after="0" w:line="590" w:lineRule="exact"/>
        <w:ind w:firstLine="0" w:firstLineChars="0"/>
        <w:rPr>
          <w:b/>
          <w:i/>
          <w:iCs/>
          <w:color w:val="000000" w:themeColor="text1"/>
          <w:szCs w:val="32"/>
          <w14:textFill>
            <w14:solidFill>
              <w14:schemeClr w14:val="tx1"/>
            </w14:solidFill>
          </w14:textFill>
        </w:rPr>
        <w:sectPr>
          <w:footerReference r:id="rId11" w:type="default"/>
          <w:pgSz w:w="11906" w:h="16838"/>
          <w:pgMar w:top="1587" w:right="1417" w:bottom="1587" w:left="1417" w:header="851" w:footer="992" w:gutter="0"/>
          <w:pgNumType w:fmt="numberInDash"/>
          <w:cols w:space="0" w:num="1"/>
          <w:titlePg/>
          <w:docGrid w:type="linesAndChars" w:linePitch="595" w:charSpace="4127"/>
        </w:sectPr>
      </w:pPr>
    </w:p>
    <w:p>
      <w:pPr>
        <w:widowControl w:val="0"/>
        <w:adjustRightInd w:val="0"/>
        <w:snapToGrid w:val="0"/>
        <w:spacing w:after="0" w:line="59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目    录</w:t>
      </w:r>
    </w:p>
    <w:p>
      <w:pPr>
        <w:pStyle w:val="2"/>
        <w:widowControl w:val="0"/>
        <w:adjustRightInd w:val="0"/>
        <w:snapToGrid w:val="0"/>
        <w:spacing w:after="0" w:line="674" w:lineRule="exact"/>
        <w:ind w:firstLine="321"/>
        <w:jc w:val="both"/>
        <w:rPr>
          <w:b/>
          <w:bCs/>
          <w:color w:val="000000" w:themeColor="text1"/>
          <w:sz w:val="30"/>
          <w:szCs w:val="30"/>
          <w14:textFill>
            <w14:solidFill>
              <w14:schemeClr w14:val="tx1"/>
            </w14:solidFill>
          </w14:textFill>
        </w:rPr>
      </w:pPr>
    </w:p>
    <w:p>
      <w:pPr>
        <w:widowControl w:val="0"/>
        <w:adjustRightInd w:val="0"/>
        <w:snapToGrid w:val="0"/>
        <w:spacing w:after="0" w:line="660" w:lineRule="exact"/>
        <w:jc w:val="distribute"/>
        <w:rPr>
          <w:rFonts w:ascii="仿宋_GB2312" w:hAnsi="仿宋_GB2312" w:eastAsia="仿宋_GB2312" w:cs="仿宋_GB2312"/>
          <w:b/>
          <w:bCs/>
          <w:snapToGrid w:val="0"/>
        </w:rPr>
      </w:pPr>
      <w:bookmarkStart w:id="0" w:name="_Toc2020840429"/>
      <w:r>
        <w:rPr>
          <w:rFonts w:hint="eastAsia" w:ascii="仿宋_GB2312" w:hAnsi="仿宋_GB2312" w:eastAsia="仿宋_GB2312" w:cs="仿宋_GB2312"/>
          <w:b/>
          <w:bCs/>
          <w:snapToGrid w:val="0"/>
        </w:rPr>
        <w:t>第一章  全面建成小康社会，开启全面建设社会主义现代化</w:t>
      </w:r>
    </w:p>
    <w:p>
      <w:pPr>
        <w:widowControl w:val="0"/>
        <w:adjustRightInd w:val="0"/>
        <w:snapToGrid w:val="0"/>
        <w:spacing w:after="0" w:line="660" w:lineRule="exact"/>
        <w:jc w:val="distribute"/>
        <w:rPr>
          <w:rFonts w:ascii="仿宋_GB2312" w:hAnsi="仿宋_GB2312" w:eastAsia="仿宋_GB2312" w:cs="仿宋_GB2312"/>
          <w:b/>
          <w:bCs/>
          <w:snapToGrid w:val="0"/>
        </w:rPr>
      </w:pPr>
      <w:r>
        <w:rPr>
          <w:rFonts w:hint="eastAsia" w:ascii="仿宋_GB2312" w:hAnsi="仿宋_GB2312" w:eastAsia="仿宋_GB2312" w:cs="仿宋_GB2312"/>
          <w:snapToGrid w:val="0"/>
        </w:rPr>
        <w:t xml:space="preserve">   </w:t>
      </w:r>
      <w:r>
        <w:rPr>
          <w:rFonts w:hint="eastAsia" w:ascii="仿宋_GB2312" w:hAnsi="仿宋_GB2312" w:eastAsia="仿宋_GB2312" w:cs="仿宋_GB2312"/>
          <w:b/>
          <w:bCs/>
          <w:snapToGrid w:val="0"/>
        </w:rPr>
        <w:t xml:space="preserve">      魏都新征程………………………………………</w:t>
      </w:r>
      <w:r>
        <w:rPr>
          <w:rFonts w:hint="eastAsia" w:ascii="Times New Roman" w:hAnsi="Times New Roman" w:eastAsia="仿宋_GB2312" w:cs="仿宋_GB2312"/>
          <w:snapToGrid w:val="0"/>
        </w:rPr>
        <w:t>1</w:t>
      </w:r>
    </w:p>
    <w:p>
      <w:pPr>
        <w:widowControl w:val="0"/>
        <w:adjustRightInd w:val="0"/>
        <w:snapToGrid w:val="0"/>
        <w:spacing w:after="0" w:line="660" w:lineRule="exact"/>
        <w:ind w:left="680" w:leftChars="200"/>
        <w:jc w:val="distribute"/>
        <w:rPr>
          <w:rFonts w:ascii="仿宋_GB2312" w:hAnsi="仿宋_GB2312" w:eastAsia="仿宋_GB2312" w:cs="仿宋_GB2312"/>
          <w:snapToGrid w:val="0"/>
        </w:rPr>
      </w:pPr>
      <w:r>
        <w:rPr>
          <w:rFonts w:hint="eastAsia" w:ascii="仿宋_GB2312" w:hAnsi="仿宋_GB2312" w:eastAsia="仿宋_GB2312" w:cs="仿宋_GB2312"/>
          <w:snapToGrid w:val="0"/>
        </w:rPr>
        <w:t>第一节　决胜全面建成小康社会取得决定性成就……</w:t>
      </w:r>
      <w:r>
        <w:rPr>
          <w:rFonts w:hint="eastAsia" w:ascii="Times New Roman" w:hAnsi="Times New Roman" w:eastAsia="仿宋_GB2312" w:cs="仿宋_GB2312"/>
          <w:snapToGrid w:val="0"/>
        </w:rPr>
        <w:t>1</w:t>
      </w:r>
    </w:p>
    <w:p>
      <w:pPr>
        <w:widowControl w:val="0"/>
        <w:adjustRightInd w:val="0"/>
        <w:snapToGrid w:val="0"/>
        <w:spacing w:after="0" w:line="660" w:lineRule="exact"/>
        <w:ind w:left="680" w:leftChars="200"/>
        <w:jc w:val="distribute"/>
        <w:rPr>
          <w:rFonts w:ascii="仿宋_GB2312" w:hAnsi="仿宋_GB2312" w:eastAsia="仿宋_GB2312" w:cs="仿宋_GB2312"/>
          <w:snapToGrid w:val="0"/>
        </w:rPr>
      </w:pPr>
      <w:r>
        <w:rPr>
          <w:rFonts w:hint="eastAsia" w:ascii="仿宋_GB2312" w:hAnsi="仿宋_GB2312" w:eastAsia="仿宋_GB2312" w:cs="仿宋_GB2312"/>
          <w:snapToGrid w:val="0"/>
        </w:rPr>
        <w:t>第二节 “十四五”面临发展机遇与挑战…………</w:t>
      </w:r>
      <w:r>
        <w:rPr>
          <w:rFonts w:hint="eastAsia" w:ascii="Times New Roman" w:hAnsi="Times New Roman" w:eastAsia="仿宋_GB2312" w:cs="仿宋_GB2312"/>
          <w:snapToGrid w:val="0"/>
        </w:rPr>
        <w:t>6</w:t>
      </w:r>
    </w:p>
    <w:p>
      <w:pPr>
        <w:widowControl w:val="0"/>
        <w:adjustRightInd w:val="0"/>
        <w:snapToGrid w:val="0"/>
        <w:spacing w:after="0" w:line="660" w:lineRule="exact"/>
        <w:jc w:val="distribute"/>
        <w:rPr>
          <w:rFonts w:ascii="仿宋_GB2312" w:hAnsi="仿宋_GB2312" w:eastAsia="仿宋_GB2312" w:cs="仿宋_GB2312"/>
          <w:b/>
          <w:bCs/>
          <w:snapToGrid w:val="0"/>
        </w:rPr>
      </w:pPr>
      <w:r>
        <w:rPr>
          <w:rFonts w:hint="eastAsia" w:ascii="仿宋_GB2312" w:hAnsi="仿宋_GB2312" w:eastAsia="仿宋_GB2312" w:cs="仿宋_GB2312"/>
          <w:b/>
          <w:bCs/>
          <w:snapToGrid w:val="0"/>
        </w:rPr>
        <w:t>第二章  未来五年发展蓝图和二〇三五年远景目标………</w:t>
      </w:r>
      <w:r>
        <w:rPr>
          <w:rFonts w:hint="eastAsia" w:ascii="Times New Roman" w:hAnsi="Times New Roman" w:eastAsia="仿宋_GB2312" w:cs="仿宋_GB2312"/>
          <w:snapToGrid w:val="0"/>
        </w:rPr>
        <w:t>8</w:t>
      </w:r>
    </w:p>
    <w:p>
      <w:pPr>
        <w:widowControl w:val="0"/>
        <w:adjustRightInd w:val="0"/>
        <w:snapToGrid w:val="0"/>
        <w:spacing w:after="0" w:line="660" w:lineRule="exact"/>
        <w:ind w:left="680" w:leftChars="200"/>
        <w:jc w:val="distribute"/>
        <w:rPr>
          <w:rFonts w:ascii="仿宋_GB2312" w:hAnsi="仿宋_GB2312" w:eastAsia="仿宋_GB2312" w:cs="仿宋_GB2312"/>
          <w:snapToGrid w:val="0"/>
        </w:rPr>
      </w:pPr>
      <w:r>
        <w:rPr>
          <w:rFonts w:hint="eastAsia" w:ascii="仿宋_GB2312" w:hAnsi="仿宋_GB2312" w:eastAsia="仿宋_GB2312" w:cs="仿宋_GB2312"/>
          <w:snapToGrid w:val="0"/>
        </w:rPr>
        <w:t>第一节  指导思想………………………………………</w:t>
      </w:r>
      <w:r>
        <w:rPr>
          <w:rFonts w:hint="eastAsia" w:ascii="Times New Roman" w:hAnsi="Times New Roman" w:eastAsia="仿宋_GB2312" w:cs="仿宋_GB2312"/>
          <w:snapToGrid w:val="0"/>
        </w:rPr>
        <w:t>8</w:t>
      </w:r>
    </w:p>
    <w:p>
      <w:pPr>
        <w:widowControl w:val="0"/>
        <w:adjustRightInd w:val="0"/>
        <w:snapToGrid w:val="0"/>
        <w:spacing w:after="0" w:line="660" w:lineRule="exact"/>
        <w:ind w:left="680" w:leftChars="200"/>
        <w:jc w:val="distribute"/>
        <w:rPr>
          <w:rFonts w:ascii="仿宋_GB2312" w:hAnsi="仿宋_GB2312" w:eastAsia="仿宋_GB2312" w:cs="仿宋_GB2312"/>
          <w:snapToGrid w:val="0"/>
        </w:rPr>
      </w:pPr>
      <w:r>
        <w:rPr>
          <w:rFonts w:hint="eastAsia" w:ascii="仿宋_GB2312" w:hAnsi="仿宋_GB2312" w:eastAsia="仿宋_GB2312" w:cs="仿宋_GB2312"/>
          <w:snapToGrid w:val="0"/>
        </w:rPr>
        <w:t>第二节  发展定位………………………………………</w:t>
      </w:r>
      <w:r>
        <w:rPr>
          <w:rFonts w:hint="eastAsia" w:ascii="Times New Roman" w:hAnsi="Times New Roman" w:eastAsia="仿宋_GB2312" w:cs="仿宋_GB2312"/>
          <w:snapToGrid w:val="0"/>
        </w:rPr>
        <w:t>8</w:t>
      </w:r>
    </w:p>
    <w:p>
      <w:pPr>
        <w:widowControl w:val="0"/>
        <w:adjustRightInd w:val="0"/>
        <w:snapToGrid w:val="0"/>
        <w:spacing w:after="0" w:line="660" w:lineRule="exact"/>
        <w:ind w:left="680" w:leftChars="200"/>
        <w:jc w:val="distribute"/>
        <w:rPr>
          <w:rFonts w:ascii="仿宋_GB2312" w:hAnsi="仿宋_GB2312" w:eastAsia="仿宋_GB2312" w:cs="仿宋_GB2312"/>
          <w:snapToGrid w:val="0"/>
        </w:rPr>
      </w:pPr>
      <w:r>
        <w:rPr>
          <w:rFonts w:hint="eastAsia" w:ascii="仿宋_GB2312" w:hAnsi="仿宋_GB2312" w:eastAsia="仿宋_GB2312" w:cs="仿宋_GB2312"/>
          <w:snapToGrid w:val="0"/>
        </w:rPr>
        <w:t>第三节  基本原则………………………………………</w:t>
      </w:r>
      <w:r>
        <w:rPr>
          <w:rFonts w:hint="eastAsia" w:ascii="Times New Roman" w:hAnsi="Times New Roman" w:eastAsia="仿宋_GB2312" w:cs="仿宋_GB2312"/>
          <w:snapToGrid w:val="0"/>
        </w:rPr>
        <w:t>9</w:t>
      </w:r>
    </w:p>
    <w:p>
      <w:pPr>
        <w:widowControl w:val="0"/>
        <w:adjustRightInd w:val="0"/>
        <w:snapToGrid w:val="0"/>
        <w:spacing w:after="0" w:line="660" w:lineRule="exact"/>
        <w:ind w:left="680" w:leftChars="200"/>
        <w:jc w:val="distribute"/>
        <w:rPr>
          <w:rFonts w:ascii="Times New Roman" w:hAnsi="Times New Roman" w:eastAsia="仿宋_GB2312" w:cs="仿宋_GB2312"/>
          <w:snapToGrid w:val="0"/>
        </w:rPr>
      </w:pPr>
      <w:r>
        <w:rPr>
          <w:rFonts w:hint="eastAsia" w:ascii="仿宋_GB2312" w:hAnsi="仿宋_GB2312" w:eastAsia="仿宋_GB2312" w:cs="仿宋_GB2312"/>
          <w:snapToGrid w:val="0"/>
        </w:rPr>
        <w:t>第四节  “十四五”时期经济社会发展目标…………</w:t>
      </w:r>
      <w:r>
        <w:rPr>
          <w:rFonts w:ascii="仿宋_GB2312" w:hAnsi="仿宋_GB2312" w:eastAsia="仿宋_GB2312" w:cs="仿宋_GB2312"/>
          <w:snapToGrid w:val="0"/>
        </w:rPr>
        <w:t>……</w:t>
      </w:r>
      <w:r>
        <w:rPr>
          <w:rFonts w:hint="eastAsia" w:ascii="Times New Roman" w:hAnsi="Times New Roman" w:eastAsia="仿宋_GB2312" w:cs="仿宋_GB2312"/>
          <w:snapToGrid w:val="0"/>
        </w:rPr>
        <w:t>11</w:t>
      </w:r>
    </w:p>
    <w:p>
      <w:pPr>
        <w:widowControl w:val="0"/>
        <w:adjustRightInd w:val="0"/>
        <w:snapToGrid w:val="0"/>
        <w:spacing w:after="0" w:line="660" w:lineRule="exact"/>
        <w:ind w:left="680" w:leftChars="200"/>
        <w:jc w:val="distribute"/>
        <w:rPr>
          <w:rFonts w:ascii="Times New Roman" w:hAnsi="Times New Roman" w:eastAsia="仿宋_GB2312" w:cs="仿宋_GB2312"/>
          <w:snapToGrid w:val="0"/>
        </w:rPr>
      </w:pPr>
      <w:r>
        <w:rPr>
          <w:rFonts w:hint="eastAsia" w:ascii="仿宋_GB2312" w:hAnsi="仿宋_GB2312" w:eastAsia="仿宋_GB2312" w:cs="仿宋_GB2312"/>
          <w:snapToGrid w:val="0"/>
        </w:rPr>
        <w:t>第五节   二〇三五年的远景目标………………………</w:t>
      </w:r>
      <w:r>
        <w:rPr>
          <w:rFonts w:ascii="仿宋_GB2312" w:hAnsi="仿宋_GB2312" w:eastAsia="仿宋_GB2312" w:cs="仿宋_GB2312"/>
          <w:snapToGrid w:val="0"/>
        </w:rPr>
        <w:t>…</w:t>
      </w:r>
      <w:r>
        <w:rPr>
          <w:rFonts w:hint="eastAsia" w:ascii="Times New Roman" w:hAnsi="Times New Roman" w:eastAsia="仿宋_GB2312" w:cs="仿宋_GB2312"/>
          <w:snapToGrid w:val="0"/>
        </w:rPr>
        <w:t>13</w:t>
      </w:r>
    </w:p>
    <w:p>
      <w:pPr>
        <w:widowControl w:val="0"/>
        <w:adjustRightInd w:val="0"/>
        <w:snapToGrid w:val="0"/>
        <w:spacing w:after="0" w:line="660" w:lineRule="exact"/>
        <w:ind w:left="680" w:leftChars="200"/>
        <w:jc w:val="distribute"/>
        <w:rPr>
          <w:rFonts w:ascii="仿宋_GB2312" w:hAnsi="仿宋_GB2312" w:eastAsia="仿宋_GB2312" w:cs="仿宋_GB2312"/>
          <w:snapToGrid w:val="0"/>
        </w:rPr>
      </w:pPr>
      <w:r>
        <w:rPr>
          <w:rFonts w:hint="eastAsia" w:ascii="仿宋_GB2312" w:hAnsi="仿宋_GB2312" w:eastAsia="仿宋_GB2312" w:cs="仿宋_GB2312"/>
          <w:snapToGrid w:val="0"/>
        </w:rPr>
        <w:t>第六节  战略导向………………………………………</w:t>
      </w:r>
      <w:r>
        <w:rPr>
          <w:rFonts w:hint="eastAsia" w:ascii="Times New Roman" w:hAnsi="Times New Roman" w:eastAsia="仿宋_GB2312" w:cs="仿宋_GB2312"/>
          <w:snapToGrid w:val="0"/>
        </w:rPr>
        <w:t>14</w:t>
      </w:r>
    </w:p>
    <w:p>
      <w:pPr>
        <w:widowControl w:val="0"/>
        <w:adjustRightInd w:val="0"/>
        <w:snapToGrid w:val="0"/>
        <w:spacing w:after="0" w:line="660" w:lineRule="exact"/>
        <w:jc w:val="distribute"/>
        <w:rPr>
          <w:rFonts w:ascii="仿宋_GB2312" w:hAnsi="仿宋_GB2312" w:eastAsia="仿宋_GB2312" w:cs="仿宋_GB2312"/>
          <w:b/>
          <w:bCs/>
          <w:snapToGrid w:val="0"/>
        </w:rPr>
      </w:pPr>
      <w:r>
        <w:rPr>
          <w:rFonts w:hint="eastAsia" w:ascii="仿宋_GB2312" w:hAnsi="仿宋_GB2312" w:eastAsia="仿宋_GB2312" w:cs="仿宋_GB2312"/>
          <w:b/>
          <w:bCs/>
          <w:snapToGrid w:val="0"/>
        </w:rPr>
        <w:t>第三章  强化创新驱动，培育经济高质量发展新动能…</w:t>
      </w:r>
      <w:r>
        <w:rPr>
          <w:rFonts w:hint="eastAsia" w:ascii="Times New Roman" w:hAnsi="Times New Roman" w:eastAsia="仿宋_GB2312" w:cs="仿宋_GB2312"/>
          <w:snapToGrid w:val="0"/>
        </w:rPr>
        <w:t>17</w:t>
      </w:r>
    </w:p>
    <w:p>
      <w:pPr>
        <w:widowControl w:val="0"/>
        <w:adjustRightInd w:val="0"/>
        <w:snapToGrid w:val="0"/>
        <w:spacing w:after="0" w:line="660" w:lineRule="exact"/>
        <w:ind w:left="680" w:leftChars="200"/>
        <w:jc w:val="distribute"/>
        <w:rPr>
          <w:rFonts w:ascii="仿宋_GB2312" w:hAnsi="仿宋_GB2312" w:eastAsia="仿宋_GB2312" w:cs="仿宋_GB2312"/>
          <w:snapToGrid w:val="0"/>
        </w:rPr>
      </w:pPr>
      <w:r>
        <w:rPr>
          <w:rFonts w:hint="eastAsia" w:ascii="仿宋_GB2312" w:hAnsi="仿宋_GB2312" w:eastAsia="仿宋_GB2312" w:cs="仿宋_GB2312"/>
          <w:snapToGrid w:val="0"/>
        </w:rPr>
        <w:t>第一节  提升自主创新能力……………………………</w:t>
      </w:r>
      <w:r>
        <w:rPr>
          <w:rFonts w:hint="eastAsia" w:ascii="Times New Roman" w:hAnsi="Times New Roman" w:eastAsia="仿宋_GB2312" w:cs="仿宋_GB2312"/>
          <w:snapToGrid w:val="0"/>
        </w:rPr>
        <w:t>17</w:t>
      </w:r>
    </w:p>
    <w:p>
      <w:pPr>
        <w:widowControl w:val="0"/>
        <w:adjustRightInd w:val="0"/>
        <w:snapToGrid w:val="0"/>
        <w:spacing w:after="0" w:line="660" w:lineRule="exact"/>
        <w:ind w:left="680" w:leftChars="200"/>
        <w:jc w:val="distribute"/>
        <w:rPr>
          <w:rFonts w:ascii="仿宋_GB2312" w:hAnsi="仿宋_GB2312" w:eastAsia="仿宋_GB2312" w:cs="仿宋_GB2312"/>
          <w:snapToGrid w:val="0"/>
        </w:rPr>
      </w:pPr>
      <w:r>
        <w:rPr>
          <w:rFonts w:hint="eastAsia" w:ascii="仿宋_GB2312" w:hAnsi="仿宋_GB2312" w:eastAsia="仿宋_GB2312" w:cs="仿宋_GB2312"/>
          <w:snapToGrid w:val="0"/>
        </w:rPr>
        <w:t>第二节  搭建创新创业平台……………………………</w:t>
      </w:r>
      <w:r>
        <w:rPr>
          <w:rFonts w:hint="eastAsia" w:ascii="Times New Roman" w:hAnsi="Times New Roman" w:eastAsia="仿宋_GB2312" w:cs="仿宋_GB2312"/>
          <w:snapToGrid w:val="0"/>
        </w:rPr>
        <w:t>18</w:t>
      </w:r>
    </w:p>
    <w:p>
      <w:pPr>
        <w:widowControl w:val="0"/>
        <w:adjustRightInd w:val="0"/>
        <w:snapToGrid w:val="0"/>
        <w:spacing w:after="0" w:line="660" w:lineRule="exact"/>
        <w:ind w:left="680" w:leftChars="200"/>
        <w:jc w:val="distribute"/>
        <w:rPr>
          <w:rFonts w:ascii="仿宋_GB2312" w:hAnsi="仿宋_GB2312" w:eastAsia="仿宋_GB2312" w:cs="仿宋_GB2312"/>
          <w:snapToGrid w:val="0"/>
        </w:rPr>
      </w:pPr>
      <w:r>
        <w:rPr>
          <w:rFonts w:hint="eastAsia" w:ascii="仿宋_GB2312" w:hAnsi="仿宋_GB2312" w:eastAsia="仿宋_GB2312" w:cs="仿宋_GB2312"/>
          <w:snapToGrid w:val="0"/>
        </w:rPr>
        <w:t>第三节  构筑人才集聚高地……………………………</w:t>
      </w:r>
      <w:r>
        <w:rPr>
          <w:rFonts w:hint="eastAsia" w:ascii="Times New Roman" w:hAnsi="Times New Roman" w:eastAsia="仿宋_GB2312" w:cs="仿宋_GB2312"/>
          <w:snapToGrid w:val="0"/>
        </w:rPr>
        <w:t>19</w:t>
      </w:r>
    </w:p>
    <w:p>
      <w:pPr>
        <w:widowControl w:val="0"/>
        <w:adjustRightInd w:val="0"/>
        <w:snapToGrid w:val="0"/>
        <w:spacing w:after="0" w:line="660" w:lineRule="exact"/>
        <w:ind w:left="680" w:leftChars="200"/>
        <w:jc w:val="distribute"/>
        <w:rPr>
          <w:rFonts w:ascii="仿宋_GB2312" w:hAnsi="仿宋_GB2312" w:eastAsia="仿宋_GB2312" w:cs="仿宋_GB2312"/>
          <w:snapToGrid w:val="0"/>
        </w:rPr>
      </w:pPr>
      <w:r>
        <w:rPr>
          <w:rFonts w:hint="eastAsia" w:ascii="仿宋_GB2312" w:hAnsi="仿宋_GB2312" w:eastAsia="仿宋_GB2312" w:cs="仿宋_GB2312"/>
          <w:snapToGrid w:val="0"/>
        </w:rPr>
        <w:t>第四节  完善创新体制机制……………………………</w:t>
      </w:r>
      <w:r>
        <w:rPr>
          <w:rFonts w:hint="eastAsia" w:ascii="Times New Roman" w:hAnsi="Times New Roman" w:eastAsia="仿宋_GB2312" w:cs="仿宋_GB2312"/>
          <w:snapToGrid w:val="0"/>
        </w:rPr>
        <w:t>20</w:t>
      </w:r>
    </w:p>
    <w:p>
      <w:pPr>
        <w:widowControl w:val="0"/>
        <w:adjustRightInd w:val="0"/>
        <w:snapToGrid w:val="0"/>
        <w:spacing w:after="0" w:line="660" w:lineRule="exact"/>
        <w:jc w:val="distribute"/>
        <w:rPr>
          <w:rFonts w:ascii="仿宋_GB2312" w:hAnsi="仿宋_GB2312" w:eastAsia="仿宋_GB2312" w:cs="仿宋_GB2312"/>
          <w:b/>
          <w:bCs/>
          <w:snapToGrid w:val="0"/>
        </w:rPr>
      </w:pPr>
      <w:r>
        <w:rPr>
          <w:rFonts w:hint="eastAsia" w:ascii="仿宋_GB2312" w:hAnsi="仿宋_GB2312" w:eastAsia="仿宋_GB2312" w:cs="仿宋_GB2312"/>
          <w:b/>
          <w:bCs/>
          <w:snapToGrid w:val="0"/>
        </w:rPr>
        <w:t>第四章  加快制造业转型升级，构建现代化制造业新体系</w:t>
      </w:r>
      <w:r>
        <w:rPr>
          <w:rFonts w:ascii="仿宋_GB2312" w:hAnsi="仿宋_GB2312" w:eastAsia="仿宋_GB2312" w:cs="仿宋_GB2312"/>
          <w:b/>
          <w:bCs/>
          <w:snapToGrid w:val="0"/>
        </w:rPr>
        <w:t>…</w:t>
      </w:r>
      <w:r>
        <w:rPr>
          <w:rFonts w:hint="eastAsia" w:ascii="Times New Roman" w:hAnsi="Times New Roman" w:eastAsia="仿宋_GB2312" w:cs="仿宋_GB2312"/>
          <w:snapToGrid w:val="0"/>
        </w:rPr>
        <w:t>23</w:t>
      </w:r>
    </w:p>
    <w:p>
      <w:pPr>
        <w:widowControl w:val="0"/>
        <w:adjustRightInd w:val="0"/>
        <w:snapToGrid w:val="0"/>
        <w:spacing w:after="0" w:line="660" w:lineRule="exact"/>
        <w:ind w:left="680" w:leftChars="200"/>
        <w:jc w:val="distribute"/>
        <w:rPr>
          <w:rFonts w:ascii="仿宋_GB2312" w:hAnsi="仿宋_GB2312" w:eastAsia="仿宋_GB2312" w:cs="仿宋_GB2312"/>
          <w:snapToGrid w:val="0"/>
        </w:rPr>
      </w:pPr>
      <w:r>
        <w:rPr>
          <w:rFonts w:hint="eastAsia" w:ascii="仿宋_GB2312" w:hAnsi="仿宋_GB2312" w:eastAsia="仿宋_GB2312" w:cs="仿宋_GB2312"/>
          <w:snapToGrid w:val="0"/>
        </w:rPr>
        <w:t>第一节  锚定高质量发展方向………………………</w:t>
      </w:r>
      <w:r>
        <w:rPr>
          <w:rFonts w:hint="eastAsia" w:ascii="Times New Roman" w:hAnsi="Times New Roman" w:eastAsia="仿宋_GB2312" w:cs="仿宋_GB2312"/>
          <w:snapToGrid w:val="0"/>
        </w:rPr>
        <w:t>23</w:t>
      </w:r>
      <w:r>
        <w:rPr>
          <w:rFonts w:hint="eastAsia" w:ascii="仿宋_GB2312" w:hAnsi="仿宋_GB2312" w:eastAsia="仿宋_GB2312" w:cs="仿宋_GB2312"/>
          <w:snapToGrid w:val="0"/>
        </w:rPr>
        <w:t xml:space="preserve"> </w:t>
      </w:r>
    </w:p>
    <w:p>
      <w:pPr>
        <w:widowControl w:val="0"/>
        <w:adjustRightInd w:val="0"/>
        <w:snapToGrid w:val="0"/>
        <w:spacing w:after="0" w:line="660" w:lineRule="exact"/>
        <w:ind w:left="680" w:leftChars="200"/>
        <w:jc w:val="distribute"/>
        <w:rPr>
          <w:rFonts w:ascii="仿宋_GB2312" w:hAnsi="仿宋_GB2312" w:eastAsia="仿宋_GB2312" w:cs="仿宋_GB2312"/>
          <w:snapToGrid w:val="0"/>
        </w:rPr>
      </w:pPr>
      <w:r>
        <w:rPr>
          <w:rFonts w:hint="eastAsia" w:ascii="仿宋_GB2312" w:hAnsi="仿宋_GB2312" w:eastAsia="仿宋_GB2312" w:cs="仿宋_GB2312"/>
          <w:snapToGrid w:val="0"/>
        </w:rPr>
        <w:t>第二节  壮大现代制造业发展梯队…………………</w:t>
      </w:r>
      <w:r>
        <w:rPr>
          <w:rFonts w:hint="eastAsia" w:ascii="Times New Roman" w:hAnsi="Times New Roman" w:eastAsia="仿宋_GB2312" w:cs="仿宋_GB2312"/>
          <w:snapToGrid w:val="0"/>
        </w:rPr>
        <w:t>24</w:t>
      </w:r>
    </w:p>
    <w:p>
      <w:pPr>
        <w:widowControl w:val="0"/>
        <w:adjustRightInd w:val="0"/>
        <w:snapToGrid w:val="0"/>
        <w:spacing w:after="0" w:line="660" w:lineRule="exact"/>
        <w:ind w:left="680" w:leftChars="200"/>
        <w:jc w:val="distribute"/>
        <w:rPr>
          <w:rFonts w:ascii="仿宋_GB2312" w:hAnsi="仿宋_GB2312" w:eastAsia="仿宋_GB2312" w:cs="仿宋_GB2312"/>
          <w:snapToGrid w:val="0"/>
        </w:rPr>
      </w:pPr>
      <w:r>
        <w:rPr>
          <w:rFonts w:hint="eastAsia" w:ascii="仿宋_GB2312" w:hAnsi="仿宋_GB2312" w:eastAsia="仿宋_GB2312" w:cs="仿宋_GB2312"/>
          <w:snapToGrid w:val="0"/>
        </w:rPr>
        <w:t>第三节  打造空间核心增长极………………………</w:t>
      </w:r>
      <w:r>
        <w:rPr>
          <w:rFonts w:hint="eastAsia" w:ascii="Times New Roman" w:hAnsi="Times New Roman" w:eastAsia="仿宋_GB2312" w:cs="仿宋_GB2312"/>
          <w:snapToGrid w:val="0"/>
        </w:rPr>
        <w:t>25</w:t>
      </w:r>
    </w:p>
    <w:p>
      <w:pPr>
        <w:widowControl w:val="0"/>
        <w:adjustRightInd w:val="0"/>
        <w:snapToGrid w:val="0"/>
        <w:spacing w:after="0" w:line="660" w:lineRule="exact"/>
        <w:jc w:val="distribute"/>
        <w:rPr>
          <w:rFonts w:ascii="Times New Roman" w:hAnsi="Times New Roman" w:eastAsia="仿宋_GB2312" w:cs="仿宋_GB2312"/>
          <w:snapToGrid w:val="0"/>
        </w:rPr>
      </w:pPr>
      <w:r>
        <w:rPr>
          <w:rFonts w:hint="eastAsia" w:ascii="仿宋_GB2312" w:hAnsi="仿宋_GB2312" w:eastAsia="仿宋_GB2312" w:cs="仿宋_GB2312"/>
          <w:b/>
          <w:bCs/>
          <w:snapToGrid w:val="0"/>
        </w:rPr>
        <w:t>第五章  加快服务业提档升级，巩固提升消费市场新优势</w:t>
      </w:r>
      <w:r>
        <w:rPr>
          <w:rFonts w:ascii="仿宋_GB2312" w:hAnsi="仿宋_GB2312" w:eastAsia="仿宋_GB2312" w:cs="仿宋_GB2312"/>
          <w:b/>
          <w:bCs/>
          <w:snapToGrid w:val="0"/>
        </w:rPr>
        <w:t>…</w:t>
      </w:r>
      <w:r>
        <w:rPr>
          <w:rFonts w:hint="eastAsia" w:ascii="Times New Roman" w:hAnsi="Times New Roman" w:eastAsia="仿宋_GB2312" w:cs="仿宋_GB2312"/>
          <w:snapToGrid w:val="0"/>
        </w:rPr>
        <w:t>28</w:t>
      </w:r>
    </w:p>
    <w:p>
      <w:pPr>
        <w:widowControl w:val="0"/>
        <w:adjustRightInd w:val="0"/>
        <w:snapToGrid w:val="0"/>
        <w:spacing w:after="0" w:line="660" w:lineRule="exact"/>
        <w:ind w:left="680" w:leftChars="200"/>
        <w:jc w:val="distribute"/>
        <w:rPr>
          <w:rFonts w:ascii="仿宋_GB2312" w:hAnsi="仿宋_GB2312" w:eastAsia="仿宋_GB2312" w:cs="仿宋_GB2312"/>
          <w:snapToGrid w:val="0"/>
        </w:rPr>
      </w:pPr>
      <w:r>
        <w:rPr>
          <w:rFonts w:hint="eastAsia" w:ascii="仿宋_GB2312" w:hAnsi="仿宋_GB2312" w:eastAsia="仿宋_GB2312" w:cs="仿宋_GB2312"/>
          <w:snapToGrid w:val="0"/>
        </w:rPr>
        <w:t>第一节  坚持数字经济赋能发展……………………</w:t>
      </w:r>
      <w:r>
        <w:rPr>
          <w:rFonts w:hint="eastAsia" w:ascii="Times New Roman" w:hAnsi="Times New Roman" w:eastAsia="仿宋_GB2312" w:cs="仿宋_GB2312"/>
          <w:snapToGrid w:val="0"/>
        </w:rPr>
        <w:t>28</w:t>
      </w:r>
    </w:p>
    <w:p>
      <w:pPr>
        <w:widowControl w:val="0"/>
        <w:adjustRightInd w:val="0"/>
        <w:snapToGrid w:val="0"/>
        <w:spacing w:after="0" w:line="660" w:lineRule="exact"/>
        <w:ind w:left="680" w:leftChars="200"/>
        <w:jc w:val="distribute"/>
        <w:rPr>
          <w:rFonts w:ascii="仿宋_GB2312" w:hAnsi="仿宋_GB2312" w:eastAsia="仿宋_GB2312" w:cs="仿宋_GB2312"/>
          <w:snapToGrid w:val="0"/>
        </w:rPr>
      </w:pPr>
      <w:r>
        <w:rPr>
          <w:rFonts w:hint="eastAsia" w:ascii="仿宋_GB2312" w:hAnsi="仿宋_GB2312" w:eastAsia="仿宋_GB2312" w:cs="仿宋_GB2312"/>
          <w:snapToGrid w:val="0"/>
        </w:rPr>
        <w:t>第二节  重点培育四大主导产业……………………</w:t>
      </w:r>
      <w:r>
        <w:rPr>
          <w:rFonts w:hint="eastAsia" w:ascii="Times New Roman" w:hAnsi="Times New Roman" w:eastAsia="仿宋_GB2312" w:cs="仿宋_GB2312"/>
          <w:snapToGrid w:val="0"/>
        </w:rPr>
        <w:t>29</w:t>
      </w:r>
      <w:r>
        <w:rPr>
          <w:rFonts w:hint="eastAsia" w:ascii="仿宋_GB2312" w:hAnsi="仿宋_GB2312" w:eastAsia="仿宋_GB2312" w:cs="仿宋_GB2312"/>
          <w:snapToGrid w:val="0"/>
        </w:rPr>
        <w:t xml:space="preserve"> </w:t>
      </w:r>
    </w:p>
    <w:p>
      <w:pPr>
        <w:widowControl w:val="0"/>
        <w:adjustRightInd w:val="0"/>
        <w:snapToGrid w:val="0"/>
        <w:spacing w:after="0" w:line="660" w:lineRule="exact"/>
        <w:ind w:left="680" w:leftChars="200"/>
        <w:jc w:val="distribute"/>
        <w:rPr>
          <w:rFonts w:ascii="仿宋_GB2312" w:hAnsi="仿宋_GB2312" w:eastAsia="仿宋_GB2312" w:cs="仿宋_GB2312"/>
          <w:snapToGrid w:val="0"/>
        </w:rPr>
      </w:pPr>
      <w:r>
        <w:rPr>
          <w:rFonts w:hint="eastAsia" w:ascii="仿宋_GB2312" w:hAnsi="仿宋_GB2312" w:eastAsia="仿宋_GB2312" w:cs="仿宋_GB2312"/>
          <w:snapToGrid w:val="0"/>
        </w:rPr>
        <w:t>第三节  巩固提升传统优势产业……………………</w:t>
      </w:r>
      <w:r>
        <w:rPr>
          <w:rFonts w:hint="eastAsia" w:ascii="Times New Roman" w:hAnsi="Times New Roman" w:eastAsia="仿宋_GB2312" w:cs="仿宋_GB2312"/>
          <w:snapToGrid w:val="0"/>
        </w:rPr>
        <w:t>31</w:t>
      </w:r>
      <w:r>
        <w:rPr>
          <w:rFonts w:hint="eastAsia" w:ascii="仿宋_GB2312" w:hAnsi="仿宋_GB2312" w:eastAsia="仿宋_GB2312" w:cs="仿宋_GB2312"/>
          <w:snapToGrid w:val="0"/>
        </w:rPr>
        <w:t xml:space="preserve"> </w:t>
      </w:r>
    </w:p>
    <w:p>
      <w:pPr>
        <w:widowControl w:val="0"/>
        <w:adjustRightInd w:val="0"/>
        <w:snapToGrid w:val="0"/>
        <w:spacing w:after="0" w:line="660" w:lineRule="exact"/>
        <w:ind w:left="680" w:leftChars="200"/>
        <w:jc w:val="distribute"/>
        <w:rPr>
          <w:rFonts w:ascii="仿宋_GB2312" w:hAnsi="仿宋_GB2312" w:eastAsia="仿宋_GB2312" w:cs="仿宋_GB2312"/>
          <w:snapToGrid w:val="0"/>
        </w:rPr>
      </w:pPr>
      <w:r>
        <w:rPr>
          <w:rFonts w:hint="eastAsia" w:ascii="仿宋_GB2312" w:hAnsi="仿宋_GB2312" w:eastAsia="仿宋_GB2312" w:cs="仿宋_GB2312"/>
          <w:snapToGrid w:val="0"/>
        </w:rPr>
        <w:t>第四节  大力发展新兴成长产业……………………</w:t>
      </w:r>
      <w:r>
        <w:rPr>
          <w:rFonts w:hint="eastAsia" w:ascii="Times New Roman" w:hAnsi="Times New Roman" w:eastAsia="仿宋_GB2312" w:cs="仿宋_GB2312"/>
          <w:snapToGrid w:val="0"/>
        </w:rPr>
        <w:t>33</w:t>
      </w:r>
    </w:p>
    <w:p>
      <w:pPr>
        <w:widowControl w:val="0"/>
        <w:adjustRightInd w:val="0"/>
        <w:snapToGrid w:val="0"/>
        <w:spacing w:after="0" w:line="660" w:lineRule="exact"/>
        <w:ind w:left="680" w:leftChars="200"/>
        <w:jc w:val="distribute"/>
        <w:rPr>
          <w:rFonts w:ascii="仿宋_GB2312" w:hAnsi="仿宋_GB2312" w:eastAsia="仿宋_GB2312" w:cs="仿宋_GB2312"/>
          <w:snapToGrid w:val="0"/>
        </w:rPr>
      </w:pPr>
      <w:r>
        <w:rPr>
          <w:rFonts w:hint="eastAsia" w:ascii="仿宋_GB2312" w:hAnsi="仿宋_GB2312" w:eastAsia="仿宋_GB2312" w:cs="仿宋_GB2312"/>
          <w:snapToGrid w:val="0"/>
        </w:rPr>
        <w:t>第五节  打造高品质服务业商圈……………………</w:t>
      </w:r>
      <w:r>
        <w:rPr>
          <w:rFonts w:hint="eastAsia" w:ascii="Times New Roman" w:hAnsi="Times New Roman" w:eastAsia="仿宋_GB2312" w:cs="仿宋_GB2312"/>
          <w:snapToGrid w:val="0"/>
        </w:rPr>
        <w:t>34</w:t>
      </w:r>
    </w:p>
    <w:p>
      <w:pPr>
        <w:widowControl w:val="0"/>
        <w:adjustRightInd w:val="0"/>
        <w:snapToGrid w:val="0"/>
        <w:spacing w:after="0" w:line="660" w:lineRule="exact"/>
        <w:jc w:val="distribute"/>
        <w:rPr>
          <w:rFonts w:ascii="仿宋_GB2312" w:hAnsi="仿宋_GB2312" w:eastAsia="仿宋_GB2312" w:cs="仿宋_GB2312"/>
          <w:b/>
          <w:bCs/>
          <w:snapToGrid w:val="0"/>
        </w:rPr>
      </w:pPr>
      <w:r>
        <w:rPr>
          <w:rFonts w:hint="eastAsia" w:ascii="仿宋_GB2312" w:hAnsi="仿宋_GB2312" w:eastAsia="仿宋_GB2312" w:cs="仿宋_GB2312"/>
          <w:b/>
          <w:bCs/>
          <w:snapToGrid w:val="0"/>
        </w:rPr>
        <w:t>第六章  提升城区承载能级，展示中心城区宜居新形象…</w:t>
      </w:r>
      <w:r>
        <w:rPr>
          <w:rFonts w:hint="eastAsia" w:ascii="Times New Roman" w:hAnsi="Times New Roman" w:eastAsia="仿宋_GB2312" w:cs="仿宋_GB2312"/>
          <w:snapToGrid w:val="0"/>
        </w:rPr>
        <w:t>35</w:t>
      </w:r>
    </w:p>
    <w:p>
      <w:pPr>
        <w:widowControl w:val="0"/>
        <w:adjustRightInd w:val="0"/>
        <w:snapToGrid w:val="0"/>
        <w:spacing w:after="0" w:line="660" w:lineRule="exact"/>
        <w:ind w:left="680" w:leftChars="200"/>
        <w:jc w:val="distribute"/>
        <w:rPr>
          <w:rFonts w:ascii="仿宋_GB2312" w:hAnsi="仿宋_GB2312" w:eastAsia="仿宋_GB2312" w:cs="仿宋_GB2312"/>
          <w:snapToGrid w:val="0"/>
        </w:rPr>
      </w:pPr>
      <w:r>
        <w:rPr>
          <w:rFonts w:hint="eastAsia" w:ascii="仿宋_GB2312" w:hAnsi="仿宋_GB2312" w:eastAsia="仿宋_GB2312" w:cs="仿宋_GB2312"/>
          <w:snapToGrid w:val="0"/>
        </w:rPr>
        <w:t>第一节  高标准打造双创宜居示范区………………</w:t>
      </w:r>
      <w:r>
        <w:rPr>
          <w:rFonts w:hint="eastAsia" w:ascii="Times New Roman" w:hAnsi="Times New Roman" w:eastAsia="仿宋_GB2312" w:cs="仿宋_GB2312"/>
          <w:snapToGrid w:val="0"/>
        </w:rPr>
        <w:t>36</w:t>
      </w:r>
    </w:p>
    <w:p>
      <w:pPr>
        <w:widowControl w:val="0"/>
        <w:adjustRightInd w:val="0"/>
        <w:snapToGrid w:val="0"/>
        <w:spacing w:after="0" w:line="660" w:lineRule="exact"/>
        <w:ind w:left="680" w:leftChars="200"/>
        <w:jc w:val="distribute"/>
        <w:rPr>
          <w:rFonts w:ascii="仿宋_GB2312" w:hAnsi="仿宋_GB2312" w:eastAsia="仿宋_GB2312" w:cs="仿宋_GB2312"/>
          <w:snapToGrid w:val="0"/>
        </w:rPr>
      </w:pPr>
      <w:r>
        <w:rPr>
          <w:rFonts w:hint="eastAsia" w:ascii="仿宋_GB2312" w:hAnsi="仿宋_GB2312" w:eastAsia="仿宋_GB2312" w:cs="仿宋_GB2312"/>
          <w:snapToGrid w:val="0"/>
        </w:rPr>
        <w:t>第二节  积极稳妥推进城区改造提升………………</w:t>
      </w:r>
      <w:r>
        <w:rPr>
          <w:rFonts w:hint="eastAsia" w:ascii="Times New Roman" w:hAnsi="Times New Roman" w:eastAsia="仿宋_GB2312" w:cs="仿宋_GB2312"/>
          <w:snapToGrid w:val="0"/>
        </w:rPr>
        <w:t>36</w:t>
      </w:r>
      <w:r>
        <w:rPr>
          <w:rFonts w:hint="eastAsia" w:ascii="仿宋_GB2312" w:hAnsi="仿宋_GB2312" w:eastAsia="仿宋_GB2312" w:cs="仿宋_GB2312"/>
          <w:snapToGrid w:val="0"/>
        </w:rPr>
        <w:t xml:space="preserve"> </w:t>
      </w:r>
    </w:p>
    <w:p>
      <w:pPr>
        <w:widowControl w:val="0"/>
        <w:adjustRightInd w:val="0"/>
        <w:snapToGrid w:val="0"/>
        <w:spacing w:after="0" w:line="660" w:lineRule="exact"/>
        <w:ind w:left="680" w:leftChars="200"/>
        <w:jc w:val="distribute"/>
        <w:rPr>
          <w:rFonts w:ascii="仿宋_GB2312" w:hAnsi="仿宋_GB2312" w:eastAsia="仿宋_GB2312" w:cs="仿宋_GB2312"/>
          <w:snapToGrid w:val="0"/>
        </w:rPr>
      </w:pPr>
      <w:r>
        <w:rPr>
          <w:rFonts w:hint="eastAsia" w:ascii="仿宋_GB2312" w:hAnsi="仿宋_GB2312" w:eastAsia="仿宋_GB2312" w:cs="仿宋_GB2312"/>
          <w:snapToGrid w:val="0"/>
        </w:rPr>
        <w:t>第三节  提升城区综合承载能力……………………</w:t>
      </w:r>
      <w:r>
        <w:rPr>
          <w:rFonts w:hint="eastAsia" w:ascii="Times New Roman" w:hAnsi="Times New Roman" w:eastAsia="仿宋_GB2312" w:cs="仿宋_GB2312"/>
          <w:snapToGrid w:val="0"/>
        </w:rPr>
        <w:t>38</w:t>
      </w:r>
    </w:p>
    <w:p>
      <w:pPr>
        <w:widowControl w:val="0"/>
        <w:adjustRightInd w:val="0"/>
        <w:snapToGrid w:val="0"/>
        <w:spacing w:after="0" w:line="660" w:lineRule="exact"/>
        <w:jc w:val="distribute"/>
        <w:rPr>
          <w:rFonts w:ascii="仿宋_GB2312" w:hAnsi="仿宋_GB2312" w:eastAsia="仿宋_GB2312" w:cs="仿宋_GB2312"/>
          <w:b/>
          <w:bCs/>
          <w:snapToGrid w:val="0"/>
        </w:rPr>
      </w:pPr>
      <w:r>
        <w:rPr>
          <w:rFonts w:hint="eastAsia" w:ascii="仿宋_GB2312" w:hAnsi="仿宋_GB2312" w:eastAsia="仿宋_GB2312" w:cs="仿宋_GB2312"/>
          <w:b/>
          <w:bCs/>
          <w:snapToGrid w:val="0"/>
        </w:rPr>
        <w:t>第七章  坚持绿色发展理念，再上生态环境保护质量新台阶</w:t>
      </w:r>
      <w:r>
        <w:rPr>
          <w:rFonts w:ascii="仿宋_GB2312" w:hAnsi="仿宋_GB2312" w:eastAsia="仿宋_GB2312" w:cs="仿宋_GB2312"/>
          <w:b/>
          <w:bCs/>
          <w:snapToGrid w:val="0"/>
        </w:rPr>
        <w:t>…</w:t>
      </w:r>
      <w:r>
        <w:rPr>
          <w:rFonts w:hint="eastAsia" w:ascii="Times New Roman" w:hAnsi="Times New Roman" w:eastAsia="仿宋_GB2312" w:cs="仿宋_GB2312"/>
          <w:snapToGrid w:val="0"/>
        </w:rPr>
        <w:t>41</w:t>
      </w:r>
    </w:p>
    <w:p>
      <w:pPr>
        <w:widowControl w:val="0"/>
        <w:adjustRightInd w:val="0"/>
        <w:snapToGrid w:val="0"/>
        <w:spacing w:after="0" w:line="660" w:lineRule="exact"/>
        <w:ind w:left="680" w:leftChars="200"/>
        <w:jc w:val="distribute"/>
        <w:rPr>
          <w:rFonts w:ascii="仿宋_GB2312" w:hAnsi="仿宋_GB2312" w:eastAsia="仿宋_GB2312" w:cs="仿宋_GB2312"/>
          <w:snapToGrid w:val="0"/>
        </w:rPr>
      </w:pPr>
      <w:r>
        <w:rPr>
          <w:rFonts w:hint="eastAsia" w:ascii="仿宋_GB2312" w:hAnsi="仿宋_GB2312" w:eastAsia="仿宋_GB2312" w:cs="仿宋_GB2312"/>
          <w:snapToGrid w:val="0"/>
        </w:rPr>
        <w:t>第一节  持续加强生态环境治理……………………</w:t>
      </w:r>
      <w:r>
        <w:rPr>
          <w:rFonts w:hint="eastAsia" w:ascii="Times New Roman" w:hAnsi="Times New Roman" w:eastAsia="仿宋_GB2312" w:cs="仿宋_GB2312"/>
          <w:snapToGrid w:val="0"/>
        </w:rPr>
        <w:t>41</w:t>
      </w:r>
      <w:r>
        <w:rPr>
          <w:rFonts w:hint="eastAsia" w:ascii="仿宋_GB2312" w:hAnsi="仿宋_GB2312" w:eastAsia="仿宋_GB2312" w:cs="仿宋_GB2312"/>
          <w:snapToGrid w:val="0"/>
        </w:rPr>
        <w:t xml:space="preserve"> </w:t>
      </w:r>
    </w:p>
    <w:p>
      <w:pPr>
        <w:widowControl w:val="0"/>
        <w:adjustRightInd w:val="0"/>
        <w:snapToGrid w:val="0"/>
        <w:spacing w:after="0" w:line="660" w:lineRule="exact"/>
        <w:ind w:left="680" w:leftChars="200"/>
        <w:jc w:val="distribute"/>
        <w:rPr>
          <w:rFonts w:ascii="仿宋_GB2312" w:hAnsi="仿宋_GB2312" w:eastAsia="仿宋_GB2312" w:cs="仿宋_GB2312"/>
          <w:snapToGrid w:val="0"/>
        </w:rPr>
      </w:pPr>
      <w:r>
        <w:rPr>
          <w:rFonts w:hint="eastAsia" w:ascii="仿宋_GB2312" w:hAnsi="仿宋_GB2312" w:eastAsia="仿宋_GB2312" w:cs="仿宋_GB2312"/>
          <w:snapToGrid w:val="0"/>
        </w:rPr>
        <w:t>第二节  加强生态系统建设保护……………………</w:t>
      </w:r>
      <w:r>
        <w:rPr>
          <w:rFonts w:hint="eastAsia" w:ascii="Times New Roman" w:hAnsi="Times New Roman" w:eastAsia="仿宋_GB2312" w:cs="仿宋_GB2312"/>
          <w:snapToGrid w:val="0"/>
        </w:rPr>
        <w:t>42</w:t>
      </w:r>
      <w:r>
        <w:rPr>
          <w:rFonts w:hint="eastAsia" w:ascii="仿宋_GB2312" w:hAnsi="仿宋_GB2312" w:eastAsia="仿宋_GB2312" w:cs="仿宋_GB2312"/>
          <w:snapToGrid w:val="0"/>
        </w:rPr>
        <w:t xml:space="preserve"> </w:t>
      </w:r>
    </w:p>
    <w:p>
      <w:pPr>
        <w:widowControl w:val="0"/>
        <w:adjustRightInd w:val="0"/>
        <w:snapToGrid w:val="0"/>
        <w:spacing w:after="0" w:line="660" w:lineRule="exact"/>
        <w:ind w:left="680" w:leftChars="200"/>
        <w:jc w:val="distribute"/>
        <w:rPr>
          <w:rFonts w:ascii="仿宋_GB2312" w:hAnsi="仿宋_GB2312" w:eastAsia="仿宋_GB2312" w:cs="仿宋_GB2312"/>
          <w:snapToGrid w:val="0"/>
        </w:rPr>
      </w:pPr>
      <w:r>
        <w:rPr>
          <w:rFonts w:hint="eastAsia" w:ascii="仿宋_GB2312" w:hAnsi="仿宋_GB2312" w:eastAsia="仿宋_GB2312" w:cs="仿宋_GB2312"/>
          <w:snapToGrid w:val="0"/>
        </w:rPr>
        <w:t>第三节  积极践行绿色发展方式……………………</w:t>
      </w:r>
      <w:r>
        <w:rPr>
          <w:rFonts w:hint="eastAsia" w:ascii="Times New Roman" w:hAnsi="Times New Roman" w:eastAsia="仿宋_GB2312" w:cs="仿宋_GB2312"/>
          <w:snapToGrid w:val="0"/>
        </w:rPr>
        <w:t>44</w:t>
      </w:r>
      <w:r>
        <w:rPr>
          <w:rFonts w:hint="eastAsia" w:ascii="仿宋_GB2312" w:hAnsi="仿宋_GB2312" w:eastAsia="仿宋_GB2312" w:cs="仿宋_GB2312"/>
          <w:snapToGrid w:val="0"/>
        </w:rPr>
        <w:t xml:space="preserve"> </w:t>
      </w:r>
    </w:p>
    <w:p>
      <w:pPr>
        <w:widowControl w:val="0"/>
        <w:adjustRightInd w:val="0"/>
        <w:snapToGrid w:val="0"/>
        <w:spacing w:after="0" w:line="660" w:lineRule="exact"/>
        <w:ind w:left="680" w:leftChars="200"/>
        <w:jc w:val="distribute"/>
        <w:rPr>
          <w:rFonts w:ascii="仿宋_GB2312" w:hAnsi="仿宋_GB2312" w:eastAsia="仿宋_GB2312" w:cs="仿宋_GB2312"/>
          <w:snapToGrid w:val="0"/>
        </w:rPr>
      </w:pPr>
      <w:r>
        <w:rPr>
          <w:rFonts w:hint="eastAsia" w:ascii="仿宋_GB2312" w:hAnsi="仿宋_GB2312" w:eastAsia="仿宋_GB2312" w:cs="仿宋_GB2312"/>
          <w:snapToGrid w:val="0"/>
        </w:rPr>
        <w:t>第四节  健全现代生态文明治理体系………………</w:t>
      </w:r>
      <w:r>
        <w:rPr>
          <w:rFonts w:hint="eastAsia" w:ascii="Times New Roman" w:hAnsi="Times New Roman" w:eastAsia="仿宋_GB2312" w:cs="仿宋_GB2312"/>
          <w:snapToGrid w:val="0"/>
        </w:rPr>
        <w:t>46</w:t>
      </w:r>
    </w:p>
    <w:p>
      <w:pPr>
        <w:widowControl w:val="0"/>
        <w:adjustRightInd w:val="0"/>
        <w:snapToGrid w:val="0"/>
        <w:spacing w:after="0" w:line="660" w:lineRule="exact"/>
        <w:jc w:val="distribute"/>
        <w:rPr>
          <w:rFonts w:ascii="仿宋_GB2312" w:hAnsi="仿宋_GB2312" w:eastAsia="仿宋_GB2312" w:cs="仿宋_GB2312"/>
          <w:snapToGrid w:val="0"/>
        </w:rPr>
      </w:pPr>
      <w:r>
        <w:rPr>
          <w:rFonts w:hint="eastAsia" w:ascii="仿宋_GB2312" w:hAnsi="仿宋_GB2312" w:eastAsia="仿宋_GB2312" w:cs="仿宋_GB2312"/>
          <w:b/>
          <w:bCs/>
          <w:snapToGrid w:val="0"/>
        </w:rPr>
        <w:t>第八章  深入推进改革开放，激发对内对外发展新活力</w:t>
      </w:r>
      <w:r>
        <w:rPr>
          <w:rFonts w:ascii="仿宋_GB2312" w:hAnsi="仿宋_GB2312" w:eastAsia="仿宋_GB2312" w:cs="仿宋_GB2312"/>
          <w:b/>
          <w:bCs/>
          <w:snapToGrid w:val="0"/>
        </w:rPr>
        <w:t>…</w:t>
      </w:r>
      <w:r>
        <w:rPr>
          <w:rFonts w:hint="eastAsia" w:ascii="Times New Roman" w:hAnsi="Times New Roman" w:eastAsia="仿宋_GB2312" w:cs="仿宋_GB2312"/>
          <w:snapToGrid w:val="0"/>
        </w:rPr>
        <w:t>48</w:t>
      </w:r>
    </w:p>
    <w:p>
      <w:pPr>
        <w:widowControl w:val="0"/>
        <w:adjustRightInd w:val="0"/>
        <w:snapToGrid w:val="0"/>
        <w:spacing w:after="0" w:line="660" w:lineRule="exact"/>
        <w:ind w:firstLine="680" w:firstLineChars="200"/>
        <w:jc w:val="distribute"/>
        <w:rPr>
          <w:rFonts w:ascii="仿宋_GB2312" w:hAnsi="仿宋_GB2312" w:eastAsia="仿宋_GB2312" w:cs="仿宋_GB2312"/>
          <w:snapToGrid w:val="0"/>
        </w:rPr>
      </w:pPr>
      <w:r>
        <w:rPr>
          <w:rFonts w:hint="eastAsia" w:ascii="仿宋_GB2312" w:hAnsi="仿宋_GB2312" w:eastAsia="仿宋_GB2312" w:cs="仿宋_GB2312"/>
          <w:snapToGrid w:val="0"/>
        </w:rPr>
        <w:t>第一节  加快城乡融合发展试验区改革……………</w:t>
      </w:r>
      <w:r>
        <w:rPr>
          <w:rFonts w:hint="eastAsia" w:ascii="Times New Roman" w:hAnsi="Times New Roman" w:eastAsia="仿宋_GB2312" w:cs="仿宋_GB2312"/>
          <w:snapToGrid w:val="0"/>
        </w:rPr>
        <w:t>48</w:t>
      </w:r>
    </w:p>
    <w:p>
      <w:pPr>
        <w:widowControl w:val="0"/>
        <w:adjustRightInd w:val="0"/>
        <w:snapToGrid w:val="0"/>
        <w:spacing w:after="0" w:line="660" w:lineRule="exact"/>
        <w:ind w:firstLine="680" w:firstLineChars="200"/>
        <w:jc w:val="distribute"/>
        <w:rPr>
          <w:rFonts w:ascii="仿宋_GB2312" w:hAnsi="仿宋_GB2312" w:eastAsia="仿宋_GB2312" w:cs="仿宋_GB2312"/>
          <w:snapToGrid w:val="0"/>
        </w:rPr>
      </w:pPr>
      <w:r>
        <w:rPr>
          <w:rFonts w:hint="eastAsia" w:ascii="仿宋_GB2312" w:hAnsi="仿宋_GB2312" w:eastAsia="仿宋_GB2312" w:cs="仿宋_GB2312"/>
          <w:snapToGrid w:val="0"/>
        </w:rPr>
        <w:t>第二节  持续优化营商环境…………………………</w:t>
      </w:r>
      <w:r>
        <w:rPr>
          <w:rFonts w:hint="eastAsia" w:ascii="Times New Roman" w:hAnsi="Times New Roman" w:eastAsia="仿宋_GB2312" w:cs="仿宋_GB2312"/>
          <w:snapToGrid w:val="0"/>
        </w:rPr>
        <w:t>48</w:t>
      </w:r>
    </w:p>
    <w:p>
      <w:pPr>
        <w:widowControl w:val="0"/>
        <w:adjustRightInd w:val="0"/>
        <w:snapToGrid w:val="0"/>
        <w:spacing w:after="0" w:line="660" w:lineRule="exact"/>
        <w:ind w:firstLine="680" w:firstLineChars="200"/>
        <w:jc w:val="distribute"/>
        <w:rPr>
          <w:rFonts w:ascii="仿宋_GB2312" w:hAnsi="仿宋_GB2312" w:eastAsia="仿宋_GB2312" w:cs="仿宋_GB2312"/>
          <w:snapToGrid w:val="0"/>
        </w:rPr>
      </w:pPr>
      <w:r>
        <w:rPr>
          <w:rFonts w:hint="eastAsia" w:ascii="仿宋_GB2312" w:hAnsi="仿宋_GB2312" w:eastAsia="仿宋_GB2312" w:cs="仿宋_GB2312"/>
          <w:snapToGrid w:val="0"/>
        </w:rPr>
        <w:t>第三节  以开放促发展………………………………</w:t>
      </w:r>
      <w:r>
        <w:rPr>
          <w:rFonts w:hint="eastAsia" w:ascii="Times New Roman" w:hAnsi="Times New Roman" w:eastAsia="仿宋_GB2312" w:cs="仿宋_GB2312"/>
          <w:snapToGrid w:val="0"/>
        </w:rPr>
        <w:t>49</w:t>
      </w:r>
    </w:p>
    <w:p>
      <w:pPr>
        <w:widowControl w:val="0"/>
        <w:adjustRightInd w:val="0"/>
        <w:snapToGrid w:val="0"/>
        <w:spacing w:after="0" w:line="660" w:lineRule="exact"/>
        <w:ind w:firstLine="680" w:firstLineChars="200"/>
        <w:jc w:val="distribute"/>
        <w:rPr>
          <w:rFonts w:ascii="仿宋_GB2312" w:hAnsi="仿宋_GB2312" w:eastAsia="仿宋_GB2312" w:cs="仿宋_GB2312"/>
          <w:snapToGrid w:val="0"/>
        </w:rPr>
      </w:pPr>
      <w:r>
        <w:rPr>
          <w:rFonts w:hint="eastAsia" w:ascii="仿宋_GB2312" w:hAnsi="仿宋_GB2312" w:eastAsia="仿宋_GB2312" w:cs="仿宋_GB2312"/>
          <w:snapToGrid w:val="0"/>
        </w:rPr>
        <w:t>第四节  创新投融资机制……………………………</w:t>
      </w:r>
      <w:r>
        <w:rPr>
          <w:rFonts w:hint="eastAsia" w:ascii="Times New Roman" w:hAnsi="Times New Roman" w:eastAsia="仿宋_GB2312" w:cs="仿宋_GB2312"/>
          <w:snapToGrid w:val="0"/>
        </w:rPr>
        <w:t>50</w:t>
      </w:r>
    </w:p>
    <w:p>
      <w:pPr>
        <w:widowControl w:val="0"/>
        <w:adjustRightInd w:val="0"/>
        <w:snapToGrid w:val="0"/>
        <w:spacing w:after="0" w:line="660" w:lineRule="exact"/>
        <w:ind w:firstLine="680" w:firstLineChars="200"/>
        <w:jc w:val="distribute"/>
        <w:rPr>
          <w:rFonts w:ascii="仿宋_GB2312" w:hAnsi="仿宋_GB2312" w:eastAsia="仿宋_GB2312" w:cs="仿宋_GB2312"/>
          <w:snapToGrid w:val="0"/>
        </w:rPr>
      </w:pPr>
      <w:r>
        <w:rPr>
          <w:rFonts w:hint="eastAsia" w:ascii="仿宋_GB2312" w:hAnsi="仿宋_GB2312" w:eastAsia="仿宋_GB2312" w:cs="仿宋_GB2312"/>
          <w:snapToGrid w:val="0"/>
        </w:rPr>
        <w:t>第五节  扩内需促消费………………………………</w:t>
      </w:r>
      <w:r>
        <w:rPr>
          <w:rFonts w:hint="eastAsia" w:ascii="Times New Roman" w:hAnsi="Times New Roman" w:eastAsia="仿宋_GB2312" w:cs="仿宋_GB2312"/>
          <w:snapToGrid w:val="0"/>
        </w:rPr>
        <w:t>51</w:t>
      </w:r>
    </w:p>
    <w:p>
      <w:pPr>
        <w:widowControl w:val="0"/>
        <w:adjustRightInd w:val="0"/>
        <w:snapToGrid w:val="0"/>
        <w:spacing w:after="0" w:line="660" w:lineRule="exact"/>
        <w:jc w:val="both"/>
        <w:rPr>
          <w:rFonts w:ascii="仿宋_GB2312" w:hAnsi="仿宋_GB2312" w:eastAsia="仿宋_GB2312" w:cs="仿宋_GB2312"/>
          <w:snapToGrid w:val="0"/>
        </w:rPr>
      </w:pPr>
      <w:r>
        <w:rPr>
          <w:rFonts w:hint="eastAsia" w:ascii="仿宋_GB2312" w:hAnsi="仿宋_GB2312" w:eastAsia="仿宋_GB2312" w:cs="仿宋_GB2312"/>
          <w:b/>
          <w:bCs/>
          <w:snapToGrid w:val="0"/>
        </w:rPr>
        <w:t>第九章  改善人民生活质量，实现人民幸福感获得感新提升</w:t>
      </w:r>
      <w:r>
        <w:rPr>
          <w:rFonts w:hint="eastAsia" w:ascii="仿宋_GB2312" w:hAnsi="仿宋_GB2312" w:eastAsia="仿宋_GB2312" w:cs="仿宋_GB2312"/>
          <w:b/>
          <w:bCs/>
          <w:snapToGrid w:val="0"/>
        </w:rPr>
        <w:tab/>
      </w:r>
      <w:r>
        <w:rPr>
          <w:rFonts w:ascii="仿宋_GB2312" w:hAnsi="仿宋_GB2312" w:eastAsia="仿宋_GB2312" w:cs="仿宋_GB2312"/>
          <w:b/>
          <w:bCs/>
          <w:snapToGrid w:val="0"/>
        </w:rPr>
        <w:t>…</w:t>
      </w:r>
      <w:r>
        <w:rPr>
          <w:rFonts w:hint="eastAsia" w:ascii="Times New Roman" w:hAnsi="Times New Roman" w:eastAsia="仿宋_GB2312" w:cs="仿宋_GB2312"/>
          <w:snapToGrid w:val="0"/>
        </w:rPr>
        <w:t>53</w:t>
      </w:r>
    </w:p>
    <w:p>
      <w:pPr>
        <w:widowControl w:val="0"/>
        <w:adjustRightInd w:val="0"/>
        <w:snapToGrid w:val="0"/>
        <w:spacing w:after="0" w:line="660" w:lineRule="exact"/>
        <w:ind w:firstLine="680" w:firstLineChars="200"/>
        <w:jc w:val="distribute"/>
        <w:rPr>
          <w:rFonts w:ascii="仿宋_GB2312" w:hAnsi="仿宋_GB2312" w:eastAsia="仿宋_GB2312" w:cs="仿宋_GB2312"/>
          <w:snapToGrid w:val="0"/>
        </w:rPr>
      </w:pPr>
      <w:r>
        <w:rPr>
          <w:rFonts w:hint="eastAsia" w:ascii="仿宋_GB2312" w:hAnsi="仿宋_GB2312" w:eastAsia="仿宋_GB2312" w:cs="仿宋_GB2312"/>
          <w:snapToGrid w:val="0"/>
        </w:rPr>
        <w:t>第一节  推进更高质量充分就业……………………</w:t>
      </w:r>
      <w:r>
        <w:rPr>
          <w:rFonts w:hint="eastAsia" w:ascii="Times New Roman" w:hAnsi="Times New Roman" w:eastAsia="仿宋_GB2312" w:cs="仿宋_GB2312"/>
          <w:snapToGrid w:val="0"/>
        </w:rPr>
        <w:t>53</w:t>
      </w:r>
    </w:p>
    <w:p>
      <w:pPr>
        <w:widowControl w:val="0"/>
        <w:adjustRightInd w:val="0"/>
        <w:snapToGrid w:val="0"/>
        <w:spacing w:after="0" w:line="660" w:lineRule="exact"/>
        <w:ind w:firstLine="680" w:firstLineChars="200"/>
        <w:jc w:val="distribute"/>
        <w:rPr>
          <w:rFonts w:ascii="仿宋_GB2312" w:hAnsi="仿宋_GB2312" w:eastAsia="仿宋_GB2312" w:cs="仿宋_GB2312"/>
          <w:snapToGrid w:val="0"/>
        </w:rPr>
      </w:pPr>
      <w:r>
        <w:rPr>
          <w:rFonts w:hint="eastAsia" w:ascii="仿宋_GB2312" w:hAnsi="仿宋_GB2312" w:eastAsia="仿宋_GB2312" w:cs="仿宋_GB2312"/>
          <w:snapToGrid w:val="0"/>
        </w:rPr>
        <w:t>第二节  加快推进魏都教育现代化…………………</w:t>
      </w:r>
      <w:r>
        <w:rPr>
          <w:rFonts w:hint="eastAsia" w:ascii="Times New Roman" w:hAnsi="Times New Roman" w:eastAsia="仿宋_GB2312" w:cs="仿宋_GB2312"/>
          <w:snapToGrid w:val="0"/>
        </w:rPr>
        <w:t>53</w:t>
      </w:r>
    </w:p>
    <w:p>
      <w:pPr>
        <w:widowControl w:val="0"/>
        <w:adjustRightInd w:val="0"/>
        <w:snapToGrid w:val="0"/>
        <w:spacing w:after="0" w:line="660" w:lineRule="exact"/>
        <w:ind w:firstLine="680" w:firstLineChars="200"/>
        <w:jc w:val="distribute"/>
        <w:rPr>
          <w:rFonts w:ascii="仿宋_GB2312" w:hAnsi="仿宋_GB2312" w:eastAsia="仿宋_GB2312" w:cs="仿宋_GB2312"/>
          <w:snapToGrid w:val="0"/>
        </w:rPr>
      </w:pPr>
      <w:r>
        <w:rPr>
          <w:rFonts w:hint="eastAsia" w:ascii="仿宋_GB2312" w:hAnsi="仿宋_GB2312" w:eastAsia="仿宋_GB2312" w:cs="仿宋_GB2312"/>
          <w:snapToGrid w:val="0"/>
        </w:rPr>
        <w:t>第三节  建设健康新魏都……………………………</w:t>
      </w:r>
      <w:r>
        <w:rPr>
          <w:rFonts w:hint="eastAsia" w:ascii="Times New Roman" w:hAnsi="Times New Roman" w:eastAsia="仿宋_GB2312" w:cs="仿宋_GB2312"/>
          <w:snapToGrid w:val="0"/>
        </w:rPr>
        <w:t>54</w:t>
      </w:r>
    </w:p>
    <w:p>
      <w:pPr>
        <w:widowControl w:val="0"/>
        <w:adjustRightInd w:val="0"/>
        <w:snapToGrid w:val="0"/>
        <w:spacing w:after="0" w:line="660" w:lineRule="exact"/>
        <w:ind w:firstLine="680" w:firstLineChars="200"/>
        <w:jc w:val="distribute"/>
        <w:rPr>
          <w:rFonts w:ascii="仿宋_GB2312" w:hAnsi="仿宋_GB2312" w:eastAsia="仿宋_GB2312" w:cs="仿宋_GB2312"/>
          <w:snapToGrid w:val="0"/>
        </w:rPr>
      </w:pPr>
      <w:r>
        <w:rPr>
          <w:rFonts w:hint="eastAsia" w:ascii="仿宋_GB2312" w:hAnsi="仿宋_GB2312" w:eastAsia="仿宋_GB2312" w:cs="仿宋_GB2312"/>
          <w:snapToGrid w:val="0"/>
        </w:rPr>
        <w:t>第四节  建成现代化养老体系………………………</w:t>
      </w:r>
      <w:r>
        <w:rPr>
          <w:rFonts w:hint="eastAsia" w:ascii="Times New Roman" w:hAnsi="Times New Roman" w:eastAsia="仿宋_GB2312" w:cs="仿宋_GB2312"/>
          <w:snapToGrid w:val="0"/>
        </w:rPr>
        <w:t>55</w:t>
      </w:r>
      <w:r>
        <w:rPr>
          <w:rFonts w:hint="eastAsia" w:ascii="仿宋_GB2312" w:hAnsi="仿宋_GB2312" w:eastAsia="仿宋_GB2312" w:cs="仿宋_GB2312"/>
          <w:snapToGrid w:val="0"/>
        </w:rPr>
        <w:t xml:space="preserve"> </w:t>
      </w:r>
    </w:p>
    <w:p>
      <w:pPr>
        <w:widowControl w:val="0"/>
        <w:adjustRightInd w:val="0"/>
        <w:snapToGrid w:val="0"/>
        <w:spacing w:after="0" w:line="660" w:lineRule="exact"/>
        <w:ind w:firstLine="680" w:firstLineChars="200"/>
        <w:jc w:val="distribute"/>
        <w:rPr>
          <w:rFonts w:ascii="仿宋_GB2312" w:hAnsi="仿宋_GB2312" w:eastAsia="仿宋_GB2312" w:cs="仿宋_GB2312"/>
          <w:snapToGrid w:val="0"/>
        </w:rPr>
      </w:pPr>
      <w:r>
        <w:rPr>
          <w:rFonts w:hint="eastAsia" w:ascii="仿宋_GB2312" w:hAnsi="仿宋_GB2312" w:eastAsia="仿宋_GB2312" w:cs="仿宋_GB2312"/>
          <w:snapToGrid w:val="0"/>
        </w:rPr>
        <w:t>第五节  完善覆盖全民的社会保障体系……………</w:t>
      </w:r>
      <w:r>
        <w:rPr>
          <w:rFonts w:hint="eastAsia" w:ascii="Times New Roman" w:hAnsi="Times New Roman" w:eastAsia="仿宋_GB2312" w:cs="仿宋_GB2312"/>
          <w:snapToGrid w:val="0"/>
        </w:rPr>
        <w:t>56</w:t>
      </w:r>
      <w:r>
        <w:rPr>
          <w:rFonts w:hint="eastAsia" w:ascii="仿宋_GB2312" w:hAnsi="仿宋_GB2312" w:eastAsia="仿宋_GB2312" w:cs="仿宋_GB2312"/>
          <w:snapToGrid w:val="0"/>
        </w:rPr>
        <w:t xml:space="preserve"> </w:t>
      </w:r>
    </w:p>
    <w:p>
      <w:pPr>
        <w:widowControl w:val="0"/>
        <w:adjustRightInd w:val="0"/>
        <w:snapToGrid w:val="0"/>
        <w:spacing w:after="0" w:line="660" w:lineRule="exact"/>
        <w:jc w:val="distribute"/>
        <w:rPr>
          <w:rFonts w:ascii="仿宋_GB2312" w:hAnsi="仿宋_GB2312" w:eastAsia="仿宋_GB2312" w:cs="仿宋_GB2312"/>
          <w:b/>
          <w:bCs/>
          <w:snapToGrid w:val="0"/>
        </w:rPr>
      </w:pPr>
      <w:r>
        <w:rPr>
          <w:rFonts w:hint="eastAsia" w:ascii="仿宋_GB2312" w:hAnsi="仿宋_GB2312" w:eastAsia="仿宋_GB2312" w:cs="仿宋_GB2312"/>
          <w:b/>
          <w:bCs/>
          <w:snapToGrid w:val="0"/>
        </w:rPr>
        <w:t>第十章  统筹做好发展和安全，构建现代社会治理新格局</w:t>
      </w:r>
      <w:r>
        <w:rPr>
          <w:rFonts w:ascii="仿宋_GB2312" w:hAnsi="仿宋_GB2312" w:eastAsia="仿宋_GB2312" w:cs="仿宋_GB2312"/>
          <w:b/>
          <w:bCs/>
          <w:snapToGrid w:val="0"/>
        </w:rPr>
        <w:t>…</w:t>
      </w:r>
      <w:r>
        <w:rPr>
          <w:rFonts w:hint="eastAsia" w:ascii="Times New Roman" w:hAnsi="Times New Roman" w:eastAsia="仿宋_GB2312" w:cs="仿宋_GB2312"/>
          <w:snapToGrid w:val="0"/>
        </w:rPr>
        <w:t>58</w:t>
      </w:r>
    </w:p>
    <w:p>
      <w:pPr>
        <w:widowControl w:val="0"/>
        <w:adjustRightInd w:val="0"/>
        <w:snapToGrid w:val="0"/>
        <w:spacing w:after="0" w:line="660" w:lineRule="exact"/>
        <w:ind w:firstLine="680" w:firstLineChars="200"/>
        <w:jc w:val="distribute"/>
        <w:rPr>
          <w:rFonts w:ascii="仿宋_GB2312" w:hAnsi="仿宋_GB2312" w:eastAsia="仿宋_GB2312" w:cs="仿宋_GB2312"/>
          <w:snapToGrid w:val="0"/>
        </w:rPr>
      </w:pPr>
      <w:r>
        <w:rPr>
          <w:rFonts w:hint="eastAsia" w:ascii="仿宋_GB2312" w:hAnsi="仿宋_GB2312" w:eastAsia="仿宋_GB2312" w:cs="仿宋_GB2312"/>
          <w:snapToGrid w:val="0"/>
        </w:rPr>
        <w:t>第一节  全面推进法治建设…………………………</w:t>
      </w:r>
      <w:r>
        <w:rPr>
          <w:rFonts w:hint="eastAsia" w:ascii="Times New Roman" w:hAnsi="Times New Roman" w:eastAsia="仿宋_GB2312" w:cs="仿宋_GB2312"/>
          <w:snapToGrid w:val="0"/>
        </w:rPr>
        <w:t>58</w:t>
      </w:r>
      <w:r>
        <w:rPr>
          <w:rFonts w:hint="eastAsia" w:ascii="仿宋_GB2312" w:hAnsi="仿宋_GB2312" w:eastAsia="仿宋_GB2312" w:cs="仿宋_GB2312"/>
          <w:snapToGrid w:val="0"/>
        </w:rPr>
        <w:t xml:space="preserve"> </w:t>
      </w:r>
    </w:p>
    <w:p>
      <w:pPr>
        <w:widowControl w:val="0"/>
        <w:adjustRightInd w:val="0"/>
        <w:snapToGrid w:val="0"/>
        <w:spacing w:after="0" w:line="660" w:lineRule="exact"/>
        <w:ind w:firstLine="680" w:firstLineChars="200"/>
        <w:jc w:val="distribute"/>
        <w:rPr>
          <w:rFonts w:ascii="仿宋_GB2312" w:hAnsi="仿宋_GB2312" w:eastAsia="仿宋_GB2312" w:cs="仿宋_GB2312"/>
          <w:snapToGrid w:val="0"/>
        </w:rPr>
      </w:pPr>
      <w:r>
        <w:rPr>
          <w:rFonts w:hint="eastAsia" w:ascii="仿宋_GB2312" w:hAnsi="仿宋_GB2312" w:eastAsia="仿宋_GB2312" w:cs="仿宋_GB2312"/>
          <w:snapToGrid w:val="0"/>
        </w:rPr>
        <w:t>第二节  加强社会治理创新…………………………</w:t>
      </w:r>
      <w:r>
        <w:rPr>
          <w:rFonts w:hint="eastAsia" w:ascii="Times New Roman" w:hAnsi="Times New Roman" w:eastAsia="仿宋_GB2312" w:cs="仿宋_GB2312"/>
          <w:snapToGrid w:val="0"/>
        </w:rPr>
        <w:t>58</w:t>
      </w:r>
    </w:p>
    <w:p>
      <w:pPr>
        <w:widowControl w:val="0"/>
        <w:adjustRightInd w:val="0"/>
        <w:snapToGrid w:val="0"/>
        <w:spacing w:after="0" w:line="660" w:lineRule="exact"/>
        <w:ind w:firstLine="680" w:firstLineChars="200"/>
        <w:jc w:val="distribute"/>
        <w:rPr>
          <w:rFonts w:ascii="仿宋_GB2312" w:hAnsi="仿宋_GB2312" w:eastAsia="仿宋_GB2312" w:cs="仿宋_GB2312"/>
          <w:snapToGrid w:val="0"/>
        </w:rPr>
      </w:pPr>
      <w:r>
        <w:rPr>
          <w:rFonts w:hint="eastAsia" w:ascii="仿宋_GB2312" w:hAnsi="仿宋_GB2312" w:eastAsia="仿宋_GB2312" w:cs="仿宋_GB2312"/>
          <w:snapToGrid w:val="0"/>
        </w:rPr>
        <w:t>第三节  维护社会大局稳定…………………………</w:t>
      </w:r>
      <w:r>
        <w:rPr>
          <w:rFonts w:hint="eastAsia" w:ascii="Times New Roman" w:hAnsi="Times New Roman" w:eastAsia="仿宋_GB2312" w:cs="仿宋_GB2312"/>
          <w:snapToGrid w:val="0"/>
        </w:rPr>
        <w:t>59</w:t>
      </w:r>
    </w:p>
    <w:p>
      <w:pPr>
        <w:widowControl w:val="0"/>
        <w:adjustRightInd w:val="0"/>
        <w:snapToGrid w:val="0"/>
        <w:spacing w:after="0" w:line="660" w:lineRule="exact"/>
        <w:ind w:firstLine="680" w:firstLineChars="200"/>
        <w:jc w:val="distribute"/>
        <w:rPr>
          <w:rFonts w:ascii="仿宋_GB2312" w:hAnsi="仿宋_GB2312" w:eastAsia="仿宋_GB2312" w:cs="仿宋_GB2312"/>
          <w:snapToGrid w:val="0"/>
        </w:rPr>
      </w:pPr>
      <w:r>
        <w:rPr>
          <w:rFonts w:hint="eastAsia" w:ascii="仿宋_GB2312" w:hAnsi="仿宋_GB2312" w:eastAsia="仿宋_GB2312" w:cs="仿宋_GB2312"/>
          <w:snapToGrid w:val="0"/>
        </w:rPr>
        <w:t>第四节  筑牢安全发展防线…………………………</w:t>
      </w:r>
      <w:r>
        <w:rPr>
          <w:rFonts w:hint="eastAsia" w:ascii="Times New Roman" w:hAnsi="Times New Roman" w:eastAsia="仿宋_GB2312" w:cs="仿宋_GB2312"/>
          <w:snapToGrid w:val="0"/>
        </w:rPr>
        <w:t>60</w:t>
      </w:r>
    </w:p>
    <w:p>
      <w:pPr>
        <w:widowControl w:val="0"/>
        <w:adjustRightInd w:val="0"/>
        <w:snapToGrid w:val="0"/>
        <w:spacing w:after="0" w:line="660" w:lineRule="exact"/>
        <w:jc w:val="distribute"/>
        <w:rPr>
          <w:rFonts w:ascii="仿宋_GB2312" w:hAnsi="仿宋_GB2312" w:eastAsia="仿宋_GB2312" w:cs="仿宋_GB2312"/>
          <w:b/>
          <w:bCs/>
          <w:snapToGrid w:val="0"/>
        </w:rPr>
      </w:pPr>
      <w:r>
        <w:rPr>
          <w:rFonts w:hint="eastAsia" w:ascii="仿宋_GB2312" w:hAnsi="仿宋_GB2312" w:eastAsia="仿宋_GB2312" w:cs="仿宋_GB2312"/>
          <w:b/>
          <w:bCs/>
          <w:snapToGrid w:val="0"/>
        </w:rPr>
        <w:t xml:space="preserve">第十一章  强化规划实施保障，为实现“十四五”规划提供 </w:t>
      </w:r>
    </w:p>
    <w:p>
      <w:pPr>
        <w:widowControl w:val="0"/>
        <w:adjustRightInd w:val="0"/>
        <w:snapToGrid w:val="0"/>
        <w:spacing w:after="0" w:line="660" w:lineRule="exact"/>
        <w:jc w:val="distribute"/>
        <w:rPr>
          <w:rFonts w:ascii="仿宋_GB2312" w:hAnsi="仿宋_GB2312" w:eastAsia="仿宋_GB2312" w:cs="仿宋_GB2312"/>
          <w:b/>
          <w:bCs/>
          <w:snapToGrid w:val="0"/>
        </w:rPr>
      </w:pPr>
      <w:r>
        <w:rPr>
          <w:rFonts w:hint="eastAsia" w:ascii="仿宋_GB2312" w:hAnsi="仿宋_GB2312" w:eastAsia="仿宋_GB2312" w:cs="仿宋_GB2312"/>
          <w:b/>
          <w:bCs/>
          <w:snapToGrid w:val="0"/>
        </w:rPr>
        <w:t xml:space="preserve">           坚强保障………………………………………</w:t>
      </w:r>
      <w:r>
        <w:rPr>
          <w:rFonts w:hint="eastAsia" w:ascii="Times New Roman" w:hAnsi="Times New Roman" w:eastAsia="仿宋_GB2312" w:cs="仿宋_GB2312"/>
          <w:snapToGrid w:val="0"/>
        </w:rPr>
        <w:t>62</w:t>
      </w:r>
    </w:p>
    <w:p>
      <w:pPr>
        <w:widowControl w:val="0"/>
        <w:adjustRightInd w:val="0"/>
        <w:snapToGrid w:val="0"/>
        <w:spacing w:after="0" w:line="660" w:lineRule="exact"/>
        <w:ind w:firstLine="680" w:firstLineChars="200"/>
        <w:jc w:val="distribute"/>
        <w:rPr>
          <w:rFonts w:ascii="仿宋_GB2312" w:hAnsi="仿宋_GB2312" w:eastAsia="仿宋_GB2312" w:cs="仿宋_GB2312"/>
          <w:snapToGrid w:val="0"/>
        </w:rPr>
      </w:pPr>
      <w:r>
        <w:rPr>
          <w:rFonts w:hint="eastAsia" w:ascii="仿宋_GB2312" w:hAnsi="仿宋_GB2312" w:eastAsia="仿宋_GB2312" w:cs="仿宋_GB2312"/>
          <w:snapToGrid w:val="0"/>
        </w:rPr>
        <w:t>第一节  提高党领导发展的能力水平………………</w:t>
      </w:r>
      <w:r>
        <w:rPr>
          <w:rFonts w:hint="eastAsia" w:ascii="Times New Roman" w:hAnsi="Times New Roman" w:eastAsia="仿宋_GB2312" w:cs="仿宋_GB2312"/>
          <w:snapToGrid w:val="0"/>
        </w:rPr>
        <w:t>62</w:t>
      </w:r>
    </w:p>
    <w:p>
      <w:pPr>
        <w:widowControl w:val="0"/>
        <w:adjustRightInd w:val="0"/>
        <w:snapToGrid w:val="0"/>
        <w:spacing w:after="0" w:line="660" w:lineRule="exact"/>
        <w:ind w:firstLine="680" w:firstLineChars="200"/>
        <w:jc w:val="distribute"/>
        <w:rPr>
          <w:rFonts w:ascii="仿宋_GB2312" w:hAnsi="仿宋_GB2312" w:eastAsia="仿宋_GB2312" w:cs="仿宋_GB2312"/>
          <w:snapToGrid w:val="0"/>
        </w:rPr>
      </w:pPr>
      <w:r>
        <w:rPr>
          <w:rFonts w:hint="eastAsia" w:ascii="仿宋_GB2312" w:hAnsi="仿宋_GB2312" w:eastAsia="仿宋_GB2312" w:cs="仿宋_GB2312"/>
          <w:snapToGrid w:val="0"/>
        </w:rPr>
        <w:t>第二节  营造风清气正政治生态……………………</w:t>
      </w:r>
      <w:r>
        <w:rPr>
          <w:rFonts w:hint="eastAsia" w:ascii="Times New Roman" w:hAnsi="Times New Roman" w:eastAsia="仿宋_GB2312" w:cs="仿宋_GB2312"/>
          <w:snapToGrid w:val="0"/>
        </w:rPr>
        <w:t>62</w:t>
      </w:r>
    </w:p>
    <w:p>
      <w:pPr>
        <w:widowControl w:val="0"/>
        <w:adjustRightInd w:val="0"/>
        <w:snapToGrid w:val="0"/>
        <w:spacing w:after="0" w:line="660" w:lineRule="exact"/>
        <w:ind w:firstLine="680" w:firstLineChars="200"/>
        <w:jc w:val="distribute"/>
        <w:rPr>
          <w:rFonts w:ascii="仿宋_GB2312" w:hAnsi="仿宋_GB2312" w:eastAsia="仿宋_GB2312" w:cs="仿宋_GB2312"/>
          <w:snapToGrid w:val="0"/>
        </w:rPr>
      </w:pPr>
      <w:r>
        <w:rPr>
          <w:rFonts w:hint="eastAsia" w:ascii="仿宋_GB2312" w:hAnsi="仿宋_GB2312" w:eastAsia="仿宋_GB2312" w:cs="仿宋_GB2312"/>
          <w:snapToGrid w:val="0"/>
        </w:rPr>
        <w:t>第三节  广泛凝聚各方智慧力量……………………</w:t>
      </w:r>
      <w:r>
        <w:rPr>
          <w:rFonts w:hint="eastAsia" w:ascii="Times New Roman" w:hAnsi="Times New Roman" w:eastAsia="仿宋_GB2312" w:cs="仿宋_GB2312"/>
          <w:snapToGrid w:val="0"/>
        </w:rPr>
        <w:t>63</w:t>
      </w:r>
      <w:r>
        <w:rPr>
          <w:rFonts w:hint="eastAsia" w:ascii="仿宋_GB2312" w:hAnsi="仿宋_GB2312" w:eastAsia="仿宋_GB2312" w:cs="仿宋_GB2312"/>
          <w:snapToGrid w:val="0"/>
        </w:rPr>
        <w:t xml:space="preserve"> </w:t>
      </w:r>
    </w:p>
    <w:p>
      <w:pPr>
        <w:widowControl w:val="0"/>
        <w:adjustRightInd w:val="0"/>
        <w:snapToGrid w:val="0"/>
        <w:spacing w:after="0" w:line="660" w:lineRule="exact"/>
        <w:ind w:firstLine="680" w:firstLineChars="200"/>
        <w:jc w:val="distribute"/>
        <w:rPr>
          <w:rFonts w:ascii="仿宋_GB2312" w:hAnsi="仿宋_GB2312" w:eastAsia="仿宋_GB2312" w:cs="仿宋_GB2312"/>
          <w:snapToGrid w:val="0"/>
        </w:rPr>
      </w:pPr>
      <w:r>
        <w:rPr>
          <w:rFonts w:hint="eastAsia" w:ascii="仿宋_GB2312" w:hAnsi="仿宋_GB2312" w:eastAsia="仿宋_GB2312" w:cs="仿宋_GB2312"/>
          <w:snapToGrid w:val="0"/>
        </w:rPr>
        <w:t>第四节  确保“十四五”规划目标任务落实…………</w:t>
      </w:r>
      <w:r>
        <w:rPr>
          <w:rFonts w:hint="eastAsia" w:ascii="Times New Roman" w:hAnsi="Times New Roman" w:eastAsia="仿宋_GB2312" w:cs="仿宋_GB2312"/>
          <w:snapToGrid w:val="0"/>
        </w:rPr>
        <w:t>63</w:t>
      </w:r>
    </w:p>
    <w:p>
      <w:pPr>
        <w:pStyle w:val="2"/>
        <w:widowControl w:val="0"/>
        <w:adjustRightInd w:val="0"/>
        <w:snapToGrid w:val="0"/>
        <w:ind w:firstLine="340"/>
      </w:pPr>
    </w:p>
    <w:p>
      <w:pPr>
        <w:pStyle w:val="2"/>
        <w:widowControl w:val="0"/>
        <w:adjustRightInd w:val="0"/>
        <w:snapToGrid w:val="0"/>
        <w:ind w:firstLine="340"/>
      </w:pPr>
    </w:p>
    <w:p>
      <w:pPr>
        <w:pStyle w:val="2"/>
        <w:widowControl w:val="0"/>
        <w:adjustRightInd w:val="0"/>
        <w:snapToGrid w:val="0"/>
        <w:ind w:firstLine="340"/>
        <w:sectPr>
          <w:footerReference r:id="rId12" w:type="default"/>
          <w:pgSz w:w="11906" w:h="16838"/>
          <w:pgMar w:top="1587" w:right="1417" w:bottom="1587" w:left="1417" w:header="851" w:footer="992" w:gutter="0"/>
          <w:pgNumType w:fmt="numberInDash"/>
          <w:cols w:space="0" w:num="1"/>
          <w:titlePg/>
          <w:docGrid w:type="linesAndChars" w:linePitch="595" w:charSpace="4127"/>
        </w:sectPr>
      </w:pPr>
    </w:p>
    <w:p>
      <w:pPr>
        <w:pStyle w:val="4"/>
        <w:keepNext w:val="0"/>
        <w:keepLines w:val="0"/>
        <w:widowControl w:val="0"/>
        <w:adjustRightInd w:val="0"/>
        <w:snapToGrid w:val="0"/>
        <w:spacing w:after="0" w:line="600" w:lineRule="exact"/>
      </w:pPr>
      <w:bookmarkStart w:id="1" w:name="_Toc13512"/>
      <w:r>
        <w:t xml:space="preserve">第一章 </w:t>
      </w:r>
      <w:r>
        <w:rPr>
          <w:rFonts w:hint="eastAsia"/>
        </w:rPr>
        <w:t xml:space="preserve"> </w:t>
      </w:r>
      <w:r>
        <w:t>全面建成小康社会，开启全面建设</w:t>
      </w:r>
      <w:bookmarkEnd w:id="1"/>
    </w:p>
    <w:p>
      <w:pPr>
        <w:pStyle w:val="4"/>
        <w:keepNext w:val="0"/>
        <w:keepLines w:val="0"/>
        <w:widowControl w:val="0"/>
        <w:adjustRightInd w:val="0"/>
        <w:snapToGrid w:val="0"/>
        <w:spacing w:after="0" w:line="600" w:lineRule="exact"/>
      </w:pPr>
      <w:bookmarkStart w:id="2" w:name="_Toc27151"/>
      <w:r>
        <w:t>社会主义现代化魏都新征程</w:t>
      </w:r>
      <w:bookmarkEnd w:id="0"/>
      <w:bookmarkEnd w:id="2"/>
    </w:p>
    <w:p>
      <w:pPr>
        <w:widowControl w:val="0"/>
        <w:overflowPunct w:val="0"/>
        <w:adjustRightInd w:val="0"/>
        <w:snapToGrid w:val="0"/>
        <w:spacing w:after="0" w:line="560" w:lineRule="exact"/>
        <w:ind w:firstLine="680" w:firstLineChars="200"/>
        <w:jc w:val="both"/>
        <w:rPr>
          <w:rFonts w:ascii="Times New Roman" w:hAnsi="Times New Roman" w:eastAsia="仿宋_GB2312"/>
          <w:bCs/>
          <w:color w:val="000000" w:themeColor="text1"/>
          <w:szCs w:val="32"/>
          <w14:textFill>
            <w14:solidFill>
              <w14:schemeClr w14:val="tx1"/>
            </w14:solidFill>
          </w14:textFill>
        </w:rPr>
      </w:pPr>
    </w:p>
    <w:p>
      <w:pPr>
        <w:widowControl w:val="0"/>
        <w:overflowPunct w:val="0"/>
        <w:adjustRightInd w:val="0"/>
        <w:snapToGrid w:val="0"/>
        <w:spacing w:after="0" w:line="560" w:lineRule="exact"/>
        <w:ind w:firstLine="680" w:firstLineChars="200"/>
        <w:jc w:val="both"/>
        <w:rPr>
          <w:rFonts w:ascii="Times New Roman" w:hAnsi="Times New Roman" w:eastAsia="仿宋_GB2312"/>
          <w:color w:val="000000" w:themeColor="text1"/>
          <w:kern w:val="2"/>
          <w:szCs w:val="32"/>
          <w14:textFill>
            <w14:solidFill>
              <w14:schemeClr w14:val="tx1"/>
            </w14:solidFill>
          </w14:textFill>
        </w:rPr>
      </w:pPr>
      <w:r>
        <w:rPr>
          <w:rFonts w:hint="eastAsia" w:ascii="Times New Roman" w:hAnsi="Times New Roman" w:eastAsia="仿宋_GB2312"/>
          <w:bCs/>
          <w:color w:val="000000" w:themeColor="text1"/>
          <w:szCs w:val="32"/>
          <w14:textFill>
            <w14:solidFill>
              <w14:schemeClr w14:val="tx1"/>
            </w14:solidFill>
          </w14:textFill>
        </w:rPr>
        <w:t>“</w:t>
      </w:r>
      <w:r>
        <w:rPr>
          <w:rFonts w:ascii="Times New Roman" w:hAnsi="Times New Roman" w:eastAsia="仿宋_GB2312"/>
          <w:bCs/>
          <w:color w:val="000000" w:themeColor="text1"/>
          <w:szCs w:val="32"/>
          <w14:textFill>
            <w14:solidFill>
              <w14:schemeClr w14:val="tx1"/>
            </w14:solidFill>
          </w14:textFill>
        </w:rPr>
        <w:t>十四五</w:t>
      </w:r>
      <w:r>
        <w:rPr>
          <w:rFonts w:hint="eastAsia" w:ascii="Times New Roman" w:hAnsi="Times New Roman" w:eastAsia="仿宋_GB2312"/>
          <w:bCs/>
          <w:color w:val="000000" w:themeColor="text1"/>
          <w:szCs w:val="32"/>
          <w14:textFill>
            <w14:solidFill>
              <w14:schemeClr w14:val="tx1"/>
            </w14:solidFill>
          </w14:textFill>
        </w:rPr>
        <w:t>”</w:t>
      </w:r>
      <w:r>
        <w:rPr>
          <w:rFonts w:ascii="Times New Roman" w:hAnsi="Times New Roman" w:eastAsia="仿宋_GB2312"/>
          <w:bCs/>
          <w:color w:val="000000" w:themeColor="text1"/>
          <w:szCs w:val="32"/>
          <w14:textFill>
            <w14:solidFill>
              <w14:schemeClr w14:val="tx1"/>
            </w14:solidFill>
          </w14:textFill>
        </w:rPr>
        <w:t>时期是我国全面建成小康社会、实现第一个百年奋斗目标之后，乘势而上开启全面建设社会主义现代化国家新征程、向第二个百年奋斗目标进军的第一个五年，也是我区加快推进产业兴区、创新强区、富民安区，建设现代化魏都的关键时期。</w:t>
      </w:r>
      <w:r>
        <w:rPr>
          <w:rFonts w:ascii="Times New Roman" w:hAnsi="Times New Roman" w:eastAsia="仿宋_GB2312"/>
          <w:color w:val="000000" w:themeColor="text1"/>
          <w:kern w:val="2"/>
          <w:szCs w:val="32"/>
          <w14:textFill>
            <w14:solidFill>
              <w14:schemeClr w14:val="tx1"/>
            </w14:solidFill>
          </w14:textFill>
        </w:rPr>
        <w:t>以习近平新时代中国特色社会主义思想为指导，全面总结魏都区</w:t>
      </w:r>
      <w:r>
        <w:rPr>
          <w:rFonts w:hint="eastAsia" w:ascii="Times New Roman" w:hAnsi="Times New Roman" w:eastAsia="仿宋_GB2312"/>
          <w:color w:val="000000" w:themeColor="text1"/>
          <w:kern w:val="2"/>
          <w:szCs w:val="32"/>
          <w14:textFill>
            <w14:solidFill>
              <w14:schemeClr w14:val="tx1"/>
            </w14:solidFill>
          </w14:textFill>
        </w:rPr>
        <w:t>“</w:t>
      </w:r>
      <w:r>
        <w:rPr>
          <w:rFonts w:ascii="Times New Roman" w:hAnsi="Times New Roman" w:eastAsia="仿宋_GB2312"/>
          <w:color w:val="000000" w:themeColor="text1"/>
          <w:kern w:val="2"/>
          <w:szCs w:val="32"/>
          <w14:textFill>
            <w14:solidFill>
              <w14:schemeClr w14:val="tx1"/>
            </w14:solidFill>
          </w14:textFill>
        </w:rPr>
        <w:t>十三五</w:t>
      </w:r>
      <w:r>
        <w:rPr>
          <w:rFonts w:hint="eastAsia" w:ascii="Times New Roman" w:hAnsi="Times New Roman" w:eastAsia="仿宋_GB2312"/>
          <w:color w:val="000000" w:themeColor="text1"/>
          <w:kern w:val="2"/>
          <w:szCs w:val="32"/>
          <w14:textFill>
            <w14:solidFill>
              <w14:schemeClr w14:val="tx1"/>
            </w14:solidFill>
          </w14:textFill>
        </w:rPr>
        <w:t>”</w:t>
      </w:r>
      <w:r>
        <w:rPr>
          <w:rFonts w:ascii="Times New Roman" w:hAnsi="Times New Roman" w:eastAsia="仿宋_GB2312"/>
          <w:color w:val="000000" w:themeColor="text1"/>
          <w:kern w:val="2"/>
          <w:szCs w:val="32"/>
          <w14:textFill>
            <w14:solidFill>
              <w14:schemeClr w14:val="tx1"/>
            </w14:solidFill>
          </w14:textFill>
        </w:rPr>
        <w:t>工作成就和存在的问题，分析研判发展环境和支撑条件的深刻变化，准确把握发展趋势和阶段性特征，对于巩固全面建成小康社会成果，开启</w:t>
      </w:r>
      <w:r>
        <w:rPr>
          <w:rFonts w:hint="eastAsia" w:ascii="Times New Roman" w:hAnsi="Times New Roman" w:eastAsia="仿宋_GB2312"/>
          <w:color w:val="000000" w:themeColor="text1"/>
          <w:kern w:val="2"/>
          <w:szCs w:val="32"/>
          <w14:textFill>
            <w14:solidFill>
              <w14:schemeClr w14:val="tx1"/>
            </w14:solidFill>
          </w14:textFill>
        </w:rPr>
        <w:t>“</w:t>
      </w:r>
      <w:r>
        <w:rPr>
          <w:rFonts w:ascii="Times New Roman" w:hAnsi="Times New Roman" w:eastAsia="仿宋_GB2312"/>
          <w:color w:val="000000" w:themeColor="text1"/>
          <w:kern w:val="2"/>
          <w:szCs w:val="32"/>
          <w14:textFill>
            <w14:solidFill>
              <w14:schemeClr w14:val="tx1"/>
            </w14:solidFill>
          </w14:textFill>
        </w:rPr>
        <w:t>十四五</w:t>
      </w:r>
      <w:r>
        <w:rPr>
          <w:rFonts w:hint="eastAsia" w:ascii="Times New Roman" w:hAnsi="Times New Roman" w:eastAsia="仿宋_GB2312"/>
          <w:color w:val="000000" w:themeColor="text1"/>
          <w:kern w:val="2"/>
          <w:szCs w:val="32"/>
          <w14:textFill>
            <w14:solidFill>
              <w14:schemeClr w14:val="tx1"/>
            </w14:solidFill>
          </w14:textFill>
        </w:rPr>
        <w:t>”</w:t>
      </w:r>
      <w:r>
        <w:rPr>
          <w:rFonts w:ascii="Times New Roman" w:hAnsi="Times New Roman" w:eastAsia="仿宋_GB2312"/>
          <w:color w:val="000000" w:themeColor="text1"/>
          <w:kern w:val="2"/>
          <w:szCs w:val="32"/>
          <w14:textFill>
            <w14:solidFill>
              <w14:schemeClr w14:val="tx1"/>
            </w14:solidFill>
          </w14:textFill>
        </w:rPr>
        <w:t>时期社</w:t>
      </w:r>
      <w:r>
        <w:rPr>
          <w:rFonts w:ascii="Times New Roman" w:hAnsi="Times New Roman" w:eastAsia="仿宋_GB2312"/>
          <w:color w:val="000000" w:themeColor="text1"/>
          <w:spacing w:val="-19"/>
          <w:kern w:val="2"/>
          <w:szCs w:val="32"/>
          <w14:textFill>
            <w14:solidFill>
              <w14:schemeClr w14:val="tx1"/>
            </w14:solidFill>
          </w14:textFill>
        </w:rPr>
        <w:t>会主义现代化新征程，具有重大的现实意义和深远的历史意义。</w:t>
      </w:r>
    </w:p>
    <w:p>
      <w:pPr>
        <w:pStyle w:val="5"/>
        <w:keepNext w:val="0"/>
        <w:keepLines w:val="0"/>
        <w:widowControl w:val="0"/>
        <w:adjustRightInd w:val="0"/>
        <w:snapToGrid w:val="0"/>
        <w:spacing w:before="297" w:beforeLines="50" w:after="297" w:afterLines="50" w:line="560" w:lineRule="exact"/>
        <w:ind w:firstLine="680"/>
      </w:pPr>
      <w:bookmarkStart w:id="3" w:name="_Toc9549"/>
      <w:bookmarkStart w:id="4" w:name="_Toc10851"/>
      <w:bookmarkStart w:id="5" w:name="_Toc20378"/>
      <w:r>
        <w:t>第一</w:t>
      </w:r>
      <w:bookmarkStart w:id="6" w:name="_Toc19362"/>
      <w:r>
        <w:t>节　决胜全面建成小康社会取得决定性成就</w:t>
      </w:r>
      <w:bookmarkEnd w:id="3"/>
      <w:bookmarkEnd w:id="4"/>
      <w:bookmarkEnd w:id="5"/>
      <w:bookmarkEnd w:id="6"/>
    </w:p>
    <w:p>
      <w:pPr>
        <w:widowControl w:val="0"/>
        <w:adjustRightInd w:val="0"/>
        <w:snapToGrid w:val="0"/>
        <w:spacing w:after="0" w:line="560" w:lineRule="exact"/>
        <w:ind w:firstLine="680" w:firstLineChars="200"/>
        <w:jc w:val="both"/>
        <w:rPr>
          <w:rFonts w:ascii="Times New Roman" w:hAnsi="Times New Roman" w:eastAsia="仿宋_GB2312"/>
          <w:bCs/>
          <w:color w:val="000000" w:themeColor="text1"/>
          <w:szCs w:val="32"/>
          <w14:textFill>
            <w14:solidFill>
              <w14:schemeClr w14:val="tx1"/>
            </w14:solidFill>
          </w14:textFill>
        </w:rPr>
      </w:pPr>
      <w:r>
        <w:rPr>
          <w:rFonts w:hint="eastAsia" w:ascii="Times New Roman" w:hAnsi="Times New Roman" w:eastAsia="仿宋_GB2312"/>
          <w:color w:val="000000" w:themeColor="text1"/>
          <w:kern w:val="2"/>
          <w:szCs w:val="32"/>
          <w14:textFill>
            <w14:solidFill>
              <w14:schemeClr w14:val="tx1"/>
            </w14:solidFill>
          </w14:textFill>
        </w:rPr>
        <w:t>“</w:t>
      </w:r>
      <w:r>
        <w:rPr>
          <w:rFonts w:ascii="Times New Roman" w:hAnsi="Times New Roman" w:eastAsia="仿宋_GB2312"/>
          <w:color w:val="000000" w:themeColor="text1"/>
          <w:kern w:val="2"/>
          <w:szCs w:val="32"/>
          <w14:textFill>
            <w14:solidFill>
              <w14:schemeClr w14:val="tx1"/>
            </w14:solidFill>
          </w14:textFill>
        </w:rPr>
        <w:t>十三五</w:t>
      </w:r>
      <w:r>
        <w:rPr>
          <w:rFonts w:hint="eastAsia" w:ascii="Times New Roman" w:hAnsi="Times New Roman" w:eastAsia="仿宋_GB2312"/>
          <w:color w:val="000000" w:themeColor="text1"/>
          <w:kern w:val="2"/>
          <w:szCs w:val="32"/>
          <w14:textFill>
            <w14:solidFill>
              <w14:schemeClr w14:val="tx1"/>
            </w14:solidFill>
          </w14:textFill>
        </w:rPr>
        <w:t>”</w:t>
      </w:r>
      <w:r>
        <w:rPr>
          <w:rFonts w:ascii="Times New Roman" w:hAnsi="Times New Roman" w:eastAsia="仿宋_GB2312"/>
          <w:color w:val="000000" w:themeColor="text1"/>
          <w:kern w:val="2"/>
          <w:szCs w:val="32"/>
          <w14:textFill>
            <w14:solidFill>
              <w14:schemeClr w14:val="tx1"/>
            </w14:solidFill>
          </w14:textFill>
        </w:rPr>
        <w:t>时期，</w:t>
      </w:r>
      <w:r>
        <w:rPr>
          <w:rFonts w:ascii="Times New Roman" w:hAnsi="Times New Roman" w:eastAsia="仿宋_GB2312"/>
          <w:color w:val="000000" w:themeColor="text1"/>
          <w:szCs w:val="32"/>
          <w14:textFill>
            <w14:solidFill>
              <w14:schemeClr w14:val="tx1"/>
            </w14:solidFill>
          </w14:textFill>
        </w:rPr>
        <w:t>面对错综复杂的国际国内环境、艰巨繁重的改革发展任务和历史罕见的新冠肺炎疫情严重冲击，</w:t>
      </w:r>
      <w:r>
        <w:rPr>
          <w:rFonts w:ascii="Times New Roman" w:hAnsi="Times New Roman" w:eastAsia="仿宋_GB2312"/>
          <w:color w:val="000000" w:themeColor="text1"/>
          <w:kern w:val="2"/>
          <w:szCs w:val="32"/>
          <w14:textFill>
            <w14:solidFill>
              <w14:schemeClr w14:val="tx1"/>
            </w14:solidFill>
          </w14:textFill>
        </w:rPr>
        <w:t>全区上下坚持以习近平新时代中国特色社会主义思想为指导，贯彻落实中央决策部署和省、市党委政府各项安排部署，统筹稳增长、促改革、调结构、惠民生、防风险、保稳定，经济和社会发展再上新台阶，总体完成</w:t>
      </w:r>
      <w:r>
        <w:rPr>
          <w:rFonts w:hint="eastAsia" w:ascii="Times New Roman" w:hAnsi="Times New Roman" w:eastAsia="仿宋_GB2312"/>
          <w:color w:val="000000" w:themeColor="text1"/>
          <w:kern w:val="2"/>
          <w:szCs w:val="32"/>
          <w14:textFill>
            <w14:solidFill>
              <w14:schemeClr w14:val="tx1"/>
            </w14:solidFill>
          </w14:textFill>
        </w:rPr>
        <w:t>“</w:t>
      </w:r>
      <w:r>
        <w:rPr>
          <w:rFonts w:ascii="Times New Roman" w:hAnsi="Times New Roman" w:eastAsia="仿宋_GB2312"/>
          <w:color w:val="000000" w:themeColor="text1"/>
          <w:kern w:val="2"/>
          <w:szCs w:val="32"/>
          <w14:textFill>
            <w14:solidFill>
              <w14:schemeClr w14:val="tx1"/>
            </w14:solidFill>
          </w14:textFill>
        </w:rPr>
        <w:t>十三五</w:t>
      </w:r>
      <w:r>
        <w:rPr>
          <w:rFonts w:hint="eastAsia" w:ascii="Times New Roman" w:hAnsi="Times New Roman" w:eastAsia="仿宋_GB2312"/>
          <w:color w:val="000000" w:themeColor="text1"/>
          <w:kern w:val="2"/>
          <w:szCs w:val="32"/>
          <w14:textFill>
            <w14:solidFill>
              <w14:schemeClr w14:val="tx1"/>
            </w14:solidFill>
          </w14:textFill>
        </w:rPr>
        <w:t>”</w:t>
      </w:r>
      <w:r>
        <w:rPr>
          <w:rFonts w:ascii="Times New Roman" w:hAnsi="Times New Roman" w:eastAsia="仿宋_GB2312"/>
          <w:color w:val="000000" w:themeColor="text1"/>
          <w:kern w:val="2"/>
          <w:szCs w:val="32"/>
          <w14:textFill>
            <w14:solidFill>
              <w14:schemeClr w14:val="tx1"/>
            </w14:solidFill>
          </w14:textFill>
        </w:rPr>
        <w:t>规划目标任务，如期实现全面建成小康社会，</w:t>
      </w:r>
      <w:r>
        <w:rPr>
          <w:rFonts w:ascii="Times New Roman" w:hAnsi="Times New Roman" w:eastAsia="仿宋_GB2312"/>
          <w:bCs/>
          <w:color w:val="000000" w:themeColor="text1"/>
          <w:szCs w:val="32"/>
          <w14:textFill>
            <w14:solidFill>
              <w14:schemeClr w14:val="tx1"/>
            </w14:solidFill>
          </w14:textFill>
        </w:rPr>
        <w:t>为</w:t>
      </w:r>
      <w:r>
        <w:rPr>
          <w:rFonts w:hint="eastAsia" w:ascii="Times New Roman" w:hAnsi="Times New Roman" w:eastAsia="仿宋_GB2312"/>
          <w:bCs/>
          <w:color w:val="000000" w:themeColor="text1"/>
          <w:szCs w:val="32"/>
          <w14:textFill>
            <w14:solidFill>
              <w14:schemeClr w14:val="tx1"/>
            </w14:solidFill>
          </w14:textFill>
        </w:rPr>
        <w:t>“</w:t>
      </w:r>
      <w:r>
        <w:rPr>
          <w:rFonts w:ascii="Times New Roman" w:hAnsi="Times New Roman" w:eastAsia="仿宋_GB2312"/>
          <w:bCs/>
          <w:color w:val="000000" w:themeColor="text1"/>
          <w:szCs w:val="32"/>
          <w14:textFill>
            <w14:solidFill>
              <w14:schemeClr w14:val="tx1"/>
            </w14:solidFill>
          </w14:textFill>
        </w:rPr>
        <w:t>十四五</w:t>
      </w:r>
      <w:r>
        <w:rPr>
          <w:rFonts w:hint="eastAsia" w:ascii="Times New Roman" w:hAnsi="Times New Roman" w:eastAsia="仿宋_GB2312"/>
          <w:bCs/>
          <w:color w:val="000000" w:themeColor="text1"/>
          <w:szCs w:val="32"/>
          <w14:textFill>
            <w14:solidFill>
              <w14:schemeClr w14:val="tx1"/>
            </w14:solidFill>
          </w14:textFill>
        </w:rPr>
        <w:t>”</w:t>
      </w:r>
      <w:r>
        <w:rPr>
          <w:rFonts w:ascii="Times New Roman" w:hAnsi="Times New Roman" w:eastAsia="仿宋_GB2312"/>
          <w:bCs/>
          <w:color w:val="000000" w:themeColor="text1"/>
          <w:szCs w:val="32"/>
          <w14:textFill>
            <w14:solidFill>
              <w14:schemeClr w14:val="tx1"/>
            </w14:solidFill>
          </w14:textFill>
        </w:rPr>
        <w:t>经济社会高质量发展奠定了坚实基础。</w:t>
      </w:r>
    </w:p>
    <w:p>
      <w:pPr>
        <w:widowControl w:val="0"/>
        <w:adjustRightInd w:val="0"/>
        <w:snapToGrid w:val="0"/>
        <w:spacing w:after="0" w:line="560" w:lineRule="exact"/>
        <w:ind w:firstLine="680" w:firstLineChars="200"/>
        <w:rPr>
          <w:rFonts w:ascii="Times New Roman" w:hAnsi="Times New Roman" w:eastAsia="仿宋_GB2312"/>
          <w:color w:val="000000" w:themeColor="text1"/>
          <w:szCs w:val="32"/>
          <w14:textFill>
            <w14:solidFill>
              <w14:schemeClr w14:val="tx1"/>
            </w14:solidFill>
          </w14:textFill>
        </w:rPr>
      </w:pPr>
      <w:r>
        <w:rPr>
          <w:rFonts w:hint="eastAsia" w:ascii="楷体_GB2312" w:hAnsi="楷体_GB2312" w:eastAsia="楷体_GB2312" w:cs="楷体_GB2312"/>
          <w:b/>
          <w:bCs/>
          <w:color w:val="000000" w:themeColor="text1"/>
          <w:kern w:val="2"/>
          <w:szCs w:val="32"/>
          <w14:textFill>
            <w14:solidFill>
              <w14:schemeClr w14:val="tx1"/>
            </w14:solidFill>
          </w14:textFill>
        </w:rPr>
        <w:t>综合实力显著提升。</w:t>
      </w:r>
      <w:r>
        <w:rPr>
          <w:rFonts w:ascii="Times New Roman" w:hAnsi="Times New Roman" w:eastAsia="仿宋_GB2312"/>
          <w:color w:val="000000" w:themeColor="text1"/>
          <w:kern w:val="2"/>
          <w:szCs w:val="32"/>
          <w14:textFill>
            <w14:solidFill>
              <w14:schemeClr w14:val="tx1"/>
            </w14:solidFill>
          </w14:textFill>
        </w:rPr>
        <w:t>预计</w:t>
      </w:r>
      <w:r>
        <w:rPr>
          <w:rFonts w:hint="eastAsia" w:ascii="Times New Roman" w:hAnsi="Times New Roman" w:eastAsia="仿宋_GB2312"/>
          <w:color w:val="000000" w:themeColor="text1"/>
          <w:kern w:val="2"/>
          <w:szCs w:val="32"/>
          <w14:textFill>
            <w14:solidFill>
              <w14:schemeClr w14:val="tx1"/>
            </w14:solidFill>
          </w14:textFill>
        </w:rPr>
        <w:t>“</w:t>
      </w:r>
      <w:r>
        <w:rPr>
          <w:rFonts w:ascii="Times New Roman" w:hAnsi="Times New Roman" w:eastAsia="仿宋_GB2312"/>
          <w:color w:val="000000" w:themeColor="text1"/>
          <w:kern w:val="2"/>
          <w:szCs w:val="32"/>
          <w14:textFill>
            <w14:solidFill>
              <w14:schemeClr w14:val="tx1"/>
            </w14:solidFill>
          </w14:textFill>
        </w:rPr>
        <w:t>十三五</w:t>
      </w:r>
      <w:r>
        <w:rPr>
          <w:rFonts w:hint="eastAsia" w:ascii="Times New Roman" w:hAnsi="Times New Roman" w:eastAsia="仿宋_GB2312"/>
          <w:color w:val="000000" w:themeColor="text1"/>
          <w:kern w:val="2"/>
          <w:szCs w:val="32"/>
          <w14:textFill>
            <w14:solidFill>
              <w14:schemeClr w14:val="tx1"/>
            </w14:solidFill>
          </w14:textFill>
        </w:rPr>
        <w:t>”</w:t>
      </w:r>
      <w:r>
        <w:rPr>
          <w:rFonts w:ascii="Times New Roman" w:hAnsi="Times New Roman" w:eastAsia="仿宋_GB2312"/>
          <w:color w:val="000000" w:themeColor="text1"/>
          <w:kern w:val="2"/>
          <w:szCs w:val="32"/>
          <w14:textFill>
            <w14:solidFill>
              <w14:schemeClr w14:val="tx1"/>
            </w14:solidFill>
          </w14:textFill>
        </w:rPr>
        <w:t>末全区生产总值达到302亿元，</w:t>
      </w:r>
      <w:r>
        <w:rPr>
          <w:rFonts w:ascii="Times New Roman" w:hAnsi="Times New Roman" w:eastAsia="仿宋_GB2312"/>
          <w:color w:val="000000" w:themeColor="text1"/>
          <w:szCs w:val="32"/>
          <w14:textFill>
            <w14:solidFill>
              <w14:schemeClr w14:val="tx1"/>
            </w14:solidFill>
          </w14:textFill>
        </w:rPr>
        <w:t>年均增长7％，五年新增90亿元</w:t>
      </w:r>
      <w:r>
        <w:rPr>
          <w:rFonts w:ascii="Times New Roman" w:hAnsi="Times New Roman" w:eastAsia="仿宋_GB2312"/>
          <w:color w:val="000000" w:themeColor="text1"/>
          <w:kern w:val="2"/>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规模以上工业增加值达到年均增长7.5%；全社会固定资产投资年均增长9%；社会消费品零售总额年均增长7.8%；</w:t>
      </w:r>
      <w:r>
        <w:rPr>
          <w:rFonts w:ascii="Times New Roman" w:hAnsi="Times New Roman" w:eastAsia="仿宋_GB2312"/>
          <w:color w:val="000000" w:themeColor="text1"/>
          <w:kern w:val="2"/>
          <w:szCs w:val="32"/>
          <w14:textFill>
            <w14:solidFill>
              <w14:schemeClr w14:val="tx1"/>
            </w14:solidFill>
          </w14:textFill>
        </w:rPr>
        <w:t>人均国内生产总值达到中上等收入经济体标准；</w:t>
      </w:r>
      <w:r>
        <w:rPr>
          <w:rFonts w:ascii="Times New Roman" w:hAnsi="Times New Roman" w:eastAsia="仿宋_GB2312"/>
          <w:color w:val="000000" w:themeColor="text1"/>
          <w:szCs w:val="32"/>
          <w14:textFill>
            <w14:solidFill>
              <w14:schemeClr w14:val="tx1"/>
            </w14:solidFill>
          </w14:textFill>
        </w:rPr>
        <w:t>一般公共预算收入达到10.18亿元，年均增长15.3%。整体上看，经过</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十三五</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的努力，魏都区的家底更加厚实，经济社会发展站在一个新的更高平台上。</w:t>
      </w:r>
    </w:p>
    <w:p>
      <w:pPr>
        <w:pStyle w:val="3"/>
        <w:widowControl w:val="0"/>
        <w:adjustRightInd w:val="0"/>
        <w:snapToGrid w:val="0"/>
        <w:spacing w:after="0"/>
        <w:ind w:firstLine="683"/>
        <w:rPr>
          <w:color w:val="000000" w:themeColor="text1"/>
          <w:szCs w:val="32"/>
          <w14:textFill>
            <w14:solidFill>
              <w14:schemeClr w14:val="tx1"/>
            </w14:solidFill>
          </w14:textFill>
        </w:rPr>
      </w:pPr>
      <w:r>
        <w:rPr>
          <w:rFonts w:ascii="楷体_GB2312" w:hAnsi="楷体_GB2312" w:eastAsia="楷体_GB2312" w:cs="楷体_GB2312"/>
          <w:b/>
          <w:bCs/>
          <w:color w:val="000000" w:themeColor="text1"/>
          <w:kern w:val="2"/>
          <w:szCs w:val="32"/>
          <w14:textFill>
            <w14:solidFill>
              <w14:schemeClr w14:val="tx1"/>
            </w14:solidFill>
          </w14:textFill>
        </w:rPr>
        <w:t>产业转型步伐稳健。</w:t>
      </w:r>
      <w:r>
        <w:rPr>
          <w:color w:val="000000" w:themeColor="text1"/>
          <w:szCs w:val="32"/>
          <w14:textFill>
            <w14:solidFill>
              <w14:schemeClr w14:val="tx1"/>
            </w14:solidFill>
          </w14:textFill>
        </w:rPr>
        <w:t>大力实施</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513</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工业发展行动计划，工业五大园区建设蹄疾步稳，高端制造、新材料和节能环保等3大主导产业链条不断完善，培育了纪年科技、德通振动、爱彼爱和、中航装备等一批高新技术龙头企业。服务业不断提档升级，胖东来时代广场、曹魏古城等一批现代服务业商圈基本形成，</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魏都区服务业孵化基地</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建成投用。抢抓数字赋能产业经济的重大机遇，大力发展数字经济等新业态、新经济，涌现出了中联即送、中华电气网、中华建筑骨料网等一批互联网平台企业。</w:t>
      </w:r>
    </w:p>
    <w:p>
      <w:pPr>
        <w:widowControl w:val="0"/>
        <w:adjustRightInd w:val="0"/>
        <w:snapToGrid w:val="0"/>
        <w:spacing w:after="0" w:line="560" w:lineRule="exact"/>
        <w:ind w:firstLine="680" w:firstLineChars="200"/>
        <w:rPr>
          <w:rFonts w:ascii="Times New Roman" w:hAnsi="Times New Roman"/>
          <w:color w:val="000000" w:themeColor="text1"/>
          <w14:textFill>
            <w14:solidFill>
              <w14:schemeClr w14:val="tx1"/>
            </w14:solidFill>
          </w14:textFill>
        </w:rPr>
      </w:pPr>
      <w:r>
        <w:rPr>
          <w:rFonts w:ascii="楷体_GB2312" w:hAnsi="楷体_GB2312" w:eastAsia="楷体_GB2312" w:cs="楷体_GB2312"/>
          <w:b/>
          <w:bCs/>
          <w:color w:val="000000" w:themeColor="text1"/>
          <w:kern w:val="2"/>
          <w:szCs w:val="32"/>
          <w14:textFill>
            <w14:solidFill>
              <w14:schemeClr w14:val="tx1"/>
            </w14:solidFill>
          </w14:textFill>
        </w:rPr>
        <w:t>科技创新势头强劲。</w:t>
      </w:r>
      <w:r>
        <w:rPr>
          <w:rFonts w:ascii="Times New Roman" w:hAnsi="Times New Roman" w:eastAsia="仿宋_GB2312"/>
          <w:color w:val="000000" w:themeColor="text1"/>
          <w:szCs w:val="32"/>
          <w14:textFill>
            <w14:solidFill>
              <w14:schemeClr w14:val="tx1"/>
            </w14:solidFill>
          </w14:textFill>
        </w:rPr>
        <w:t>北理工阻燃材料研发中心、质量检测中心两个国家级平台落户魏都，一批企业技术中心、公共技术服务平台、院士工作站、新型研发机构加快布局。高新技术产业园被评为</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省级科技企业孵化器</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，全区国家级高新技术企业达到20家，科技型中小企业达到68家，省、市级研发平台分别达到7个、15个，创新创业洼地优势显现。</w:t>
      </w:r>
    </w:p>
    <w:p>
      <w:pPr>
        <w:widowControl w:val="0"/>
        <w:adjustRightInd w:val="0"/>
        <w:snapToGrid w:val="0"/>
        <w:spacing w:after="0" w:line="560" w:lineRule="exact"/>
        <w:ind w:firstLine="680" w:firstLineChars="200"/>
        <w:rPr>
          <w:rFonts w:ascii="Times New Roman" w:hAnsi="Times New Roman" w:eastAsia="仿宋_GB2312"/>
          <w:color w:val="000000" w:themeColor="text1"/>
          <w:szCs w:val="32"/>
          <w14:textFill>
            <w14:solidFill>
              <w14:schemeClr w14:val="tx1"/>
            </w14:solidFill>
          </w14:textFill>
        </w:rPr>
      </w:pPr>
      <w:r>
        <w:rPr>
          <w:rFonts w:ascii="楷体_GB2312" w:hAnsi="楷体_GB2312" w:eastAsia="楷体_GB2312" w:cs="楷体_GB2312"/>
          <w:b/>
          <w:bCs/>
          <w:color w:val="000000" w:themeColor="text1"/>
          <w:kern w:val="2"/>
          <w:szCs w:val="32"/>
          <w14:textFill>
            <w14:solidFill>
              <w14:schemeClr w14:val="tx1"/>
            </w14:solidFill>
          </w14:textFill>
        </w:rPr>
        <w:t>城区环境更加宜居。</w:t>
      </w:r>
      <w:r>
        <w:rPr>
          <w:rFonts w:ascii="Times New Roman" w:hAnsi="Times New Roman" w:eastAsia="仿宋_GB2312"/>
          <w:color w:val="000000" w:themeColor="text1"/>
          <w:szCs w:val="32"/>
          <w14:textFill>
            <w14:solidFill>
              <w14:schemeClr w14:val="tx1"/>
            </w14:solidFill>
          </w14:textFill>
        </w:rPr>
        <w:t>大力实施百城提质工程，着力补短板、强功能、增效能、提品质，基础设施日趋完善，城市承载能力不断提升。建成区绿地率达到36.35%，绿化覆盖率达到41.26%，清潩河、灞陵河、运粮河达到三类水标准，全区河湖水系呈现</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河畅、水清、岸绿、景美</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水生态景观。启动城区</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三纵三横</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路网升级改造和</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四改一增</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城市排水治理，顺利通过国家卫生城市、全国文明城市复审考评验收，成功入选全国新时代文明实践中心建设试点。</w:t>
      </w:r>
    </w:p>
    <w:p>
      <w:pPr>
        <w:widowControl w:val="0"/>
        <w:adjustRightInd w:val="0"/>
        <w:snapToGrid w:val="0"/>
        <w:spacing w:after="0" w:line="560" w:lineRule="exact"/>
        <w:ind w:firstLine="680" w:firstLineChars="200"/>
        <w:jc w:val="both"/>
        <w:rPr>
          <w:rFonts w:ascii="楷体_GB2312" w:hAnsi="楷体_GB2312" w:eastAsia="楷体_GB2312" w:cs="楷体_GB2312"/>
          <w:b/>
          <w:bCs/>
          <w:color w:val="000000" w:themeColor="text1"/>
          <w:kern w:val="2"/>
          <w:szCs w:val="32"/>
          <w14:textFill>
            <w14:solidFill>
              <w14:schemeClr w14:val="tx1"/>
            </w14:solidFill>
          </w14:textFill>
        </w:rPr>
      </w:pPr>
      <w:bookmarkStart w:id="7" w:name="_Hlk47789645"/>
      <w:r>
        <w:rPr>
          <w:rFonts w:ascii="楷体_GB2312" w:hAnsi="楷体_GB2312" w:eastAsia="楷体_GB2312" w:cs="楷体_GB2312"/>
          <w:b/>
          <w:bCs/>
          <w:color w:val="000000" w:themeColor="text1"/>
          <w:kern w:val="2"/>
          <w:szCs w:val="32"/>
          <w14:textFill>
            <w14:solidFill>
              <w14:schemeClr w14:val="tx1"/>
            </w14:solidFill>
          </w14:textFill>
        </w:rPr>
        <w:t>民生民本持续改善。</w:t>
      </w:r>
      <w:r>
        <w:rPr>
          <w:rFonts w:ascii="Times New Roman" w:hAnsi="Times New Roman" w:eastAsia="仿宋_GB2312"/>
          <w:color w:val="000000" w:themeColor="text1"/>
          <w:szCs w:val="32"/>
          <w14:textFill>
            <w14:solidFill>
              <w14:schemeClr w14:val="tx1"/>
            </w14:solidFill>
          </w14:textFill>
        </w:rPr>
        <w:t>坚持公共财力大幅度向民生倾斜，民生支出现已占一般公共预算支出的72%。坚持每年实施民生</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365</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工程，</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15分钟民生服务圈</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日益完善，教育、医疗、养老、社保、综治、安全等各项事业全面发展，荣获</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国家慢性病综合防控示范区</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，荣获全省唯一</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全国社区治理和服务创新试验区</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，市人民医院获批为</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三级甲等</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医院，</w:t>
      </w:r>
      <w:r>
        <w:rPr>
          <w:rFonts w:ascii="Times New Roman" w:hAnsi="Times New Roman" w:eastAsia="仿宋_GB2312"/>
          <w:color w:val="000000" w:themeColor="text1"/>
          <w:kern w:val="2"/>
          <w:szCs w:val="32"/>
          <w14:textFill>
            <w14:solidFill>
              <w14:schemeClr w14:val="tx1"/>
            </w14:solidFill>
          </w14:textFill>
        </w:rPr>
        <w:t>人民群众幸福感、获得感、安全感不断增强。</w:t>
      </w:r>
    </w:p>
    <w:p>
      <w:pPr>
        <w:widowControl w:val="0"/>
        <w:adjustRightInd w:val="0"/>
        <w:snapToGrid w:val="0"/>
        <w:spacing w:after="0" w:line="560" w:lineRule="exact"/>
        <w:ind w:firstLine="680" w:firstLineChars="200"/>
        <w:jc w:val="both"/>
        <w:rPr>
          <w:rFonts w:ascii="Times New Roman" w:hAnsi="Times New Roman" w:eastAsia="仿宋_GB2312"/>
          <w:color w:val="000000" w:themeColor="text1"/>
          <w:kern w:val="2"/>
          <w:szCs w:val="32"/>
          <w14:textFill>
            <w14:solidFill>
              <w14:schemeClr w14:val="tx1"/>
            </w14:solidFill>
          </w14:textFill>
        </w:rPr>
      </w:pPr>
      <w:r>
        <w:rPr>
          <w:rFonts w:ascii="楷体_GB2312" w:hAnsi="楷体_GB2312" w:eastAsia="楷体_GB2312" w:cs="楷体_GB2312"/>
          <w:b/>
          <w:bCs/>
          <w:color w:val="000000" w:themeColor="text1"/>
          <w:kern w:val="2"/>
          <w:szCs w:val="32"/>
          <w14:textFill>
            <w14:solidFill>
              <w14:schemeClr w14:val="tx1"/>
            </w14:solidFill>
          </w14:textFill>
        </w:rPr>
        <w:t>社会治理卓有成效。</w:t>
      </w:r>
      <w:r>
        <w:rPr>
          <w:rFonts w:ascii="Times New Roman" w:hAnsi="Times New Roman" w:eastAsia="仿宋_GB2312"/>
          <w:color w:val="000000" w:themeColor="text1"/>
          <w:kern w:val="2"/>
          <w:szCs w:val="32"/>
          <w14:textFill>
            <w14:solidFill>
              <w14:schemeClr w14:val="tx1"/>
            </w14:solidFill>
          </w14:textFill>
        </w:rPr>
        <w:t>实施党建</w:t>
      </w:r>
      <w:r>
        <w:rPr>
          <w:rFonts w:hint="eastAsia" w:ascii="Times New Roman" w:hAnsi="Times New Roman" w:eastAsia="仿宋_GB2312"/>
          <w:color w:val="000000" w:themeColor="text1"/>
          <w:kern w:val="2"/>
          <w:szCs w:val="32"/>
          <w14:textFill>
            <w14:solidFill>
              <w14:schemeClr w14:val="tx1"/>
            </w14:solidFill>
          </w14:textFill>
        </w:rPr>
        <w:t>“</w:t>
      </w:r>
      <w:r>
        <w:rPr>
          <w:rFonts w:ascii="Times New Roman" w:hAnsi="Times New Roman" w:eastAsia="仿宋_GB2312"/>
          <w:color w:val="000000" w:themeColor="text1"/>
          <w:kern w:val="2"/>
          <w:szCs w:val="32"/>
          <w14:textFill>
            <w14:solidFill>
              <w14:schemeClr w14:val="tx1"/>
            </w14:solidFill>
          </w14:textFill>
        </w:rPr>
        <w:t>1369</w:t>
      </w:r>
      <w:r>
        <w:rPr>
          <w:rFonts w:hint="eastAsia" w:ascii="Times New Roman" w:hAnsi="Times New Roman" w:eastAsia="仿宋_GB2312"/>
          <w:color w:val="000000" w:themeColor="text1"/>
          <w:kern w:val="2"/>
          <w:szCs w:val="32"/>
          <w14:textFill>
            <w14:solidFill>
              <w14:schemeClr w14:val="tx1"/>
            </w14:solidFill>
          </w14:textFill>
        </w:rPr>
        <w:t>”</w:t>
      </w:r>
      <w:r>
        <w:rPr>
          <w:rFonts w:ascii="Times New Roman" w:hAnsi="Times New Roman" w:eastAsia="仿宋_GB2312"/>
          <w:color w:val="000000" w:themeColor="text1"/>
          <w:kern w:val="2"/>
          <w:szCs w:val="32"/>
          <w14:textFill>
            <w14:solidFill>
              <w14:schemeClr w14:val="tx1"/>
            </w14:solidFill>
          </w14:textFill>
        </w:rPr>
        <w:t>工程，构建区、街道、社区、网格四级党建引领社会治理体系，按照</w:t>
      </w:r>
      <w:r>
        <w:rPr>
          <w:rFonts w:hint="eastAsia" w:ascii="Times New Roman" w:hAnsi="Times New Roman" w:eastAsia="仿宋_GB2312"/>
          <w:color w:val="000000" w:themeColor="text1"/>
          <w:kern w:val="2"/>
          <w:szCs w:val="32"/>
          <w14:textFill>
            <w14:solidFill>
              <w14:schemeClr w14:val="tx1"/>
            </w14:solidFill>
          </w14:textFill>
        </w:rPr>
        <w:t>“</w:t>
      </w:r>
      <w:r>
        <w:rPr>
          <w:rFonts w:ascii="Times New Roman" w:hAnsi="Times New Roman" w:eastAsia="仿宋_GB2312"/>
          <w:color w:val="000000" w:themeColor="text1"/>
          <w:kern w:val="2"/>
          <w:szCs w:val="32"/>
          <w14:textFill>
            <w14:solidFill>
              <w14:schemeClr w14:val="tx1"/>
            </w14:solidFill>
          </w14:textFill>
        </w:rPr>
        <w:t>一有七中心</w:t>
      </w:r>
      <w:r>
        <w:rPr>
          <w:rFonts w:hint="eastAsia" w:ascii="Times New Roman" w:hAnsi="Times New Roman" w:eastAsia="仿宋_GB2312"/>
          <w:color w:val="000000" w:themeColor="text1"/>
          <w:kern w:val="2"/>
          <w:szCs w:val="32"/>
          <w14:textFill>
            <w14:solidFill>
              <w14:schemeClr w14:val="tx1"/>
            </w14:solidFill>
          </w14:textFill>
        </w:rPr>
        <w:t>”</w:t>
      </w:r>
      <w:r>
        <w:rPr>
          <w:rFonts w:ascii="Times New Roman" w:hAnsi="Times New Roman" w:eastAsia="仿宋_GB2312"/>
          <w:color w:val="000000" w:themeColor="text1"/>
          <w:kern w:val="2"/>
          <w:szCs w:val="32"/>
          <w14:textFill>
            <w14:solidFill>
              <w14:schemeClr w14:val="tx1"/>
            </w14:solidFill>
          </w14:textFill>
        </w:rPr>
        <w:t>建设标准，投入2.2亿全面提升86个社区党建阵地，成立了区委社区工作委员会，作为党委组成部门，统一领导基层党建和政权建设，建立了区、街道、社区三级</w:t>
      </w:r>
      <w:r>
        <w:rPr>
          <w:rFonts w:hint="eastAsia" w:ascii="Times New Roman" w:hAnsi="Times New Roman" w:eastAsia="仿宋_GB2312"/>
          <w:color w:val="000000" w:themeColor="text1"/>
          <w:kern w:val="2"/>
          <w:szCs w:val="32"/>
          <w14:textFill>
            <w14:solidFill>
              <w14:schemeClr w14:val="tx1"/>
            </w14:solidFill>
          </w14:textFill>
        </w:rPr>
        <w:t>“</w:t>
      </w:r>
      <w:r>
        <w:rPr>
          <w:rFonts w:ascii="Times New Roman" w:hAnsi="Times New Roman" w:eastAsia="仿宋_GB2312"/>
          <w:color w:val="000000" w:themeColor="text1"/>
          <w:kern w:val="2"/>
          <w:szCs w:val="32"/>
          <w14:textFill>
            <w14:solidFill>
              <w14:schemeClr w14:val="tx1"/>
            </w14:solidFill>
          </w14:textFill>
        </w:rPr>
        <w:t>三社联动</w:t>
      </w:r>
      <w:r>
        <w:rPr>
          <w:rFonts w:hint="eastAsia" w:ascii="Times New Roman" w:hAnsi="Times New Roman" w:eastAsia="仿宋_GB2312"/>
          <w:color w:val="000000" w:themeColor="text1"/>
          <w:kern w:val="2"/>
          <w:szCs w:val="32"/>
          <w14:textFill>
            <w14:solidFill>
              <w14:schemeClr w14:val="tx1"/>
            </w14:solidFill>
          </w14:textFill>
        </w:rPr>
        <w:t>”</w:t>
      </w:r>
      <w:r>
        <w:rPr>
          <w:rFonts w:ascii="Times New Roman" w:hAnsi="Times New Roman" w:eastAsia="仿宋_GB2312"/>
          <w:color w:val="000000" w:themeColor="text1"/>
          <w:kern w:val="2"/>
          <w:szCs w:val="32"/>
          <w14:textFill>
            <w14:solidFill>
              <w14:schemeClr w14:val="tx1"/>
            </w14:solidFill>
          </w14:textFill>
        </w:rPr>
        <w:t>平台，得到了国家、省、市的充分肯定。</w:t>
      </w:r>
    </w:p>
    <w:p>
      <w:pPr>
        <w:widowControl w:val="0"/>
        <w:adjustRightInd w:val="0"/>
        <w:snapToGrid w:val="0"/>
        <w:spacing w:after="0" w:line="560" w:lineRule="exact"/>
        <w:ind w:firstLine="680" w:firstLineChars="200"/>
        <w:rPr>
          <w:rFonts w:ascii="Times New Roman" w:hAnsi="Times New Roman" w:eastAsia="仿宋_GB2312"/>
          <w:color w:val="000000" w:themeColor="text1"/>
          <w:szCs w:val="32"/>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总体上看，</w:t>
      </w:r>
      <w:r>
        <w:rPr>
          <w:rFonts w:hint="eastAsia" w:ascii="Times New Roman" w:hAnsi="Times New Roman" w:eastAsia="仿宋_GB2312"/>
          <w:color w:val="000000" w:themeColor="text1"/>
          <w14:textFill>
            <w14:solidFill>
              <w14:schemeClr w14:val="tx1"/>
            </w14:solidFill>
          </w14:textFill>
        </w:rPr>
        <w:t>“</w:t>
      </w:r>
      <w:r>
        <w:rPr>
          <w:rFonts w:ascii="Times New Roman" w:hAnsi="Times New Roman" w:eastAsia="仿宋_GB2312"/>
          <w:color w:val="000000" w:themeColor="text1"/>
          <w14:textFill>
            <w14:solidFill>
              <w14:schemeClr w14:val="tx1"/>
            </w14:solidFill>
          </w14:textFill>
        </w:rPr>
        <w:t>十三五</w:t>
      </w:r>
      <w:r>
        <w:rPr>
          <w:rFonts w:hint="eastAsia" w:ascii="Times New Roman" w:hAnsi="Times New Roman" w:eastAsia="仿宋_GB2312"/>
          <w:color w:val="000000" w:themeColor="text1"/>
          <w14:textFill>
            <w14:solidFill>
              <w14:schemeClr w14:val="tx1"/>
            </w14:solidFill>
          </w14:textFill>
        </w:rPr>
        <w:t>”</w:t>
      </w:r>
      <w:r>
        <w:rPr>
          <w:rFonts w:ascii="Times New Roman" w:hAnsi="Times New Roman" w:eastAsia="仿宋_GB2312"/>
          <w:color w:val="000000" w:themeColor="text1"/>
          <w14:textFill>
            <w14:solidFill>
              <w14:schemeClr w14:val="tx1"/>
            </w14:solidFill>
          </w14:textFill>
        </w:rPr>
        <w:t>期间全区上下戮力同心，砥砺奋进，苦干实干，取得了有目共睹</w:t>
      </w:r>
      <w:r>
        <w:rPr>
          <w:rFonts w:hint="eastAsia" w:ascii="Times New Roman" w:hAnsi="Times New Roman" w:eastAsia="仿宋_GB2312"/>
          <w:color w:val="000000" w:themeColor="text1"/>
          <w14:textFill>
            <w14:solidFill>
              <w14:schemeClr w14:val="tx1"/>
            </w14:solidFill>
          </w14:textFill>
        </w:rPr>
        <w:t>的</w:t>
      </w:r>
      <w:r>
        <w:rPr>
          <w:rFonts w:ascii="Times New Roman" w:hAnsi="Times New Roman" w:eastAsia="仿宋_GB2312"/>
          <w:color w:val="000000" w:themeColor="text1"/>
          <w14:textFill>
            <w14:solidFill>
              <w14:schemeClr w14:val="tx1"/>
            </w14:solidFill>
          </w14:textFill>
        </w:rPr>
        <w:t>成绩。特别是过去一年，面对突如其来的新冠肺炎疫情，全区人民坚决打好疫情防控的人民战争总体战</w:t>
      </w:r>
      <w:r>
        <w:rPr>
          <w:rFonts w:hint="eastAsia" w:ascii="Times New Roman" w:hAnsi="Times New Roman" w:eastAsia="仿宋_GB2312"/>
          <w:color w:val="000000" w:themeColor="text1"/>
          <w14:textFill>
            <w14:solidFill>
              <w14:schemeClr w14:val="tx1"/>
            </w14:solidFill>
          </w14:textFill>
        </w:rPr>
        <w:t>、</w:t>
      </w:r>
      <w:r>
        <w:rPr>
          <w:rFonts w:ascii="Times New Roman" w:hAnsi="Times New Roman" w:eastAsia="仿宋_GB2312"/>
          <w:color w:val="000000" w:themeColor="text1"/>
          <w14:textFill>
            <w14:solidFill>
              <w14:schemeClr w14:val="tx1"/>
            </w14:solidFill>
          </w14:textFill>
        </w:rPr>
        <w:t>阻击战，抓好防控、激活经济，取得了疫情防控和经济社会发展的</w:t>
      </w:r>
      <w:r>
        <w:rPr>
          <w:rFonts w:hint="eastAsia" w:ascii="Times New Roman" w:hAnsi="Times New Roman" w:eastAsia="仿宋_GB2312"/>
          <w:color w:val="000000" w:themeColor="text1"/>
          <w14:textFill>
            <w14:solidFill>
              <w14:schemeClr w14:val="tx1"/>
            </w14:solidFill>
          </w14:textFill>
        </w:rPr>
        <w:t>“</w:t>
      </w:r>
      <w:r>
        <w:rPr>
          <w:rFonts w:ascii="Times New Roman" w:hAnsi="Times New Roman" w:eastAsia="仿宋_GB2312"/>
          <w:color w:val="000000" w:themeColor="text1"/>
          <w14:textFill>
            <w14:solidFill>
              <w14:schemeClr w14:val="tx1"/>
            </w14:solidFill>
          </w14:textFill>
        </w:rPr>
        <w:t>双胜利</w:t>
      </w:r>
      <w:r>
        <w:rPr>
          <w:rFonts w:hint="eastAsia" w:ascii="Times New Roman" w:hAnsi="Times New Roman" w:eastAsia="仿宋_GB2312"/>
          <w:color w:val="000000" w:themeColor="text1"/>
          <w14:textFill>
            <w14:solidFill>
              <w14:schemeClr w14:val="tx1"/>
            </w14:solidFill>
          </w14:textFill>
        </w:rPr>
        <w:t>”</w:t>
      </w:r>
      <w:r>
        <w:rPr>
          <w:rFonts w:ascii="Times New Roman" w:hAnsi="Times New Roman" w:eastAsia="仿宋_GB2312"/>
          <w:color w:val="000000" w:themeColor="text1"/>
          <w14:textFill>
            <w14:solidFill>
              <w14:schemeClr w14:val="tx1"/>
            </w14:solidFill>
          </w14:textFill>
        </w:rPr>
        <w:t>。</w:t>
      </w:r>
      <w:r>
        <w:rPr>
          <w:rFonts w:ascii="Times New Roman" w:hAnsi="Times New Roman" w:eastAsia="仿宋_GB2312"/>
          <w:color w:val="000000" w:themeColor="text1"/>
          <w:szCs w:val="32"/>
          <w:lang w:val="en"/>
          <w14:textFill>
            <w14:solidFill>
              <w14:schemeClr w14:val="tx1"/>
            </w14:solidFill>
          </w14:textFill>
        </w:rPr>
        <w:t>实践充分证明，我们走过的路是符合中央精神和省委、市委要求的，是切合我区发展实际的，是顺应广大人民群众期盼的。面向未来，我们</w:t>
      </w:r>
      <w:r>
        <w:rPr>
          <w:rFonts w:ascii="Times New Roman" w:hAnsi="Times New Roman" w:eastAsia="仿宋_GB2312"/>
          <w:color w:val="000000" w:themeColor="text1"/>
          <w:szCs w:val="32"/>
          <w14:textFill>
            <w14:solidFill>
              <w14:schemeClr w14:val="tx1"/>
            </w14:solidFill>
          </w14:textFill>
        </w:rPr>
        <w:t>必须</w:t>
      </w:r>
      <w:r>
        <w:rPr>
          <w:rFonts w:ascii="Times New Roman" w:hAnsi="Times New Roman" w:eastAsia="仿宋_GB2312"/>
          <w:color w:val="000000" w:themeColor="text1"/>
          <w:szCs w:val="32"/>
          <w:lang w:val="en"/>
          <w14:textFill>
            <w14:solidFill>
              <w14:schemeClr w14:val="tx1"/>
            </w14:solidFill>
          </w14:textFill>
        </w:rPr>
        <w:t>坚定新发展理念不动摇，守正创新、继往开来，</w:t>
      </w:r>
      <w:r>
        <w:rPr>
          <w:rFonts w:ascii="Times New Roman" w:hAnsi="Times New Roman" w:eastAsia="仿宋_GB2312"/>
          <w:color w:val="000000" w:themeColor="text1"/>
          <w:szCs w:val="32"/>
          <w14:textFill>
            <w14:solidFill>
              <w14:schemeClr w14:val="tx1"/>
            </w14:solidFill>
          </w14:textFill>
        </w:rPr>
        <w:t>全面开启</w:t>
      </w:r>
      <w:r>
        <w:rPr>
          <w:rFonts w:ascii="Times New Roman" w:hAnsi="Times New Roman" w:eastAsia="仿宋_GB2312"/>
          <w:color w:val="000000" w:themeColor="text1"/>
          <w:szCs w:val="32"/>
          <w:lang w:val="en"/>
          <w14:textFill>
            <w14:solidFill>
              <w14:schemeClr w14:val="tx1"/>
            </w14:solidFill>
          </w14:textFill>
        </w:rPr>
        <w:t>社会主义现代化建设新</w:t>
      </w:r>
      <w:r>
        <w:rPr>
          <w:rFonts w:ascii="Times New Roman" w:hAnsi="Times New Roman" w:eastAsia="仿宋_GB2312"/>
          <w:color w:val="000000" w:themeColor="text1"/>
          <w:szCs w:val="32"/>
          <w14:textFill>
            <w14:solidFill>
              <w14:schemeClr w14:val="tx1"/>
            </w14:solidFill>
          </w14:textFill>
        </w:rPr>
        <w:t>征程</w:t>
      </w:r>
      <w:r>
        <w:rPr>
          <w:rFonts w:ascii="Times New Roman" w:hAnsi="Times New Roman" w:eastAsia="仿宋_GB2312"/>
          <w:color w:val="000000" w:themeColor="text1"/>
          <w:szCs w:val="32"/>
          <w:lang w:val="en"/>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 xml:space="preserve"> </w:t>
      </w:r>
    </w:p>
    <w:p>
      <w:pPr>
        <w:pStyle w:val="2"/>
        <w:widowControl w:val="0"/>
        <w:adjustRightInd w:val="0"/>
        <w:snapToGrid w:val="0"/>
        <w:spacing w:after="0" w:line="300" w:lineRule="exact"/>
        <w:ind w:firstLine="340"/>
      </w:pPr>
    </w:p>
    <w:tbl>
      <w:tblPr>
        <w:tblStyle w:val="11"/>
        <w:tblW w:w="89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779"/>
        <w:gridCol w:w="1080"/>
        <w:gridCol w:w="2300"/>
        <w:gridCol w:w="1185"/>
        <w:gridCol w:w="1263"/>
        <w:gridCol w:w="109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780" w:hRule="atLeast"/>
          <w:jc w:val="center"/>
        </w:trPr>
        <w:tc>
          <w:tcPr>
            <w:tcW w:w="8978" w:type="dxa"/>
            <w:gridSpan w:val="7"/>
            <w:vAlign w:val="center"/>
          </w:tcPr>
          <w:p>
            <w:pPr>
              <w:widowControl w:val="0"/>
              <w:adjustRightInd w:val="0"/>
              <w:snapToGrid w:val="0"/>
              <w:spacing w:after="0" w:line="400" w:lineRule="exact"/>
              <w:jc w:val="center"/>
              <w:rPr>
                <w:rFonts w:ascii="黑体" w:hAnsi="黑体" w:eastAsia="黑体" w:cs="黑体"/>
                <w:color w:val="000000" w:themeColor="text1"/>
                <w:sz w:val="30"/>
                <w:szCs w:val="30"/>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专栏</w:t>
            </w:r>
            <w:r>
              <w:rPr>
                <w:rFonts w:hint="eastAsia" w:ascii="Times New Roman" w:hAnsi="Times New Roman" w:eastAsia="黑体" w:cs="黑体"/>
                <w:color w:val="000000" w:themeColor="text1"/>
                <w:sz w:val="30"/>
                <w:szCs w:val="30"/>
                <w14:textFill>
                  <w14:solidFill>
                    <w14:schemeClr w14:val="tx1"/>
                  </w14:solidFill>
                </w14:textFill>
              </w:rPr>
              <w:t>1</w:t>
            </w:r>
            <w:r>
              <w:rPr>
                <w:rFonts w:hint="eastAsia" w:ascii="黑体" w:hAnsi="黑体" w:eastAsia="黑体" w:cs="黑体"/>
                <w:color w:val="000000" w:themeColor="text1"/>
                <w:sz w:val="30"/>
                <w:szCs w:val="30"/>
                <w14:textFill>
                  <w14:solidFill>
                    <w14:schemeClr w14:val="tx1"/>
                  </w14:solidFill>
                </w14:textFill>
              </w:rPr>
              <w:t xml:space="preserve">  魏都区“十三五”主要规划指标完成情况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65" w:hRule="atLeast"/>
          <w:jc w:val="center"/>
        </w:trPr>
        <w:tc>
          <w:tcPr>
            <w:tcW w:w="779" w:type="dxa"/>
            <w:vMerge w:val="restart"/>
            <w:vAlign w:val="center"/>
          </w:tcPr>
          <w:p>
            <w:pPr>
              <w:widowControl w:val="0"/>
              <w:adjustRightInd w:val="0"/>
              <w:snapToGrid w:val="0"/>
              <w:spacing w:after="0" w:line="400" w:lineRule="exact"/>
              <w:jc w:val="center"/>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序号</w:t>
            </w:r>
          </w:p>
        </w:tc>
        <w:tc>
          <w:tcPr>
            <w:tcW w:w="3380" w:type="dxa"/>
            <w:gridSpan w:val="2"/>
            <w:vMerge w:val="restart"/>
            <w:vAlign w:val="center"/>
          </w:tcPr>
          <w:p>
            <w:pPr>
              <w:widowControl w:val="0"/>
              <w:adjustRightInd w:val="0"/>
              <w:snapToGrid w:val="0"/>
              <w:spacing w:after="0" w:line="400" w:lineRule="exact"/>
              <w:jc w:val="center"/>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指标名称</w:t>
            </w:r>
          </w:p>
        </w:tc>
        <w:tc>
          <w:tcPr>
            <w:tcW w:w="2448" w:type="dxa"/>
            <w:gridSpan w:val="2"/>
            <w:vAlign w:val="center"/>
          </w:tcPr>
          <w:p>
            <w:pPr>
              <w:widowControl w:val="0"/>
              <w:adjustRightInd w:val="0"/>
              <w:snapToGrid w:val="0"/>
              <w:spacing w:after="0" w:line="400" w:lineRule="exact"/>
              <w:jc w:val="center"/>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“十三五”规划目标</w:t>
            </w:r>
          </w:p>
        </w:tc>
        <w:tc>
          <w:tcPr>
            <w:tcW w:w="2371" w:type="dxa"/>
            <w:gridSpan w:val="2"/>
            <w:vAlign w:val="center"/>
          </w:tcPr>
          <w:p>
            <w:pPr>
              <w:widowControl w:val="0"/>
              <w:adjustRightInd w:val="0"/>
              <w:snapToGrid w:val="0"/>
              <w:spacing w:after="0" w:line="400" w:lineRule="exact"/>
              <w:jc w:val="center"/>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pacing w:val="-6"/>
                <w:sz w:val="24"/>
                <w14:textFill>
                  <w14:solidFill>
                    <w14:schemeClr w14:val="tx1"/>
                  </w14:solidFill>
                </w14:textFill>
              </w:rPr>
              <w:t>“十三五”完成情况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65" w:hRule="atLeast"/>
          <w:jc w:val="center"/>
        </w:trPr>
        <w:tc>
          <w:tcPr>
            <w:tcW w:w="779" w:type="dxa"/>
            <w:vMerge w:val="continue"/>
            <w:vAlign w:val="center"/>
          </w:tcPr>
          <w:p>
            <w:pPr>
              <w:widowControl w:val="0"/>
              <w:adjustRightInd w:val="0"/>
              <w:snapToGrid w:val="0"/>
              <w:spacing w:after="0" w:line="400" w:lineRule="exact"/>
              <w:jc w:val="center"/>
              <w:rPr>
                <w:rFonts w:ascii="宋体" w:hAnsi="宋体" w:eastAsia="宋体" w:cs="宋体"/>
                <w:b/>
                <w:color w:val="000000" w:themeColor="text1"/>
                <w:sz w:val="24"/>
                <w14:textFill>
                  <w14:solidFill>
                    <w14:schemeClr w14:val="tx1"/>
                  </w14:solidFill>
                </w14:textFill>
              </w:rPr>
            </w:pPr>
          </w:p>
        </w:tc>
        <w:tc>
          <w:tcPr>
            <w:tcW w:w="3380" w:type="dxa"/>
            <w:gridSpan w:val="2"/>
            <w:vMerge w:val="continue"/>
            <w:vAlign w:val="center"/>
          </w:tcPr>
          <w:p>
            <w:pPr>
              <w:widowControl w:val="0"/>
              <w:adjustRightInd w:val="0"/>
              <w:snapToGrid w:val="0"/>
              <w:spacing w:after="0" w:line="400" w:lineRule="exact"/>
              <w:jc w:val="center"/>
              <w:rPr>
                <w:rFonts w:ascii="宋体" w:hAnsi="宋体" w:eastAsia="宋体" w:cs="宋体"/>
                <w:b/>
                <w:color w:val="000000" w:themeColor="text1"/>
                <w:sz w:val="24"/>
                <w14:textFill>
                  <w14:solidFill>
                    <w14:schemeClr w14:val="tx1"/>
                  </w14:solidFill>
                </w14:textFill>
              </w:rPr>
            </w:pPr>
          </w:p>
        </w:tc>
        <w:tc>
          <w:tcPr>
            <w:tcW w:w="1185" w:type="dxa"/>
            <w:vAlign w:val="center"/>
          </w:tcPr>
          <w:p>
            <w:pPr>
              <w:widowControl w:val="0"/>
              <w:adjustRightInd w:val="0"/>
              <w:snapToGrid w:val="0"/>
              <w:spacing w:after="0" w:line="400" w:lineRule="exact"/>
              <w:jc w:val="center"/>
              <w:rPr>
                <w:rFonts w:ascii="宋体" w:hAnsi="宋体" w:eastAsia="宋体" w:cs="宋体"/>
                <w:b/>
                <w:color w:val="000000" w:themeColor="text1"/>
                <w:sz w:val="24"/>
                <w14:textFill>
                  <w14:solidFill>
                    <w14:schemeClr w14:val="tx1"/>
                  </w14:solidFill>
                </w14:textFill>
              </w:rPr>
            </w:pPr>
            <w:r>
              <w:rPr>
                <w:rFonts w:hint="eastAsia" w:ascii="Times New Roman" w:hAnsi="Times New Roman" w:eastAsia="宋体" w:cs="宋体"/>
                <w:b/>
                <w:color w:val="000000" w:themeColor="text1"/>
                <w:sz w:val="24"/>
                <w14:textFill>
                  <w14:solidFill>
                    <w14:schemeClr w14:val="tx1"/>
                  </w14:solidFill>
                </w14:textFill>
              </w:rPr>
              <w:t>2020</w:t>
            </w:r>
            <w:r>
              <w:rPr>
                <w:rFonts w:hint="eastAsia" w:ascii="宋体" w:hAnsi="宋体" w:eastAsia="宋体" w:cs="宋体"/>
                <w:b/>
                <w:color w:val="000000" w:themeColor="text1"/>
                <w:sz w:val="24"/>
                <w14:textFill>
                  <w14:solidFill>
                    <w14:schemeClr w14:val="tx1"/>
                  </w14:solidFill>
                </w14:textFill>
              </w:rPr>
              <w:t>年</w:t>
            </w:r>
          </w:p>
        </w:tc>
        <w:tc>
          <w:tcPr>
            <w:tcW w:w="1263" w:type="dxa"/>
            <w:vAlign w:val="center"/>
          </w:tcPr>
          <w:p>
            <w:pPr>
              <w:widowControl w:val="0"/>
              <w:adjustRightInd w:val="0"/>
              <w:snapToGrid w:val="0"/>
              <w:spacing w:after="0" w:line="400" w:lineRule="exact"/>
              <w:jc w:val="center"/>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年均增长（%）</w:t>
            </w:r>
          </w:p>
        </w:tc>
        <w:tc>
          <w:tcPr>
            <w:tcW w:w="1095" w:type="dxa"/>
            <w:vAlign w:val="center"/>
          </w:tcPr>
          <w:p>
            <w:pPr>
              <w:widowControl w:val="0"/>
              <w:adjustRightInd w:val="0"/>
              <w:snapToGrid w:val="0"/>
              <w:spacing w:after="0" w:line="400" w:lineRule="exact"/>
              <w:jc w:val="center"/>
              <w:rPr>
                <w:rFonts w:ascii="宋体" w:hAnsi="宋体" w:eastAsia="宋体" w:cs="宋体"/>
                <w:b/>
                <w:color w:val="000000" w:themeColor="text1"/>
                <w:sz w:val="24"/>
                <w14:textFill>
                  <w14:solidFill>
                    <w14:schemeClr w14:val="tx1"/>
                  </w14:solidFill>
                </w14:textFill>
              </w:rPr>
            </w:pPr>
            <w:r>
              <w:rPr>
                <w:rFonts w:hint="eastAsia" w:ascii="Times New Roman" w:hAnsi="Times New Roman" w:eastAsia="宋体" w:cs="宋体"/>
                <w:b/>
                <w:color w:val="000000" w:themeColor="text1"/>
                <w:sz w:val="24"/>
                <w14:textFill>
                  <w14:solidFill>
                    <w14:schemeClr w14:val="tx1"/>
                  </w14:solidFill>
                </w14:textFill>
              </w:rPr>
              <w:t>2020</w:t>
            </w:r>
            <w:r>
              <w:rPr>
                <w:rFonts w:hint="eastAsia" w:ascii="宋体" w:hAnsi="宋体" w:eastAsia="宋体" w:cs="宋体"/>
                <w:b/>
                <w:color w:val="000000" w:themeColor="text1"/>
                <w:sz w:val="24"/>
                <w14:textFill>
                  <w14:solidFill>
                    <w14:schemeClr w14:val="tx1"/>
                  </w14:solidFill>
                </w14:textFill>
              </w:rPr>
              <w:t>年</w:t>
            </w:r>
          </w:p>
        </w:tc>
        <w:tc>
          <w:tcPr>
            <w:tcW w:w="1276" w:type="dxa"/>
            <w:vAlign w:val="center"/>
          </w:tcPr>
          <w:p>
            <w:pPr>
              <w:widowControl w:val="0"/>
              <w:adjustRightInd w:val="0"/>
              <w:snapToGrid w:val="0"/>
              <w:spacing w:after="0" w:line="400" w:lineRule="exact"/>
              <w:jc w:val="center"/>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年均增长（%）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12" w:hRule="atLeast"/>
          <w:jc w:val="center"/>
        </w:trPr>
        <w:tc>
          <w:tcPr>
            <w:tcW w:w="8978" w:type="dxa"/>
            <w:gridSpan w:val="7"/>
            <w:vAlign w:val="center"/>
          </w:tcPr>
          <w:p>
            <w:pPr>
              <w:widowControl w:val="0"/>
              <w:adjustRightInd w:val="0"/>
              <w:snapToGrid w:val="0"/>
              <w:spacing w:after="0" w:line="400" w:lineRule="exact"/>
              <w:rPr>
                <w:rFonts w:ascii="Times New Roman" w:hAnsi="Times New Roman" w:eastAsia="楷体_GB2312"/>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一、经济发展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67" w:hRule="atLeast"/>
          <w:jc w:val="center"/>
        </w:trPr>
        <w:tc>
          <w:tcPr>
            <w:tcW w:w="779"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1</w:t>
            </w:r>
          </w:p>
        </w:tc>
        <w:tc>
          <w:tcPr>
            <w:tcW w:w="3380" w:type="dxa"/>
            <w:gridSpan w:val="2"/>
            <w:vAlign w:val="center"/>
          </w:tcPr>
          <w:p>
            <w:pPr>
              <w:widowControl w:val="0"/>
              <w:adjustRightInd w:val="0"/>
              <w:snapToGrid w:val="0"/>
              <w:spacing w:after="0" w:line="400" w:lineRule="exact"/>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地区生产总值（亿元）</w:t>
            </w:r>
          </w:p>
        </w:tc>
        <w:tc>
          <w:tcPr>
            <w:tcW w:w="1185" w:type="dxa"/>
            <w:vAlign w:val="center"/>
          </w:tcPr>
          <w:p>
            <w:pPr>
              <w:widowControl w:val="0"/>
              <w:adjustRightInd w:val="0"/>
              <w:snapToGrid w:val="0"/>
              <w:spacing w:after="0" w:line="400" w:lineRule="exact"/>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imes New Roman" w:hAnsi="Times New Roman" w:eastAsiaTheme="minorEastAsia" w:cstheme="minorEastAsia"/>
                <w:color w:val="000000" w:themeColor="text1"/>
                <w:sz w:val="24"/>
                <w14:textFill>
                  <w14:solidFill>
                    <w14:schemeClr w14:val="tx1"/>
                  </w14:solidFill>
                </w14:textFill>
              </w:rPr>
              <w:t>170</w:t>
            </w:r>
            <w:r>
              <w:rPr>
                <w:rFonts w:hint="eastAsia" w:asciiTheme="minorEastAsia" w:hAnsiTheme="minorEastAsia" w:eastAsiaTheme="minorEastAsia" w:cstheme="minorEastAsia"/>
                <w:color w:val="000000" w:themeColor="text1"/>
                <w:sz w:val="24"/>
                <w14:textFill>
                  <w14:solidFill>
                    <w14:schemeClr w14:val="tx1"/>
                  </w14:solidFill>
                </w14:textFill>
              </w:rPr>
              <w:t>以上</w:t>
            </w:r>
          </w:p>
        </w:tc>
        <w:tc>
          <w:tcPr>
            <w:tcW w:w="1263" w:type="dxa"/>
            <w:vAlign w:val="center"/>
          </w:tcPr>
          <w:p>
            <w:pPr>
              <w:widowControl w:val="0"/>
              <w:adjustRightInd w:val="0"/>
              <w:snapToGrid w:val="0"/>
              <w:spacing w:after="0" w:line="400" w:lineRule="exact"/>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imes New Roman" w:hAnsi="Times New Roman" w:eastAsiaTheme="minorEastAsia" w:cstheme="minorEastAsia"/>
                <w:color w:val="000000" w:themeColor="text1"/>
                <w:sz w:val="24"/>
                <w14:textFill>
                  <w14:solidFill>
                    <w14:schemeClr w14:val="tx1"/>
                  </w14:solidFill>
                </w14:textFill>
              </w:rPr>
              <w:t>8</w:t>
            </w:r>
            <w:r>
              <w:rPr>
                <w:rFonts w:hint="eastAsia" w:asciiTheme="minorEastAsia" w:hAnsiTheme="minorEastAsia" w:eastAsiaTheme="minorEastAsia" w:cstheme="minorEastAsia"/>
                <w:color w:val="000000" w:themeColor="text1"/>
                <w:sz w:val="24"/>
                <w14:textFill>
                  <w14:solidFill>
                    <w14:schemeClr w14:val="tx1"/>
                  </w14:solidFill>
                </w14:textFill>
              </w:rPr>
              <w:t>以上</w:t>
            </w:r>
          </w:p>
        </w:tc>
        <w:tc>
          <w:tcPr>
            <w:tcW w:w="1095" w:type="dxa"/>
            <w:vAlign w:val="center"/>
          </w:tcPr>
          <w:p>
            <w:pPr>
              <w:widowControl w:val="0"/>
              <w:adjustRightInd w:val="0"/>
              <w:snapToGrid w:val="0"/>
              <w:spacing w:after="0" w:line="400" w:lineRule="exact"/>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imes New Roman" w:hAnsi="Times New Roman" w:eastAsiaTheme="minorEastAsia" w:cstheme="minorEastAsia"/>
                <w:color w:val="000000" w:themeColor="text1"/>
                <w:sz w:val="24"/>
                <w14:textFill>
                  <w14:solidFill>
                    <w14:schemeClr w14:val="tx1"/>
                  </w14:solidFill>
                </w14:textFill>
              </w:rPr>
              <w:t>302</w:t>
            </w:r>
          </w:p>
        </w:tc>
        <w:tc>
          <w:tcPr>
            <w:tcW w:w="1276" w:type="dxa"/>
            <w:vAlign w:val="center"/>
          </w:tcPr>
          <w:p>
            <w:pPr>
              <w:widowControl w:val="0"/>
              <w:adjustRightInd w:val="0"/>
              <w:snapToGrid w:val="0"/>
              <w:spacing w:after="0" w:line="400" w:lineRule="exact"/>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imes New Roman" w:hAnsi="Times New Roman" w:eastAsiaTheme="minorEastAsia" w:cstheme="minorEastAsia"/>
                <w:color w:val="000000" w:themeColor="text1"/>
                <w:sz w:val="24"/>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67" w:hRule="atLeast"/>
          <w:jc w:val="center"/>
        </w:trPr>
        <w:tc>
          <w:tcPr>
            <w:tcW w:w="779"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2</w:t>
            </w:r>
          </w:p>
        </w:tc>
        <w:tc>
          <w:tcPr>
            <w:tcW w:w="3380" w:type="dxa"/>
            <w:gridSpan w:val="2"/>
            <w:vAlign w:val="center"/>
          </w:tcPr>
          <w:p>
            <w:pPr>
              <w:widowControl w:val="0"/>
              <w:adjustRightInd w:val="0"/>
              <w:snapToGrid w:val="0"/>
              <w:spacing w:after="0" w:line="400" w:lineRule="exact"/>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其中：第一产业</w:t>
            </w:r>
          </w:p>
        </w:tc>
        <w:tc>
          <w:tcPr>
            <w:tcW w:w="1185" w:type="dxa"/>
            <w:vAlign w:val="center"/>
          </w:tcPr>
          <w:p>
            <w:pPr>
              <w:widowControl w:val="0"/>
              <w:adjustRightInd w:val="0"/>
              <w:snapToGrid w:val="0"/>
              <w:spacing w:after="0" w:line="400" w:lineRule="exact"/>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imes New Roman" w:hAnsi="Times New Roman" w:eastAsiaTheme="minorEastAsia" w:cstheme="minorEastAsia"/>
                <w:color w:val="000000" w:themeColor="text1"/>
                <w:sz w:val="24"/>
                <w14:textFill>
                  <w14:solidFill>
                    <w14:schemeClr w14:val="tx1"/>
                  </w14:solidFill>
                </w14:textFill>
              </w:rPr>
              <w:t>1</w:t>
            </w:r>
            <w:r>
              <w:rPr>
                <w:rFonts w:hint="eastAsia" w:asciiTheme="minorEastAsia" w:hAnsiTheme="minorEastAsia" w:eastAsiaTheme="minorEastAsia" w:cstheme="minorEastAsia"/>
                <w:color w:val="000000" w:themeColor="text1"/>
                <w:sz w:val="24"/>
                <w14:textFill>
                  <w14:solidFill>
                    <w14:schemeClr w14:val="tx1"/>
                  </w14:solidFill>
                </w14:textFill>
              </w:rPr>
              <w:t>.</w:t>
            </w:r>
            <w:r>
              <w:rPr>
                <w:rFonts w:hint="eastAsia" w:ascii="Times New Roman" w:hAnsi="Times New Roman" w:eastAsiaTheme="minorEastAsia" w:cstheme="minorEastAsia"/>
                <w:color w:val="000000" w:themeColor="text1"/>
                <w:sz w:val="24"/>
                <w14:textFill>
                  <w14:solidFill>
                    <w14:schemeClr w14:val="tx1"/>
                  </w14:solidFill>
                </w14:textFill>
              </w:rPr>
              <w:t>4</w:t>
            </w:r>
          </w:p>
        </w:tc>
        <w:tc>
          <w:tcPr>
            <w:tcW w:w="1263" w:type="dxa"/>
            <w:vAlign w:val="center"/>
          </w:tcPr>
          <w:p>
            <w:pPr>
              <w:widowControl w:val="0"/>
              <w:adjustRightInd w:val="0"/>
              <w:snapToGrid w:val="0"/>
              <w:spacing w:after="0" w:line="400" w:lineRule="exact"/>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w:t>
            </w:r>
          </w:p>
        </w:tc>
        <w:tc>
          <w:tcPr>
            <w:tcW w:w="1095" w:type="dxa"/>
            <w:vAlign w:val="center"/>
          </w:tcPr>
          <w:p>
            <w:pPr>
              <w:widowControl w:val="0"/>
              <w:adjustRightInd w:val="0"/>
              <w:snapToGrid w:val="0"/>
              <w:spacing w:after="0" w:line="400" w:lineRule="exact"/>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imes New Roman" w:hAnsi="Times New Roman" w:eastAsiaTheme="minorEastAsia" w:cstheme="minorEastAsia"/>
                <w:color w:val="000000" w:themeColor="text1"/>
                <w:sz w:val="24"/>
                <w14:textFill>
                  <w14:solidFill>
                    <w14:schemeClr w14:val="tx1"/>
                  </w14:solidFill>
                </w14:textFill>
              </w:rPr>
              <w:t>0</w:t>
            </w:r>
            <w:r>
              <w:rPr>
                <w:rFonts w:hint="eastAsia" w:asciiTheme="minorEastAsia" w:hAnsiTheme="minorEastAsia" w:eastAsiaTheme="minorEastAsia" w:cstheme="minorEastAsia"/>
                <w:color w:val="000000" w:themeColor="text1"/>
                <w:sz w:val="24"/>
                <w14:textFill>
                  <w14:solidFill>
                    <w14:schemeClr w14:val="tx1"/>
                  </w14:solidFill>
                </w14:textFill>
              </w:rPr>
              <w:t>.</w:t>
            </w:r>
            <w:r>
              <w:rPr>
                <w:rFonts w:hint="eastAsia" w:ascii="Times New Roman" w:hAnsi="Times New Roman" w:eastAsiaTheme="minorEastAsia" w:cstheme="minorEastAsia"/>
                <w:color w:val="000000" w:themeColor="text1"/>
                <w:sz w:val="24"/>
                <w14:textFill>
                  <w14:solidFill>
                    <w14:schemeClr w14:val="tx1"/>
                  </w14:solidFill>
                </w14:textFill>
              </w:rPr>
              <w:t>15</w:t>
            </w:r>
          </w:p>
        </w:tc>
        <w:tc>
          <w:tcPr>
            <w:tcW w:w="1276" w:type="dxa"/>
            <w:vAlign w:val="center"/>
          </w:tcPr>
          <w:p>
            <w:pPr>
              <w:widowControl w:val="0"/>
              <w:adjustRightInd w:val="0"/>
              <w:snapToGrid w:val="0"/>
              <w:spacing w:after="0" w:line="400" w:lineRule="exact"/>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67" w:hRule="atLeast"/>
          <w:jc w:val="center"/>
        </w:trPr>
        <w:tc>
          <w:tcPr>
            <w:tcW w:w="779"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3</w:t>
            </w:r>
          </w:p>
        </w:tc>
        <w:tc>
          <w:tcPr>
            <w:tcW w:w="3380" w:type="dxa"/>
            <w:gridSpan w:val="2"/>
            <w:vAlign w:val="center"/>
          </w:tcPr>
          <w:p>
            <w:pPr>
              <w:widowControl w:val="0"/>
              <w:adjustRightInd w:val="0"/>
              <w:snapToGrid w:val="0"/>
              <w:spacing w:after="0" w:line="400" w:lineRule="exact"/>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第二产业</w:t>
            </w:r>
          </w:p>
        </w:tc>
        <w:tc>
          <w:tcPr>
            <w:tcW w:w="1185" w:type="dxa"/>
            <w:vAlign w:val="center"/>
          </w:tcPr>
          <w:p>
            <w:pPr>
              <w:widowControl w:val="0"/>
              <w:adjustRightInd w:val="0"/>
              <w:snapToGrid w:val="0"/>
              <w:spacing w:after="0" w:line="400" w:lineRule="exact"/>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imes New Roman" w:hAnsi="Times New Roman" w:eastAsiaTheme="minorEastAsia" w:cstheme="minorEastAsia"/>
                <w:color w:val="000000" w:themeColor="text1"/>
                <w:sz w:val="24"/>
                <w14:textFill>
                  <w14:solidFill>
                    <w14:schemeClr w14:val="tx1"/>
                  </w14:solidFill>
                </w14:textFill>
              </w:rPr>
              <w:t>82</w:t>
            </w:r>
            <w:r>
              <w:rPr>
                <w:rFonts w:hint="eastAsia" w:asciiTheme="minorEastAsia" w:hAnsiTheme="minorEastAsia" w:eastAsiaTheme="minorEastAsia" w:cstheme="minorEastAsia"/>
                <w:color w:val="000000" w:themeColor="text1"/>
                <w:sz w:val="24"/>
                <w14:textFill>
                  <w14:solidFill>
                    <w14:schemeClr w14:val="tx1"/>
                  </w14:solidFill>
                </w14:textFill>
              </w:rPr>
              <w:t>.</w:t>
            </w:r>
            <w:r>
              <w:rPr>
                <w:rFonts w:hint="eastAsia" w:ascii="Times New Roman" w:hAnsi="Times New Roman" w:eastAsiaTheme="minorEastAsia" w:cstheme="minorEastAsia"/>
                <w:color w:val="000000" w:themeColor="text1"/>
                <w:sz w:val="24"/>
                <w14:textFill>
                  <w14:solidFill>
                    <w14:schemeClr w14:val="tx1"/>
                  </w14:solidFill>
                </w14:textFill>
              </w:rPr>
              <w:t>72</w:t>
            </w:r>
          </w:p>
        </w:tc>
        <w:tc>
          <w:tcPr>
            <w:tcW w:w="1263" w:type="dxa"/>
            <w:vAlign w:val="center"/>
          </w:tcPr>
          <w:p>
            <w:pPr>
              <w:widowControl w:val="0"/>
              <w:adjustRightInd w:val="0"/>
              <w:snapToGrid w:val="0"/>
              <w:spacing w:after="0" w:line="400" w:lineRule="exact"/>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imes New Roman" w:hAnsi="Times New Roman" w:eastAsiaTheme="minorEastAsia" w:cstheme="minorEastAsia"/>
                <w:color w:val="000000" w:themeColor="text1"/>
                <w:sz w:val="24"/>
                <w14:textFill>
                  <w14:solidFill>
                    <w14:schemeClr w14:val="tx1"/>
                  </w14:solidFill>
                </w14:textFill>
              </w:rPr>
              <w:t>8</w:t>
            </w:r>
          </w:p>
        </w:tc>
        <w:tc>
          <w:tcPr>
            <w:tcW w:w="1095" w:type="dxa"/>
            <w:vAlign w:val="center"/>
          </w:tcPr>
          <w:p>
            <w:pPr>
              <w:widowControl w:val="0"/>
              <w:adjustRightInd w:val="0"/>
              <w:snapToGrid w:val="0"/>
              <w:spacing w:after="0" w:line="400" w:lineRule="exact"/>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imes New Roman" w:hAnsi="Times New Roman" w:eastAsiaTheme="minorEastAsia" w:cstheme="minorEastAsia"/>
                <w:color w:val="000000" w:themeColor="text1"/>
                <w:sz w:val="24"/>
                <w14:textFill>
                  <w14:solidFill>
                    <w14:schemeClr w14:val="tx1"/>
                  </w14:solidFill>
                </w14:textFill>
              </w:rPr>
              <w:t>99</w:t>
            </w:r>
            <w:r>
              <w:rPr>
                <w:rFonts w:hint="eastAsia" w:asciiTheme="minorEastAsia" w:hAnsiTheme="minorEastAsia" w:eastAsiaTheme="minorEastAsia" w:cstheme="minorEastAsia"/>
                <w:color w:val="000000" w:themeColor="text1"/>
                <w:sz w:val="24"/>
                <w14:textFill>
                  <w14:solidFill>
                    <w14:schemeClr w14:val="tx1"/>
                  </w14:solidFill>
                </w14:textFill>
              </w:rPr>
              <w:t>.</w:t>
            </w:r>
            <w:r>
              <w:rPr>
                <w:rFonts w:hint="eastAsia" w:ascii="Times New Roman" w:hAnsi="Times New Roman" w:eastAsiaTheme="minorEastAsia" w:cstheme="minorEastAsia"/>
                <w:color w:val="000000" w:themeColor="text1"/>
                <w:sz w:val="24"/>
                <w14:textFill>
                  <w14:solidFill>
                    <w14:schemeClr w14:val="tx1"/>
                  </w14:solidFill>
                </w14:textFill>
              </w:rPr>
              <w:t>85</w:t>
            </w:r>
          </w:p>
        </w:tc>
        <w:tc>
          <w:tcPr>
            <w:tcW w:w="1276" w:type="dxa"/>
            <w:vAlign w:val="center"/>
          </w:tcPr>
          <w:p>
            <w:pPr>
              <w:widowControl w:val="0"/>
              <w:adjustRightInd w:val="0"/>
              <w:snapToGrid w:val="0"/>
              <w:spacing w:after="0" w:line="400" w:lineRule="exact"/>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imes New Roman" w:hAnsi="Times New Roman" w:eastAsiaTheme="minorEastAsia" w:cstheme="minorEastAsia"/>
                <w:color w:val="000000" w:themeColor="text1"/>
                <w:sz w:val="24"/>
                <w14:textFill>
                  <w14:solidFill>
                    <w14:schemeClr w14:val="tx1"/>
                  </w14:solidFill>
                </w14:textFill>
              </w:rPr>
              <w:t>6</w:t>
            </w:r>
            <w:r>
              <w:rPr>
                <w:rFonts w:hint="eastAsia" w:asciiTheme="minorEastAsia" w:hAnsiTheme="minorEastAsia" w:eastAsiaTheme="minorEastAsia" w:cstheme="minorEastAsia"/>
                <w:color w:val="000000" w:themeColor="text1"/>
                <w:sz w:val="24"/>
                <w14:textFill>
                  <w14:solidFill>
                    <w14:schemeClr w14:val="tx1"/>
                  </w14:solidFill>
                </w14:textFill>
              </w:rPr>
              <w:t>.</w:t>
            </w:r>
            <w:r>
              <w:rPr>
                <w:rFonts w:hint="eastAsia" w:ascii="Times New Roman" w:hAnsi="Times New Roman" w:eastAsiaTheme="minorEastAsia" w:cstheme="minorEastAsia"/>
                <w:color w:val="000000" w:themeColor="text1"/>
                <w:sz w:val="24"/>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67" w:hRule="atLeast"/>
          <w:jc w:val="center"/>
        </w:trPr>
        <w:tc>
          <w:tcPr>
            <w:tcW w:w="779"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4</w:t>
            </w:r>
          </w:p>
        </w:tc>
        <w:tc>
          <w:tcPr>
            <w:tcW w:w="3380" w:type="dxa"/>
            <w:gridSpan w:val="2"/>
            <w:vAlign w:val="center"/>
          </w:tcPr>
          <w:p>
            <w:pPr>
              <w:widowControl w:val="0"/>
              <w:adjustRightInd w:val="0"/>
              <w:snapToGrid w:val="0"/>
              <w:spacing w:after="0" w:line="400" w:lineRule="exact"/>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工业</w:t>
            </w:r>
          </w:p>
        </w:tc>
        <w:tc>
          <w:tcPr>
            <w:tcW w:w="1185" w:type="dxa"/>
            <w:vAlign w:val="center"/>
          </w:tcPr>
          <w:p>
            <w:pPr>
              <w:widowControl w:val="0"/>
              <w:adjustRightInd w:val="0"/>
              <w:snapToGrid w:val="0"/>
              <w:spacing w:after="0" w:line="400" w:lineRule="exact"/>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imes New Roman" w:hAnsi="Times New Roman" w:eastAsiaTheme="minorEastAsia" w:cstheme="minorEastAsia"/>
                <w:color w:val="000000" w:themeColor="text1"/>
                <w:sz w:val="24"/>
                <w14:textFill>
                  <w14:solidFill>
                    <w14:schemeClr w14:val="tx1"/>
                  </w14:solidFill>
                </w14:textFill>
              </w:rPr>
              <w:t>77</w:t>
            </w:r>
            <w:r>
              <w:rPr>
                <w:rFonts w:hint="eastAsia" w:asciiTheme="minorEastAsia" w:hAnsiTheme="minorEastAsia" w:eastAsiaTheme="minorEastAsia" w:cstheme="minorEastAsia"/>
                <w:color w:val="000000" w:themeColor="text1"/>
                <w:sz w:val="24"/>
                <w14:textFill>
                  <w14:solidFill>
                    <w14:schemeClr w14:val="tx1"/>
                  </w14:solidFill>
                </w14:textFill>
              </w:rPr>
              <w:t>.</w:t>
            </w:r>
            <w:r>
              <w:rPr>
                <w:rFonts w:hint="eastAsia" w:ascii="Times New Roman" w:hAnsi="Times New Roman" w:eastAsiaTheme="minorEastAsia" w:cstheme="minorEastAsia"/>
                <w:color w:val="000000" w:themeColor="text1"/>
                <w:sz w:val="24"/>
                <w14:textFill>
                  <w14:solidFill>
                    <w14:schemeClr w14:val="tx1"/>
                  </w14:solidFill>
                </w14:textFill>
              </w:rPr>
              <w:t>77</w:t>
            </w:r>
          </w:p>
        </w:tc>
        <w:tc>
          <w:tcPr>
            <w:tcW w:w="1263" w:type="dxa"/>
            <w:vAlign w:val="center"/>
          </w:tcPr>
          <w:p>
            <w:pPr>
              <w:widowControl w:val="0"/>
              <w:adjustRightInd w:val="0"/>
              <w:snapToGrid w:val="0"/>
              <w:spacing w:after="0" w:line="400" w:lineRule="exact"/>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imes New Roman" w:hAnsi="Times New Roman" w:eastAsiaTheme="minorEastAsia" w:cstheme="minorEastAsia"/>
                <w:color w:val="000000" w:themeColor="text1"/>
                <w:sz w:val="24"/>
                <w14:textFill>
                  <w14:solidFill>
                    <w14:schemeClr w14:val="tx1"/>
                  </w14:solidFill>
                </w14:textFill>
              </w:rPr>
              <w:t>8</w:t>
            </w:r>
          </w:p>
        </w:tc>
        <w:tc>
          <w:tcPr>
            <w:tcW w:w="1095" w:type="dxa"/>
            <w:vAlign w:val="center"/>
          </w:tcPr>
          <w:p>
            <w:pPr>
              <w:widowControl w:val="0"/>
              <w:adjustRightInd w:val="0"/>
              <w:snapToGrid w:val="0"/>
              <w:spacing w:after="0" w:line="400" w:lineRule="exact"/>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imes New Roman" w:hAnsi="Times New Roman" w:eastAsiaTheme="minorEastAsia" w:cstheme="minorEastAsia"/>
                <w:color w:val="000000" w:themeColor="text1"/>
                <w:sz w:val="24"/>
                <w14:textFill>
                  <w14:solidFill>
                    <w14:schemeClr w14:val="tx1"/>
                  </w14:solidFill>
                </w14:textFill>
              </w:rPr>
              <w:t>73</w:t>
            </w:r>
            <w:r>
              <w:rPr>
                <w:rFonts w:hint="eastAsia" w:asciiTheme="minorEastAsia" w:hAnsiTheme="minorEastAsia" w:eastAsiaTheme="minorEastAsia" w:cstheme="minorEastAsia"/>
                <w:color w:val="000000" w:themeColor="text1"/>
                <w:sz w:val="24"/>
                <w14:textFill>
                  <w14:solidFill>
                    <w14:schemeClr w14:val="tx1"/>
                  </w14:solidFill>
                </w14:textFill>
              </w:rPr>
              <w:t>.</w:t>
            </w:r>
            <w:r>
              <w:rPr>
                <w:rFonts w:hint="eastAsia" w:ascii="Times New Roman" w:hAnsi="Times New Roman" w:eastAsiaTheme="minorEastAsia" w:cstheme="minorEastAsia"/>
                <w:color w:val="000000" w:themeColor="text1"/>
                <w:sz w:val="24"/>
                <w14:textFill>
                  <w14:solidFill>
                    <w14:schemeClr w14:val="tx1"/>
                  </w14:solidFill>
                </w14:textFill>
              </w:rPr>
              <w:t>64</w:t>
            </w:r>
          </w:p>
        </w:tc>
        <w:tc>
          <w:tcPr>
            <w:tcW w:w="1276" w:type="dxa"/>
            <w:vAlign w:val="center"/>
          </w:tcPr>
          <w:p>
            <w:pPr>
              <w:widowControl w:val="0"/>
              <w:adjustRightInd w:val="0"/>
              <w:snapToGrid w:val="0"/>
              <w:spacing w:after="0" w:line="400" w:lineRule="exact"/>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imes New Roman" w:hAnsi="Times New Roman" w:eastAsiaTheme="minorEastAsia" w:cstheme="minorEastAsia"/>
                <w:color w:val="000000" w:themeColor="text1"/>
                <w:sz w:val="24"/>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67" w:hRule="atLeast"/>
          <w:jc w:val="center"/>
        </w:trPr>
        <w:tc>
          <w:tcPr>
            <w:tcW w:w="779"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5</w:t>
            </w:r>
          </w:p>
        </w:tc>
        <w:tc>
          <w:tcPr>
            <w:tcW w:w="3380" w:type="dxa"/>
            <w:gridSpan w:val="2"/>
            <w:vAlign w:val="center"/>
          </w:tcPr>
          <w:p>
            <w:pPr>
              <w:widowControl w:val="0"/>
              <w:adjustRightInd w:val="0"/>
              <w:snapToGrid w:val="0"/>
              <w:spacing w:after="0" w:line="400" w:lineRule="exact"/>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其中：规模以上工业</w:t>
            </w:r>
          </w:p>
        </w:tc>
        <w:tc>
          <w:tcPr>
            <w:tcW w:w="1185" w:type="dxa"/>
            <w:vAlign w:val="center"/>
          </w:tcPr>
          <w:p>
            <w:pPr>
              <w:widowControl w:val="0"/>
              <w:adjustRightInd w:val="0"/>
              <w:snapToGrid w:val="0"/>
              <w:spacing w:after="0" w:line="400" w:lineRule="exact"/>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imes New Roman" w:hAnsi="Times New Roman" w:eastAsiaTheme="minorEastAsia" w:cstheme="minorEastAsia"/>
                <w:color w:val="000000" w:themeColor="text1"/>
                <w:sz w:val="24"/>
                <w14:textFill>
                  <w14:solidFill>
                    <w14:schemeClr w14:val="tx1"/>
                  </w14:solidFill>
                </w14:textFill>
              </w:rPr>
              <w:t>74</w:t>
            </w:r>
            <w:r>
              <w:rPr>
                <w:rFonts w:hint="eastAsia" w:asciiTheme="minorEastAsia" w:hAnsiTheme="minorEastAsia" w:eastAsiaTheme="minorEastAsia" w:cstheme="minorEastAsia"/>
                <w:color w:val="000000" w:themeColor="text1"/>
                <w:sz w:val="24"/>
                <w14:textFill>
                  <w14:solidFill>
                    <w14:schemeClr w14:val="tx1"/>
                  </w14:solidFill>
                </w14:textFill>
              </w:rPr>
              <w:t>.</w:t>
            </w:r>
            <w:r>
              <w:rPr>
                <w:rFonts w:hint="eastAsia" w:ascii="Times New Roman" w:hAnsi="Times New Roman" w:eastAsiaTheme="minorEastAsia" w:cstheme="minorEastAsia"/>
                <w:color w:val="000000" w:themeColor="text1"/>
                <w:sz w:val="24"/>
                <w14:textFill>
                  <w14:solidFill>
                    <w14:schemeClr w14:val="tx1"/>
                  </w14:solidFill>
                </w14:textFill>
              </w:rPr>
              <w:t>93</w:t>
            </w:r>
          </w:p>
        </w:tc>
        <w:tc>
          <w:tcPr>
            <w:tcW w:w="1263" w:type="dxa"/>
            <w:vAlign w:val="center"/>
          </w:tcPr>
          <w:p>
            <w:pPr>
              <w:widowControl w:val="0"/>
              <w:adjustRightInd w:val="0"/>
              <w:snapToGrid w:val="0"/>
              <w:spacing w:after="0" w:line="400" w:lineRule="exact"/>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imes New Roman" w:hAnsi="Times New Roman" w:eastAsiaTheme="minorEastAsia" w:cstheme="minorEastAsia"/>
                <w:color w:val="000000" w:themeColor="text1"/>
                <w:sz w:val="24"/>
                <w14:textFill>
                  <w14:solidFill>
                    <w14:schemeClr w14:val="tx1"/>
                  </w14:solidFill>
                </w14:textFill>
              </w:rPr>
              <w:t>8</w:t>
            </w:r>
            <w:r>
              <w:rPr>
                <w:rFonts w:hint="eastAsia" w:asciiTheme="minorEastAsia" w:hAnsiTheme="minorEastAsia" w:eastAsiaTheme="minorEastAsia" w:cstheme="minorEastAsia"/>
                <w:color w:val="000000" w:themeColor="text1"/>
                <w:sz w:val="24"/>
                <w14:textFill>
                  <w14:solidFill>
                    <w14:schemeClr w14:val="tx1"/>
                  </w14:solidFill>
                </w14:textFill>
              </w:rPr>
              <w:t>.</w:t>
            </w:r>
            <w:r>
              <w:rPr>
                <w:rFonts w:hint="eastAsia" w:ascii="Times New Roman" w:hAnsi="Times New Roman" w:eastAsiaTheme="minorEastAsia" w:cstheme="minorEastAsia"/>
                <w:color w:val="000000" w:themeColor="text1"/>
                <w:sz w:val="24"/>
                <w14:textFill>
                  <w14:solidFill>
                    <w14:schemeClr w14:val="tx1"/>
                  </w14:solidFill>
                </w14:textFill>
              </w:rPr>
              <w:t>5</w:t>
            </w:r>
          </w:p>
        </w:tc>
        <w:tc>
          <w:tcPr>
            <w:tcW w:w="1095" w:type="dxa"/>
            <w:vAlign w:val="center"/>
          </w:tcPr>
          <w:p>
            <w:pPr>
              <w:widowControl w:val="0"/>
              <w:adjustRightInd w:val="0"/>
              <w:snapToGrid w:val="0"/>
              <w:spacing w:after="0" w:line="400" w:lineRule="exact"/>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imes New Roman" w:hAnsi="Times New Roman" w:eastAsiaTheme="minorEastAsia" w:cstheme="minorEastAsia"/>
                <w:color w:val="000000" w:themeColor="text1"/>
                <w:sz w:val="24"/>
                <w14:textFill>
                  <w14:solidFill>
                    <w14:schemeClr w14:val="tx1"/>
                  </w14:solidFill>
                </w14:textFill>
              </w:rPr>
              <w:t>65</w:t>
            </w:r>
          </w:p>
        </w:tc>
        <w:tc>
          <w:tcPr>
            <w:tcW w:w="1276" w:type="dxa"/>
            <w:vAlign w:val="center"/>
          </w:tcPr>
          <w:p>
            <w:pPr>
              <w:widowControl w:val="0"/>
              <w:adjustRightInd w:val="0"/>
              <w:snapToGrid w:val="0"/>
              <w:spacing w:after="0" w:line="400" w:lineRule="exact"/>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imes New Roman" w:hAnsi="Times New Roman" w:eastAsiaTheme="minorEastAsia" w:cstheme="minorEastAsia"/>
                <w:color w:val="000000" w:themeColor="text1"/>
                <w:sz w:val="24"/>
                <w14:textFill>
                  <w14:solidFill>
                    <w14:schemeClr w14:val="tx1"/>
                  </w14:solidFill>
                </w14:textFill>
              </w:rPr>
              <w:t>7</w:t>
            </w:r>
            <w:r>
              <w:rPr>
                <w:rFonts w:hint="eastAsia" w:asciiTheme="minorEastAsia" w:hAnsiTheme="minorEastAsia" w:eastAsiaTheme="minorEastAsia" w:cstheme="minorEastAsia"/>
                <w:color w:val="000000" w:themeColor="text1"/>
                <w:sz w:val="24"/>
                <w14:textFill>
                  <w14:solidFill>
                    <w14:schemeClr w14:val="tx1"/>
                  </w14:solidFill>
                </w14:textFill>
              </w:rPr>
              <w:t>.</w:t>
            </w:r>
            <w:r>
              <w:rPr>
                <w:rFonts w:hint="eastAsia" w:ascii="Times New Roman" w:hAnsi="Times New Roman" w:eastAsiaTheme="minorEastAsia" w:cstheme="minorEastAsia"/>
                <w:color w:val="000000" w:themeColor="text1"/>
                <w:sz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67" w:hRule="atLeast"/>
          <w:jc w:val="center"/>
        </w:trPr>
        <w:tc>
          <w:tcPr>
            <w:tcW w:w="779"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6</w:t>
            </w:r>
          </w:p>
        </w:tc>
        <w:tc>
          <w:tcPr>
            <w:tcW w:w="3380" w:type="dxa"/>
            <w:gridSpan w:val="2"/>
            <w:vAlign w:val="center"/>
          </w:tcPr>
          <w:p>
            <w:pPr>
              <w:widowControl w:val="0"/>
              <w:adjustRightInd w:val="0"/>
              <w:snapToGrid w:val="0"/>
              <w:spacing w:after="0" w:line="400" w:lineRule="exact"/>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第三产业</w:t>
            </w:r>
          </w:p>
        </w:tc>
        <w:tc>
          <w:tcPr>
            <w:tcW w:w="1185" w:type="dxa"/>
            <w:vAlign w:val="center"/>
          </w:tcPr>
          <w:p>
            <w:pPr>
              <w:widowControl w:val="0"/>
              <w:adjustRightInd w:val="0"/>
              <w:snapToGrid w:val="0"/>
              <w:spacing w:after="0" w:line="400" w:lineRule="exact"/>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imes New Roman" w:hAnsi="Times New Roman" w:eastAsiaTheme="minorEastAsia" w:cstheme="minorEastAsia"/>
                <w:color w:val="000000" w:themeColor="text1"/>
                <w:sz w:val="24"/>
                <w14:textFill>
                  <w14:solidFill>
                    <w14:schemeClr w14:val="tx1"/>
                  </w14:solidFill>
                </w14:textFill>
              </w:rPr>
              <w:t>95</w:t>
            </w:r>
            <w:r>
              <w:rPr>
                <w:rFonts w:hint="eastAsia" w:asciiTheme="minorEastAsia" w:hAnsiTheme="minorEastAsia" w:eastAsiaTheme="minorEastAsia" w:cstheme="minorEastAsia"/>
                <w:color w:val="000000" w:themeColor="text1"/>
                <w:sz w:val="24"/>
                <w14:textFill>
                  <w14:solidFill>
                    <w14:schemeClr w14:val="tx1"/>
                  </w14:solidFill>
                </w14:textFill>
              </w:rPr>
              <w:t>.</w:t>
            </w:r>
            <w:r>
              <w:rPr>
                <w:rFonts w:hint="eastAsia" w:ascii="Times New Roman" w:hAnsi="Times New Roman" w:eastAsiaTheme="minorEastAsia" w:cstheme="minorEastAsia"/>
                <w:color w:val="000000" w:themeColor="text1"/>
                <w:sz w:val="24"/>
                <w14:textFill>
                  <w14:solidFill>
                    <w14:schemeClr w14:val="tx1"/>
                  </w14:solidFill>
                </w14:textFill>
              </w:rPr>
              <w:t>08</w:t>
            </w:r>
          </w:p>
        </w:tc>
        <w:tc>
          <w:tcPr>
            <w:tcW w:w="1263" w:type="dxa"/>
            <w:vAlign w:val="center"/>
          </w:tcPr>
          <w:p>
            <w:pPr>
              <w:widowControl w:val="0"/>
              <w:adjustRightInd w:val="0"/>
              <w:snapToGrid w:val="0"/>
              <w:spacing w:after="0" w:line="400" w:lineRule="exact"/>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imes New Roman" w:hAnsi="Times New Roman" w:eastAsiaTheme="minorEastAsia" w:cstheme="minorEastAsia"/>
                <w:color w:val="000000" w:themeColor="text1"/>
                <w:sz w:val="24"/>
                <w14:textFill>
                  <w14:solidFill>
                    <w14:schemeClr w14:val="tx1"/>
                  </w14:solidFill>
                </w14:textFill>
              </w:rPr>
              <w:t>9</w:t>
            </w:r>
            <w:r>
              <w:rPr>
                <w:rFonts w:hint="eastAsia" w:asciiTheme="minorEastAsia" w:hAnsiTheme="minorEastAsia" w:eastAsiaTheme="minorEastAsia" w:cstheme="minorEastAsia"/>
                <w:color w:val="000000" w:themeColor="text1"/>
                <w:sz w:val="24"/>
                <w14:textFill>
                  <w14:solidFill>
                    <w14:schemeClr w14:val="tx1"/>
                  </w14:solidFill>
                </w14:textFill>
              </w:rPr>
              <w:t>.</w:t>
            </w:r>
            <w:r>
              <w:rPr>
                <w:rFonts w:hint="eastAsia" w:ascii="Times New Roman" w:hAnsi="Times New Roman" w:eastAsiaTheme="minorEastAsia" w:cstheme="minorEastAsia"/>
                <w:color w:val="000000" w:themeColor="text1"/>
                <w:sz w:val="24"/>
                <w14:textFill>
                  <w14:solidFill>
                    <w14:schemeClr w14:val="tx1"/>
                  </w14:solidFill>
                </w14:textFill>
              </w:rPr>
              <w:t>5</w:t>
            </w:r>
          </w:p>
        </w:tc>
        <w:tc>
          <w:tcPr>
            <w:tcW w:w="1095" w:type="dxa"/>
            <w:vAlign w:val="center"/>
          </w:tcPr>
          <w:p>
            <w:pPr>
              <w:widowControl w:val="0"/>
              <w:adjustRightInd w:val="0"/>
              <w:snapToGrid w:val="0"/>
              <w:spacing w:after="0" w:line="400" w:lineRule="exact"/>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imes New Roman" w:hAnsi="Times New Roman" w:eastAsiaTheme="minorEastAsia" w:cstheme="minorEastAsia"/>
                <w:color w:val="000000" w:themeColor="text1"/>
                <w:sz w:val="24"/>
                <w14:textFill>
                  <w14:solidFill>
                    <w14:schemeClr w14:val="tx1"/>
                  </w14:solidFill>
                </w14:textFill>
              </w:rPr>
              <w:t>202</w:t>
            </w:r>
          </w:p>
        </w:tc>
        <w:tc>
          <w:tcPr>
            <w:tcW w:w="1276" w:type="dxa"/>
            <w:vAlign w:val="center"/>
          </w:tcPr>
          <w:p>
            <w:pPr>
              <w:widowControl w:val="0"/>
              <w:adjustRightInd w:val="0"/>
              <w:snapToGrid w:val="0"/>
              <w:spacing w:after="0" w:line="400" w:lineRule="exact"/>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imes New Roman" w:hAnsi="Times New Roman" w:eastAsiaTheme="minorEastAsia" w:cstheme="minorEastAsia"/>
                <w:color w:val="000000" w:themeColor="text1"/>
                <w:sz w:val="24"/>
                <w14:textFill>
                  <w14:solidFill>
                    <w14:schemeClr w14:val="tx1"/>
                  </w14:solidFill>
                </w14:textFill>
              </w:rPr>
              <w:t>7</w:t>
            </w:r>
            <w:r>
              <w:rPr>
                <w:rFonts w:hint="eastAsia" w:asciiTheme="minorEastAsia" w:hAnsiTheme="minorEastAsia" w:eastAsiaTheme="minorEastAsia" w:cstheme="minorEastAsia"/>
                <w:color w:val="000000" w:themeColor="text1"/>
                <w:sz w:val="24"/>
                <w14:textFill>
                  <w14:solidFill>
                    <w14:schemeClr w14:val="tx1"/>
                  </w14:solidFill>
                </w14:textFill>
              </w:rPr>
              <w:t>.</w:t>
            </w:r>
            <w:r>
              <w:rPr>
                <w:rFonts w:hint="eastAsia" w:ascii="Times New Roman" w:hAnsi="Times New Roman" w:eastAsiaTheme="minorEastAsia" w:cstheme="minorEastAsia"/>
                <w:color w:val="000000" w:themeColor="text1"/>
                <w:sz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67" w:hRule="atLeast"/>
          <w:jc w:val="center"/>
        </w:trPr>
        <w:tc>
          <w:tcPr>
            <w:tcW w:w="779"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7</w:t>
            </w:r>
          </w:p>
        </w:tc>
        <w:tc>
          <w:tcPr>
            <w:tcW w:w="3380" w:type="dxa"/>
            <w:gridSpan w:val="2"/>
            <w:vAlign w:val="center"/>
          </w:tcPr>
          <w:p>
            <w:pPr>
              <w:widowControl w:val="0"/>
              <w:adjustRightInd w:val="0"/>
              <w:snapToGrid w:val="0"/>
              <w:spacing w:after="0" w:line="400" w:lineRule="exact"/>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全社会固定资产投资（亿元）</w:t>
            </w:r>
          </w:p>
        </w:tc>
        <w:tc>
          <w:tcPr>
            <w:tcW w:w="1185" w:type="dxa"/>
            <w:vAlign w:val="center"/>
          </w:tcPr>
          <w:p>
            <w:pPr>
              <w:widowControl w:val="0"/>
              <w:adjustRightInd w:val="0"/>
              <w:snapToGrid w:val="0"/>
              <w:spacing w:after="0" w:line="400" w:lineRule="exact"/>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imes New Roman" w:hAnsi="Times New Roman" w:eastAsiaTheme="minorEastAsia" w:cstheme="minorEastAsia"/>
                <w:color w:val="000000" w:themeColor="text1"/>
                <w:sz w:val="24"/>
                <w14:textFill>
                  <w14:solidFill>
                    <w14:schemeClr w14:val="tx1"/>
                  </w14:solidFill>
                </w14:textFill>
              </w:rPr>
              <w:t>281</w:t>
            </w:r>
            <w:r>
              <w:rPr>
                <w:rFonts w:hint="eastAsia" w:asciiTheme="minorEastAsia" w:hAnsiTheme="minorEastAsia" w:eastAsiaTheme="minorEastAsia" w:cstheme="minorEastAsia"/>
                <w:color w:val="000000" w:themeColor="text1"/>
                <w:sz w:val="24"/>
                <w14:textFill>
                  <w14:solidFill>
                    <w14:schemeClr w14:val="tx1"/>
                  </w14:solidFill>
                </w14:textFill>
              </w:rPr>
              <w:t>.</w:t>
            </w:r>
            <w:r>
              <w:rPr>
                <w:rFonts w:hint="eastAsia" w:ascii="Times New Roman" w:hAnsi="Times New Roman" w:eastAsiaTheme="minorEastAsia" w:cstheme="minorEastAsia"/>
                <w:color w:val="000000" w:themeColor="text1"/>
                <w:sz w:val="24"/>
                <w14:textFill>
                  <w14:solidFill>
                    <w14:schemeClr w14:val="tx1"/>
                  </w14:solidFill>
                </w14:textFill>
              </w:rPr>
              <w:t>6</w:t>
            </w:r>
          </w:p>
        </w:tc>
        <w:tc>
          <w:tcPr>
            <w:tcW w:w="1263" w:type="dxa"/>
            <w:vAlign w:val="center"/>
          </w:tcPr>
          <w:p>
            <w:pPr>
              <w:widowControl w:val="0"/>
              <w:adjustRightInd w:val="0"/>
              <w:snapToGrid w:val="0"/>
              <w:spacing w:after="0" w:line="400" w:lineRule="exact"/>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imes New Roman" w:hAnsi="Times New Roman" w:eastAsiaTheme="minorEastAsia" w:cstheme="minorEastAsia"/>
                <w:color w:val="000000" w:themeColor="text1"/>
                <w:sz w:val="24"/>
                <w14:textFill>
                  <w14:solidFill>
                    <w14:schemeClr w14:val="tx1"/>
                  </w14:solidFill>
                </w14:textFill>
              </w:rPr>
              <w:t>14</w:t>
            </w:r>
            <w:r>
              <w:rPr>
                <w:rFonts w:hint="eastAsia" w:asciiTheme="minorEastAsia" w:hAnsiTheme="minorEastAsia" w:eastAsiaTheme="minorEastAsia" w:cstheme="minorEastAsia"/>
                <w:color w:val="000000" w:themeColor="text1"/>
                <w:sz w:val="24"/>
                <w14:textFill>
                  <w14:solidFill>
                    <w14:schemeClr w14:val="tx1"/>
                  </w14:solidFill>
                </w14:textFill>
              </w:rPr>
              <w:t>.</w:t>
            </w:r>
            <w:r>
              <w:rPr>
                <w:rFonts w:hint="eastAsia" w:ascii="Times New Roman" w:hAnsi="Times New Roman" w:eastAsiaTheme="minorEastAsia" w:cstheme="minorEastAsia"/>
                <w:color w:val="000000" w:themeColor="text1"/>
                <w:sz w:val="24"/>
                <w14:textFill>
                  <w14:solidFill>
                    <w14:schemeClr w14:val="tx1"/>
                  </w14:solidFill>
                </w14:textFill>
              </w:rPr>
              <w:t>2</w:t>
            </w:r>
          </w:p>
        </w:tc>
        <w:tc>
          <w:tcPr>
            <w:tcW w:w="1095" w:type="dxa"/>
            <w:vAlign w:val="center"/>
          </w:tcPr>
          <w:p>
            <w:pPr>
              <w:widowControl w:val="0"/>
              <w:adjustRightInd w:val="0"/>
              <w:snapToGrid w:val="0"/>
              <w:spacing w:after="0" w:line="400" w:lineRule="exact"/>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imes New Roman" w:hAnsi="Times New Roman" w:eastAsiaTheme="minorEastAsia" w:cstheme="minorEastAsia"/>
                <w:color w:val="000000" w:themeColor="text1"/>
                <w:sz w:val="24"/>
                <w14:textFill>
                  <w14:solidFill>
                    <w14:schemeClr w14:val="tx1"/>
                  </w14:solidFill>
                </w14:textFill>
              </w:rPr>
              <w:t>94</w:t>
            </w:r>
          </w:p>
        </w:tc>
        <w:tc>
          <w:tcPr>
            <w:tcW w:w="1276" w:type="dxa"/>
            <w:vAlign w:val="center"/>
          </w:tcPr>
          <w:p>
            <w:pPr>
              <w:widowControl w:val="0"/>
              <w:adjustRightInd w:val="0"/>
              <w:snapToGrid w:val="0"/>
              <w:spacing w:after="0" w:line="400" w:lineRule="exact"/>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imes New Roman" w:hAnsi="Times New Roman" w:eastAsiaTheme="minorEastAsia" w:cstheme="minorEastAsia"/>
                <w:color w:val="000000" w:themeColor="text1"/>
                <w:sz w:val="24"/>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67" w:hRule="atLeast"/>
          <w:jc w:val="center"/>
        </w:trPr>
        <w:tc>
          <w:tcPr>
            <w:tcW w:w="779"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8</w:t>
            </w:r>
          </w:p>
        </w:tc>
        <w:tc>
          <w:tcPr>
            <w:tcW w:w="3380" w:type="dxa"/>
            <w:gridSpan w:val="2"/>
            <w:vAlign w:val="center"/>
          </w:tcPr>
          <w:p>
            <w:pPr>
              <w:widowControl w:val="0"/>
              <w:adjustRightInd w:val="0"/>
              <w:snapToGrid w:val="0"/>
              <w:spacing w:after="0" w:line="400" w:lineRule="exact"/>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一般公共预算收入（亿元）</w:t>
            </w:r>
          </w:p>
        </w:tc>
        <w:tc>
          <w:tcPr>
            <w:tcW w:w="1185" w:type="dxa"/>
            <w:vAlign w:val="center"/>
          </w:tcPr>
          <w:p>
            <w:pPr>
              <w:widowControl w:val="0"/>
              <w:adjustRightInd w:val="0"/>
              <w:snapToGrid w:val="0"/>
              <w:spacing w:after="0" w:line="400" w:lineRule="exact"/>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imes New Roman" w:hAnsi="Times New Roman" w:eastAsiaTheme="minorEastAsia" w:cstheme="minorEastAsia"/>
                <w:color w:val="000000" w:themeColor="text1"/>
                <w:sz w:val="24"/>
                <w14:textFill>
                  <w14:solidFill>
                    <w14:schemeClr w14:val="tx1"/>
                  </w14:solidFill>
                </w14:textFill>
              </w:rPr>
              <w:t>13</w:t>
            </w:r>
            <w:r>
              <w:rPr>
                <w:rFonts w:hint="eastAsia" w:asciiTheme="minorEastAsia" w:hAnsiTheme="minorEastAsia" w:eastAsiaTheme="minorEastAsia" w:cstheme="minorEastAsia"/>
                <w:color w:val="000000" w:themeColor="text1"/>
                <w:sz w:val="24"/>
                <w14:textFill>
                  <w14:solidFill>
                    <w14:schemeClr w14:val="tx1"/>
                  </w14:solidFill>
                </w14:textFill>
              </w:rPr>
              <w:t>.</w:t>
            </w:r>
            <w:r>
              <w:rPr>
                <w:rFonts w:hint="eastAsia" w:ascii="Times New Roman" w:hAnsi="Times New Roman" w:eastAsiaTheme="minorEastAsia" w:cstheme="minorEastAsia"/>
                <w:color w:val="000000" w:themeColor="text1"/>
                <w:sz w:val="24"/>
                <w14:textFill>
                  <w14:solidFill>
                    <w14:schemeClr w14:val="tx1"/>
                  </w14:solidFill>
                </w14:textFill>
              </w:rPr>
              <w:t>52</w:t>
            </w:r>
          </w:p>
        </w:tc>
        <w:tc>
          <w:tcPr>
            <w:tcW w:w="1263" w:type="dxa"/>
            <w:vAlign w:val="center"/>
          </w:tcPr>
          <w:p>
            <w:pPr>
              <w:widowControl w:val="0"/>
              <w:adjustRightInd w:val="0"/>
              <w:snapToGrid w:val="0"/>
              <w:spacing w:after="0" w:line="400" w:lineRule="exact"/>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imes New Roman" w:hAnsi="Times New Roman" w:eastAsiaTheme="minorEastAsia" w:cstheme="minorEastAsia"/>
                <w:color w:val="000000" w:themeColor="text1"/>
                <w:sz w:val="24"/>
                <w14:textFill>
                  <w14:solidFill>
                    <w14:schemeClr w14:val="tx1"/>
                  </w14:solidFill>
                </w14:textFill>
              </w:rPr>
              <w:t>8</w:t>
            </w:r>
          </w:p>
        </w:tc>
        <w:tc>
          <w:tcPr>
            <w:tcW w:w="1095" w:type="dxa"/>
            <w:vAlign w:val="center"/>
          </w:tcPr>
          <w:p>
            <w:pPr>
              <w:widowControl w:val="0"/>
              <w:adjustRightInd w:val="0"/>
              <w:snapToGrid w:val="0"/>
              <w:spacing w:after="0" w:line="400" w:lineRule="exact"/>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imes New Roman" w:hAnsi="Times New Roman" w:eastAsiaTheme="minorEastAsia" w:cstheme="minorEastAsia"/>
                <w:color w:val="000000" w:themeColor="text1"/>
                <w:sz w:val="24"/>
                <w14:textFill>
                  <w14:solidFill>
                    <w14:schemeClr w14:val="tx1"/>
                  </w14:solidFill>
                </w14:textFill>
              </w:rPr>
              <w:t>10</w:t>
            </w:r>
            <w:r>
              <w:rPr>
                <w:rFonts w:hint="eastAsia" w:asciiTheme="minorEastAsia" w:hAnsiTheme="minorEastAsia" w:eastAsiaTheme="minorEastAsia" w:cstheme="minorEastAsia"/>
                <w:color w:val="000000" w:themeColor="text1"/>
                <w:sz w:val="24"/>
                <w14:textFill>
                  <w14:solidFill>
                    <w14:schemeClr w14:val="tx1"/>
                  </w14:solidFill>
                </w14:textFill>
              </w:rPr>
              <w:t>.</w:t>
            </w:r>
            <w:r>
              <w:rPr>
                <w:rFonts w:hint="eastAsia" w:ascii="Times New Roman" w:hAnsi="Times New Roman" w:eastAsiaTheme="minorEastAsia" w:cstheme="minorEastAsia"/>
                <w:color w:val="000000" w:themeColor="text1"/>
                <w:sz w:val="24"/>
                <w14:textFill>
                  <w14:solidFill>
                    <w14:schemeClr w14:val="tx1"/>
                  </w14:solidFill>
                </w14:textFill>
              </w:rPr>
              <w:t>18</w:t>
            </w:r>
          </w:p>
        </w:tc>
        <w:tc>
          <w:tcPr>
            <w:tcW w:w="1276" w:type="dxa"/>
            <w:vAlign w:val="center"/>
          </w:tcPr>
          <w:p>
            <w:pPr>
              <w:widowControl w:val="0"/>
              <w:adjustRightInd w:val="0"/>
              <w:snapToGrid w:val="0"/>
              <w:spacing w:after="0" w:line="400" w:lineRule="exact"/>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imes New Roman" w:hAnsi="Times New Roman" w:eastAsiaTheme="minorEastAsia" w:cstheme="minorEastAsia"/>
                <w:color w:val="000000" w:themeColor="text1"/>
                <w:sz w:val="24"/>
                <w14:textFill>
                  <w14:solidFill>
                    <w14:schemeClr w14:val="tx1"/>
                  </w14:solidFill>
                </w14:textFill>
              </w:rPr>
              <w:t>15</w:t>
            </w:r>
            <w:r>
              <w:rPr>
                <w:rFonts w:hint="eastAsia" w:asciiTheme="minorEastAsia" w:hAnsiTheme="minorEastAsia" w:eastAsiaTheme="minorEastAsia" w:cstheme="minorEastAsia"/>
                <w:color w:val="000000" w:themeColor="text1"/>
                <w:sz w:val="24"/>
                <w14:textFill>
                  <w14:solidFill>
                    <w14:schemeClr w14:val="tx1"/>
                  </w14:solidFill>
                </w14:textFill>
              </w:rPr>
              <w:t>.</w:t>
            </w:r>
            <w:r>
              <w:rPr>
                <w:rFonts w:hint="eastAsia" w:ascii="Times New Roman" w:hAnsi="Times New Roman" w:eastAsiaTheme="minorEastAsia" w:cstheme="minorEastAsia"/>
                <w:color w:val="000000" w:themeColor="text1"/>
                <w:sz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67" w:hRule="atLeast"/>
          <w:jc w:val="center"/>
        </w:trPr>
        <w:tc>
          <w:tcPr>
            <w:tcW w:w="779"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9</w:t>
            </w:r>
          </w:p>
        </w:tc>
        <w:tc>
          <w:tcPr>
            <w:tcW w:w="3380" w:type="dxa"/>
            <w:gridSpan w:val="2"/>
            <w:vAlign w:val="center"/>
          </w:tcPr>
          <w:p>
            <w:pPr>
              <w:widowControl w:val="0"/>
              <w:adjustRightInd w:val="0"/>
              <w:snapToGrid w:val="0"/>
              <w:spacing w:after="0" w:line="400" w:lineRule="exact"/>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社会消费品零售总额（亿元）</w:t>
            </w:r>
          </w:p>
        </w:tc>
        <w:tc>
          <w:tcPr>
            <w:tcW w:w="1185" w:type="dxa"/>
            <w:vAlign w:val="center"/>
          </w:tcPr>
          <w:p>
            <w:pPr>
              <w:widowControl w:val="0"/>
              <w:adjustRightInd w:val="0"/>
              <w:snapToGrid w:val="0"/>
              <w:spacing w:after="0" w:line="400" w:lineRule="exact"/>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imes New Roman" w:hAnsi="Times New Roman" w:eastAsiaTheme="minorEastAsia" w:cstheme="minorEastAsia"/>
                <w:color w:val="000000" w:themeColor="text1"/>
                <w:sz w:val="24"/>
                <w14:textFill>
                  <w14:solidFill>
                    <w14:schemeClr w14:val="tx1"/>
                  </w14:solidFill>
                </w14:textFill>
              </w:rPr>
              <w:t>225</w:t>
            </w:r>
            <w:r>
              <w:rPr>
                <w:rFonts w:hint="eastAsia" w:asciiTheme="minorEastAsia" w:hAnsiTheme="minorEastAsia" w:eastAsiaTheme="minorEastAsia" w:cstheme="minorEastAsia"/>
                <w:color w:val="000000" w:themeColor="text1"/>
                <w:sz w:val="24"/>
                <w14:textFill>
                  <w14:solidFill>
                    <w14:schemeClr w14:val="tx1"/>
                  </w14:solidFill>
                </w14:textFill>
              </w:rPr>
              <w:t>.</w:t>
            </w:r>
            <w:r>
              <w:rPr>
                <w:rFonts w:hint="eastAsia" w:ascii="Times New Roman" w:hAnsi="Times New Roman" w:eastAsiaTheme="minorEastAsia" w:cstheme="minorEastAsia"/>
                <w:color w:val="000000" w:themeColor="text1"/>
                <w:sz w:val="24"/>
                <w14:textFill>
                  <w14:solidFill>
                    <w14:schemeClr w14:val="tx1"/>
                  </w14:solidFill>
                </w14:textFill>
              </w:rPr>
              <w:t>8</w:t>
            </w:r>
          </w:p>
        </w:tc>
        <w:tc>
          <w:tcPr>
            <w:tcW w:w="1263" w:type="dxa"/>
            <w:vAlign w:val="center"/>
          </w:tcPr>
          <w:p>
            <w:pPr>
              <w:widowControl w:val="0"/>
              <w:adjustRightInd w:val="0"/>
              <w:snapToGrid w:val="0"/>
              <w:spacing w:after="0" w:line="400" w:lineRule="exact"/>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imes New Roman" w:hAnsi="Times New Roman" w:eastAsiaTheme="minorEastAsia" w:cstheme="minorEastAsia"/>
                <w:color w:val="000000" w:themeColor="text1"/>
                <w:sz w:val="24"/>
                <w14:textFill>
                  <w14:solidFill>
                    <w14:schemeClr w14:val="tx1"/>
                  </w14:solidFill>
                </w14:textFill>
              </w:rPr>
              <w:t>12</w:t>
            </w:r>
          </w:p>
        </w:tc>
        <w:tc>
          <w:tcPr>
            <w:tcW w:w="1095" w:type="dxa"/>
            <w:vAlign w:val="center"/>
          </w:tcPr>
          <w:p>
            <w:pPr>
              <w:widowControl w:val="0"/>
              <w:adjustRightInd w:val="0"/>
              <w:snapToGrid w:val="0"/>
              <w:spacing w:after="0" w:line="400" w:lineRule="exact"/>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imes New Roman" w:hAnsi="Times New Roman" w:eastAsiaTheme="minorEastAsia" w:cstheme="minorEastAsia"/>
                <w:color w:val="000000" w:themeColor="text1"/>
                <w:sz w:val="24"/>
                <w14:textFill>
                  <w14:solidFill>
                    <w14:schemeClr w14:val="tx1"/>
                  </w14:solidFill>
                </w14:textFill>
              </w:rPr>
              <w:t>253</w:t>
            </w:r>
          </w:p>
        </w:tc>
        <w:tc>
          <w:tcPr>
            <w:tcW w:w="1276" w:type="dxa"/>
            <w:vAlign w:val="center"/>
          </w:tcPr>
          <w:p>
            <w:pPr>
              <w:widowControl w:val="0"/>
              <w:adjustRightInd w:val="0"/>
              <w:snapToGrid w:val="0"/>
              <w:spacing w:after="0" w:line="400" w:lineRule="exact"/>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imes New Roman" w:hAnsi="Times New Roman" w:eastAsiaTheme="minorEastAsia" w:cstheme="minorEastAsia"/>
                <w:color w:val="000000" w:themeColor="text1"/>
                <w:sz w:val="24"/>
                <w14:textFill>
                  <w14:solidFill>
                    <w14:schemeClr w14:val="tx1"/>
                  </w14:solidFill>
                </w14:textFill>
              </w:rPr>
              <w:t>7</w:t>
            </w:r>
            <w:r>
              <w:rPr>
                <w:rFonts w:hint="eastAsia" w:asciiTheme="minorEastAsia" w:hAnsiTheme="minorEastAsia" w:eastAsiaTheme="minorEastAsia" w:cstheme="minorEastAsia"/>
                <w:color w:val="000000" w:themeColor="text1"/>
                <w:sz w:val="24"/>
                <w14:textFill>
                  <w14:solidFill>
                    <w14:schemeClr w14:val="tx1"/>
                  </w14:solidFill>
                </w14:textFill>
              </w:rPr>
              <w:t>.</w:t>
            </w:r>
            <w:r>
              <w:rPr>
                <w:rFonts w:hint="eastAsia" w:ascii="Times New Roman" w:hAnsi="Times New Roman" w:eastAsiaTheme="minorEastAsia" w:cstheme="minorEastAsia"/>
                <w:color w:val="000000" w:themeColor="text1"/>
                <w:sz w:val="24"/>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67" w:hRule="atLeast"/>
          <w:jc w:val="center"/>
        </w:trPr>
        <w:tc>
          <w:tcPr>
            <w:tcW w:w="779"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10</w:t>
            </w:r>
          </w:p>
        </w:tc>
        <w:tc>
          <w:tcPr>
            <w:tcW w:w="3380" w:type="dxa"/>
            <w:gridSpan w:val="2"/>
            <w:vAlign w:val="center"/>
          </w:tcPr>
          <w:p>
            <w:pPr>
              <w:widowControl w:val="0"/>
              <w:adjustRightInd w:val="0"/>
              <w:snapToGrid w:val="0"/>
              <w:spacing w:after="0" w:line="400" w:lineRule="exact"/>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外贸进出口总额（万美元）</w:t>
            </w:r>
          </w:p>
        </w:tc>
        <w:tc>
          <w:tcPr>
            <w:tcW w:w="1185" w:type="dxa"/>
            <w:vAlign w:val="center"/>
          </w:tcPr>
          <w:p>
            <w:pPr>
              <w:widowControl w:val="0"/>
              <w:adjustRightInd w:val="0"/>
              <w:snapToGrid w:val="0"/>
              <w:spacing w:after="0" w:line="400" w:lineRule="exact"/>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imes New Roman" w:hAnsi="Times New Roman" w:eastAsiaTheme="minorEastAsia" w:cstheme="minorEastAsia"/>
                <w:color w:val="000000" w:themeColor="text1"/>
                <w:sz w:val="24"/>
                <w14:textFill>
                  <w14:solidFill>
                    <w14:schemeClr w14:val="tx1"/>
                  </w14:solidFill>
                </w14:textFill>
              </w:rPr>
              <w:t>44381</w:t>
            </w:r>
          </w:p>
        </w:tc>
        <w:tc>
          <w:tcPr>
            <w:tcW w:w="1263" w:type="dxa"/>
            <w:vAlign w:val="center"/>
          </w:tcPr>
          <w:p>
            <w:pPr>
              <w:widowControl w:val="0"/>
              <w:adjustRightInd w:val="0"/>
              <w:snapToGrid w:val="0"/>
              <w:spacing w:after="0" w:line="400" w:lineRule="exact"/>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imes New Roman" w:hAnsi="Times New Roman" w:eastAsiaTheme="minorEastAsia" w:cstheme="minorEastAsia"/>
                <w:color w:val="000000" w:themeColor="text1"/>
                <w:sz w:val="24"/>
                <w14:textFill>
                  <w14:solidFill>
                    <w14:schemeClr w14:val="tx1"/>
                  </w14:solidFill>
                </w14:textFill>
              </w:rPr>
              <w:t>8</w:t>
            </w:r>
          </w:p>
        </w:tc>
        <w:tc>
          <w:tcPr>
            <w:tcW w:w="1095" w:type="dxa"/>
            <w:vAlign w:val="center"/>
          </w:tcPr>
          <w:p>
            <w:pPr>
              <w:widowControl w:val="0"/>
              <w:adjustRightInd w:val="0"/>
              <w:snapToGrid w:val="0"/>
              <w:spacing w:after="0" w:line="400" w:lineRule="exact"/>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imes New Roman" w:hAnsi="Times New Roman" w:eastAsiaTheme="minorEastAsia" w:cstheme="minorEastAsia"/>
                <w:color w:val="000000" w:themeColor="text1"/>
                <w:sz w:val="24"/>
                <w14:textFill>
                  <w14:solidFill>
                    <w14:schemeClr w14:val="tx1"/>
                  </w14:solidFill>
                </w14:textFill>
              </w:rPr>
              <w:t>16903</w:t>
            </w:r>
          </w:p>
        </w:tc>
        <w:tc>
          <w:tcPr>
            <w:tcW w:w="1276" w:type="dxa"/>
            <w:vAlign w:val="center"/>
          </w:tcPr>
          <w:p>
            <w:pPr>
              <w:widowControl w:val="0"/>
              <w:adjustRightInd w:val="0"/>
              <w:snapToGrid w:val="0"/>
              <w:spacing w:after="0" w:line="400" w:lineRule="exact"/>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w:t>
            </w:r>
            <w:r>
              <w:rPr>
                <w:rFonts w:hint="eastAsia" w:ascii="Times New Roman" w:hAnsi="Times New Roman" w:eastAsiaTheme="minorEastAsia" w:cstheme="minorEastAsia"/>
                <w:color w:val="000000" w:themeColor="text1"/>
                <w:sz w:val="24"/>
                <w14:textFill>
                  <w14:solidFill>
                    <w14:schemeClr w14:val="tx1"/>
                  </w14:solidFill>
                </w14:textFill>
              </w:rPr>
              <w:t>10</w:t>
            </w:r>
            <w:r>
              <w:rPr>
                <w:rFonts w:hint="eastAsia" w:asciiTheme="minorEastAsia" w:hAnsiTheme="minorEastAsia" w:eastAsiaTheme="minorEastAsia" w:cstheme="minorEastAsia"/>
                <w:color w:val="000000" w:themeColor="text1"/>
                <w:sz w:val="24"/>
                <w14:textFill>
                  <w14:solidFill>
                    <w14:schemeClr w14:val="tx1"/>
                  </w14:solidFill>
                </w14:textFill>
              </w:rPr>
              <w:t>.</w:t>
            </w:r>
            <w:r>
              <w:rPr>
                <w:rFonts w:hint="eastAsia" w:ascii="Times New Roman" w:hAnsi="Times New Roman" w:eastAsiaTheme="minorEastAsia" w:cstheme="minorEastAsia"/>
                <w:color w:val="000000" w:themeColor="text1"/>
                <w:sz w:val="24"/>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67" w:hRule="atLeast"/>
          <w:jc w:val="center"/>
        </w:trPr>
        <w:tc>
          <w:tcPr>
            <w:tcW w:w="779"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11</w:t>
            </w:r>
          </w:p>
        </w:tc>
        <w:tc>
          <w:tcPr>
            <w:tcW w:w="3380" w:type="dxa"/>
            <w:gridSpan w:val="2"/>
            <w:vAlign w:val="center"/>
          </w:tcPr>
          <w:p>
            <w:pPr>
              <w:widowControl w:val="0"/>
              <w:adjustRightInd w:val="0"/>
              <w:snapToGrid w:val="0"/>
              <w:spacing w:after="0" w:line="400" w:lineRule="exact"/>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其中：出口总额</w:t>
            </w:r>
          </w:p>
        </w:tc>
        <w:tc>
          <w:tcPr>
            <w:tcW w:w="1185" w:type="dxa"/>
            <w:vAlign w:val="center"/>
          </w:tcPr>
          <w:p>
            <w:pPr>
              <w:widowControl w:val="0"/>
              <w:adjustRightInd w:val="0"/>
              <w:snapToGrid w:val="0"/>
              <w:spacing w:after="0" w:line="400" w:lineRule="exact"/>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imes New Roman" w:hAnsi="Times New Roman" w:eastAsiaTheme="minorEastAsia" w:cstheme="minorEastAsia"/>
                <w:color w:val="000000" w:themeColor="text1"/>
                <w:sz w:val="24"/>
                <w14:textFill>
                  <w14:solidFill>
                    <w14:schemeClr w14:val="tx1"/>
                  </w14:solidFill>
                </w14:textFill>
              </w:rPr>
              <w:t>40279</w:t>
            </w:r>
          </w:p>
        </w:tc>
        <w:tc>
          <w:tcPr>
            <w:tcW w:w="1263" w:type="dxa"/>
            <w:vAlign w:val="center"/>
          </w:tcPr>
          <w:p>
            <w:pPr>
              <w:widowControl w:val="0"/>
              <w:adjustRightInd w:val="0"/>
              <w:snapToGrid w:val="0"/>
              <w:spacing w:after="0" w:line="400" w:lineRule="exact"/>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imes New Roman" w:hAnsi="Times New Roman" w:eastAsiaTheme="minorEastAsia" w:cstheme="minorEastAsia"/>
                <w:color w:val="000000" w:themeColor="text1"/>
                <w:sz w:val="24"/>
                <w14:textFill>
                  <w14:solidFill>
                    <w14:schemeClr w14:val="tx1"/>
                  </w14:solidFill>
                </w14:textFill>
              </w:rPr>
              <w:t>8</w:t>
            </w:r>
          </w:p>
        </w:tc>
        <w:tc>
          <w:tcPr>
            <w:tcW w:w="1095" w:type="dxa"/>
            <w:vAlign w:val="center"/>
          </w:tcPr>
          <w:p>
            <w:pPr>
              <w:widowControl w:val="0"/>
              <w:adjustRightInd w:val="0"/>
              <w:snapToGrid w:val="0"/>
              <w:spacing w:after="0" w:line="400" w:lineRule="exact"/>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imes New Roman" w:hAnsi="Times New Roman" w:eastAsiaTheme="minorEastAsia" w:cstheme="minorEastAsia"/>
                <w:color w:val="000000" w:themeColor="text1"/>
                <w:sz w:val="24"/>
                <w14:textFill>
                  <w14:solidFill>
                    <w14:schemeClr w14:val="tx1"/>
                  </w14:solidFill>
                </w14:textFill>
              </w:rPr>
              <w:t>13184</w:t>
            </w:r>
          </w:p>
        </w:tc>
        <w:tc>
          <w:tcPr>
            <w:tcW w:w="1276" w:type="dxa"/>
            <w:vAlign w:val="center"/>
          </w:tcPr>
          <w:p>
            <w:pPr>
              <w:widowControl w:val="0"/>
              <w:adjustRightInd w:val="0"/>
              <w:snapToGrid w:val="0"/>
              <w:spacing w:after="0" w:line="400" w:lineRule="exact"/>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w:t>
            </w:r>
            <w:r>
              <w:rPr>
                <w:rFonts w:hint="eastAsia" w:ascii="Times New Roman" w:hAnsi="Times New Roman" w:eastAsiaTheme="minorEastAsia" w:cstheme="minorEastAsia"/>
                <w:color w:val="000000" w:themeColor="text1"/>
                <w:sz w:val="24"/>
                <w14:textFill>
                  <w14:solidFill>
                    <w14:schemeClr w14:val="tx1"/>
                  </w14:solidFill>
                </w14:textFill>
              </w:rPr>
              <w:t>13</w:t>
            </w:r>
            <w:r>
              <w:rPr>
                <w:rFonts w:hint="eastAsia" w:asciiTheme="minorEastAsia" w:hAnsiTheme="minorEastAsia" w:eastAsiaTheme="minorEastAsia" w:cstheme="minorEastAsia"/>
                <w:color w:val="000000" w:themeColor="text1"/>
                <w:sz w:val="24"/>
                <w14:textFill>
                  <w14:solidFill>
                    <w14:schemeClr w14:val="tx1"/>
                  </w14:solidFill>
                </w14:textFill>
              </w:rPr>
              <w:t>.</w:t>
            </w:r>
            <w:r>
              <w:rPr>
                <w:rFonts w:hint="eastAsia" w:ascii="Times New Roman" w:hAnsi="Times New Roman" w:eastAsiaTheme="minorEastAsia" w:cstheme="minorEastAsia"/>
                <w:color w:val="000000" w:themeColor="text1"/>
                <w:sz w:val="24"/>
                <w14:textFill>
                  <w14:solidFill>
                    <w14:schemeClr w14:val="tx1"/>
                  </w14:solidFill>
                </w14:textFill>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67" w:hRule="atLeast"/>
          <w:jc w:val="center"/>
        </w:trPr>
        <w:tc>
          <w:tcPr>
            <w:tcW w:w="779"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12</w:t>
            </w:r>
          </w:p>
        </w:tc>
        <w:tc>
          <w:tcPr>
            <w:tcW w:w="3380" w:type="dxa"/>
            <w:gridSpan w:val="2"/>
            <w:vAlign w:val="center"/>
          </w:tcPr>
          <w:p>
            <w:pPr>
              <w:widowControl w:val="0"/>
              <w:adjustRightInd w:val="0"/>
              <w:snapToGrid w:val="0"/>
              <w:spacing w:after="0" w:line="400" w:lineRule="exact"/>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实际利用外商直接投资</w:t>
            </w:r>
          </w:p>
          <w:p>
            <w:pPr>
              <w:widowControl w:val="0"/>
              <w:adjustRightInd w:val="0"/>
              <w:snapToGrid w:val="0"/>
              <w:spacing w:after="0" w:line="400" w:lineRule="exact"/>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（万美元）</w:t>
            </w:r>
          </w:p>
        </w:tc>
        <w:tc>
          <w:tcPr>
            <w:tcW w:w="1185" w:type="dxa"/>
            <w:vAlign w:val="center"/>
          </w:tcPr>
          <w:p>
            <w:pPr>
              <w:widowControl w:val="0"/>
              <w:adjustRightInd w:val="0"/>
              <w:snapToGrid w:val="0"/>
              <w:spacing w:after="0" w:line="400" w:lineRule="exact"/>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imes New Roman" w:hAnsi="Times New Roman" w:eastAsiaTheme="minorEastAsia" w:cstheme="minorEastAsia"/>
                <w:color w:val="000000" w:themeColor="text1"/>
                <w:sz w:val="24"/>
                <w14:textFill>
                  <w14:solidFill>
                    <w14:schemeClr w14:val="tx1"/>
                  </w14:solidFill>
                </w14:textFill>
              </w:rPr>
              <w:t>11240</w:t>
            </w:r>
          </w:p>
        </w:tc>
        <w:tc>
          <w:tcPr>
            <w:tcW w:w="1263" w:type="dxa"/>
            <w:vAlign w:val="center"/>
          </w:tcPr>
          <w:p>
            <w:pPr>
              <w:widowControl w:val="0"/>
              <w:adjustRightInd w:val="0"/>
              <w:snapToGrid w:val="0"/>
              <w:spacing w:after="0" w:line="400" w:lineRule="exact"/>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imes New Roman" w:hAnsi="Times New Roman" w:eastAsiaTheme="minorEastAsia" w:cstheme="minorEastAsia"/>
                <w:color w:val="000000" w:themeColor="text1"/>
                <w:sz w:val="24"/>
                <w14:textFill>
                  <w14:solidFill>
                    <w14:schemeClr w14:val="tx1"/>
                  </w14:solidFill>
                </w14:textFill>
              </w:rPr>
              <w:t>8</w:t>
            </w:r>
          </w:p>
        </w:tc>
        <w:tc>
          <w:tcPr>
            <w:tcW w:w="1095" w:type="dxa"/>
            <w:vAlign w:val="center"/>
          </w:tcPr>
          <w:p>
            <w:pPr>
              <w:widowControl w:val="0"/>
              <w:adjustRightInd w:val="0"/>
              <w:snapToGrid w:val="0"/>
              <w:spacing w:after="0" w:line="400" w:lineRule="exact"/>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imes New Roman" w:hAnsi="Times New Roman" w:eastAsiaTheme="minorEastAsia" w:cstheme="minorEastAsia"/>
                <w:color w:val="000000" w:themeColor="text1"/>
                <w:sz w:val="24"/>
                <w14:textFill>
                  <w14:solidFill>
                    <w14:schemeClr w14:val="tx1"/>
                  </w14:solidFill>
                </w14:textFill>
              </w:rPr>
              <w:t>9648</w:t>
            </w:r>
          </w:p>
        </w:tc>
        <w:tc>
          <w:tcPr>
            <w:tcW w:w="1276" w:type="dxa"/>
            <w:vAlign w:val="center"/>
          </w:tcPr>
          <w:p>
            <w:pPr>
              <w:widowControl w:val="0"/>
              <w:adjustRightInd w:val="0"/>
              <w:snapToGrid w:val="0"/>
              <w:spacing w:after="0" w:line="400" w:lineRule="exact"/>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imes New Roman" w:hAnsi="Times New Roman" w:eastAsiaTheme="minorEastAsia" w:cstheme="minorEastAsia"/>
                <w:color w:val="000000" w:themeColor="text1"/>
                <w:sz w:val="24"/>
                <w14:textFill>
                  <w14:solidFill>
                    <w14:schemeClr w14:val="tx1"/>
                  </w14:solidFill>
                </w14:textFill>
              </w:rPr>
              <w:t>2</w:t>
            </w:r>
            <w:r>
              <w:rPr>
                <w:rFonts w:hint="eastAsia" w:asciiTheme="minorEastAsia" w:hAnsiTheme="minorEastAsia" w:eastAsiaTheme="minorEastAsia" w:cstheme="minorEastAsia"/>
                <w:color w:val="000000" w:themeColor="text1"/>
                <w:sz w:val="24"/>
                <w14:textFill>
                  <w14:solidFill>
                    <w14:schemeClr w14:val="tx1"/>
                  </w14:solidFill>
                </w14:textFill>
              </w:rPr>
              <w:t>.</w:t>
            </w:r>
            <w:r>
              <w:rPr>
                <w:rFonts w:hint="eastAsia" w:ascii="Times New Roman" w:hAnsi="Times New Roman" w:eastAsiaTheme="minorEastAsia" w:cstheme="minorEastAsia"/>
                <w:color w:val="000000" w:themeColor="text1"/>
                <w:sz w:val="24"/>
                <w14:textFill>
                  <w14:solidFill>
                    <w14:schemeClr w14:val="tx1"/>
                  </w14:solidFill>
                </w14:textFill>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39" w:hRule="atLeast"/>
          <w:jc w:val="center"/>
        </w:trPr>
        <w:tc>
          <w:tcPr>
            <w:tcW w:w="8978" w:type="dxa"/>
            <w:gridSpan w:val="7"/>
            <w:vAlign w:val="center"/>
          </w:tcPr>
          <w:p>
            <w:pPr>
              <w:widowControl w:val="0"/>
              <w:adjustRightInd w:val="0"/>
              <w:snapToGrid w:val="0"/>
              <w:spacing w:after="0" w:line="400" w:lineRule="exact"/>
              <w:rPr>
                <w:rFonts w:ascii="Times New Roman" w:hAnsi="Times New Roman" w:eastAsia="楷体_GB2312"/>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二、转型升级和创新驱动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39" w:hRule="atLeast"/>
          <w:jc w:val="center"/>
        </w:trPr>
        <w:tc>
          <w:tcPr>
            <w:tcW w:w="779"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13</w:t>
            </w:r>
          </w:p>
        </w:tc>
        <w:tc>
          <w:tcPr>
            <w:tcW w:w="3380" w:type="dxa"/>
            <w:gridSpan w:val="2"/>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服务业增加值比重(%)</w:t>
            </w:r>
          </w:p>
        </w:tc>
        <w:tc>
          <w:tcPr>
            <w:tcW w:w="1185"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58</w:t>
            </w:r>
          </w:p>
        </w:tc>
        <w:tc>
          <w:tcPr>
            <w:tcW w:w="1263"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p>
        </w:tc>
        <w:tc>
          <w:tcPr>
            <w:tcW w:w="1095"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67</w:t>
            </w:r>
          </w:p>
        </w:tc>
        <w:tc>
          <w:tcPr>
            <w:tcW w:w="1276"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39" w:hRule="atLeast"/>
          <w:jc w:val="center"/>
        </w:trPr>
        <w:tc>
          <w:tcPr>
            <w:tcW w:w="779"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14</w:t>
            </w:r>
          </w:p>
        </w:tc>
        <w:tc>
          <w:tcPr>
            <w:tcW w:w="3380" w:type="dxa"/>
            <w:gridSpan w:val="2"/>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高新技术产业增加值比重（%）</w:t>
            </w:r>
          </w:p>
        </w:tc>
        <w:tc>
          <w:tcPr>
            <w:tcW w:w="1185"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17</w:t>
            </w:r>
            <w:r>
              <w:rPr>
                <w:rFonts w:hint="eastAsia" w:ascii="宋体" w:hAnsi="宋体" w:eastAsia="宋体" w:cs="宋体"/>
                <w:color w:val="000000" w:themeColor="text1"/>
                <w:sz w:val="24"/>
                <w14:textFill>
                  <w14:solidFill>
                    <w14:schemeClr w14:val="tx1"/>
                  </w14:solidFill>
                </w14:textFill>
              </w:rPr>
              <w:t>.</w:t>
            </w:r>
            <w:r>
              <w:rPr>
                <w:rFonts w:hint="eastAsia" w:ascii="Times New Roman" w:hAnsi="Times New Roman" w:eastAsia="宋体" w:cs="宋体"/>
                <w:color w:val="000000" w:themeColor="text1"/>
                <w:sz w:val="24"/>
                <w14:textFill>
                  <w14:solidFill>
                    <w14:schemeClr w14:val="tx1"/>
                  </w14:solidFill>
                </w14:textFill>
              </w:rPr>
              <w:t>3</w:t>
            </w:r>
          </w:p>
        </w:tc>
        <w:tc>
          <w:tcPr>
            <w:tcW w:w="1263"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p>
        </w:tc>
        <w:tc>
          <w:tcPr>
            <w:tcW w:w="1095"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27</w:t>
            </w:r>
            <w:r>
              <w:rPr>
                <w:rFonts w:hint="eastAsia" w:ascii="宋体" w:hAnsi="宋体" w:eastAsia="宋体" w:cs="宋体"/>
                <w:color w:val="000000" w:themeColor="text1"/>
                <w:sz w:val="24"/>
                <w14:textFill>
                  <w14:solidFill>
                    <w14:schemeClr w14:val="tx1"/>
                  </w14:solidFill>
                </w14:textFill>
              </w:rPr>
              <w:t>.</w:t>
            </w:r>
            <w:r>
              <w:rPr>
                <w:rFonts w:hint="eastAsia" w:ascii="Times New Roman" w:hAnsi="Times New Roman" w:eastAsia="宋体" w:cs="宋体"/>
                <w:color w:val="000000" w:themeColor="text1"/>
                <w:sz w:val="24"/>
                <w14:textFill>
                  <w14:solidFill>
                    <w14:schemeClr w14:val="tx1"/>
                  </w14:solidFill>
                </w14:textFill>
              </w:rPr>
              <w:t>5</w:t>
            </w:r>
          </w:p>
        </w:tc>
        <w:tc>
          <w:tcPr>
            <w:tcW w:w="1276"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39" w:hRule="atLeast"/>
          <w:jc w:val="center"/>
        </w:trPr>
        <w:tc>
          <w:tcPr>
            <w:tcW w:w="779"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15</w:t>
            </w:r>
          </w:p>
        </w:tc>
        <w:tc>
          <w:tcPr>
            <w:tcW w:w="3380" w:type="dxa"/>
            <w:gridSpan w:val="2"/>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研究及开发经费占GDP比重(%)</w:t>
            </w:r>
          </w:p>
        </w:tc>
        <w:tc>
          <w:tcPr>
            <w:tcW w:w="1185"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2</w:t>
            </w:r>
          </w:p>
        </w:tc>
        <w:tc>
          <w:tcPr>
            <w:tcW w:w="1263"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p>
        </w:tc>
        <w:tc>
          <w:tcPr>
            <w:tcW w:w="1095"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1</w:t>
            </w:r>
            <w:r>
              <w:rPr>
                <w:rFonts w:hint="eastAsia" w:ascii="宋体" w:hAnsi="宋体" w:eastAsia="宋体" w:cs="宋体"/>
                <w:color w:val="000000" w:themeColor="text1"/>
                <w:sz w:val="24"/>
                <w14:textFill>
                  <w14:solidFill>
                    <w14:schemeClr w14:val="tx1"/>
                  </w14:solidFill>
                </w14:textFill>
              </w:rPr>
              <w:t>.</w:t>
            </w:r>
            <w:r>
              <w:rPr>
                <w:rFonts w:hint="eastAsia" w:ascii="Times New Roman" w:hAnsi="Times New Roman" w:eastAsia="宋体" w:cs="宋体"/>
                <w:color w:val="000000" w:themeColor="text1"/>
                <w:sz w:val="24"/>
                <w14:textFill>
                  <w14:solidFill>
                    <w14:schemeClr w14:val="tx1"/>
                  </w14:solidFill>
                </w14:textFill>
              </w:rPr>
              <w:t>23</w:t>
            </w:r>
          </w:p>
        </w:tc>
        <w:tc>
          <w:tcPr>
            <w:tcW w:w="1276"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39" w:hRule="atLeast"/>
          <w:jc w:val="center"/>
        </w:trPr>
        <w:tc>
          <w:tcPr>
            <w:tcW w:w="779"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16</w:t>
            </w:r>
          </w:p>
        </w:tc>
        <w:tc>
          <w:tcPr>
            <w:tcW w:w="3380" w:type="dxa"/>
            <w:gridSpan w:val="2"/>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万人发明专利拥有量(件)</w:t>
            </w:r>
          </w:p>
        </w:tc>
        <w:tc>
          <w:tcPr>
            <w:tcW w:w="1185"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2</w:t>
            </w:r>
            <w:r>
              <w:rPr>
                <w:rFonts w:hint="eastAsia" w:ascii="宋体" w:hAnsi="宋体" w:eastAsia="宋体" w:cs="宋体"/>
                <w:color w:val="000000" w:themeColor="text1"/>
                <w:sz w:val="24"/>
                <w14:textFill>
                  <w14:solidFill>
                    <w14:schemeClr w14:val="tx1"/>
                  </w14:solidFill>
                </w14:textFill>
              </w:rPr>
              <w:t>.</w:t>
            </w:r>
            <w:r>
              <w:rPr>
                <w:rFonts w:hint="eastAsia" w:ascii="Times New Roman" w:hAnsi="Times New Roman" w:eastAsia="宋体" w:cs="宋体"/>
                <w:color w:val="000000" w:themeColor="text1"/>
                <w:sz w:val="24"/>
                <w14:textFill>
                  <w14:solidFill>
                    <w14:schemeClr w14:val="tx1"/>
                  </w14:solidFill>
                </w14:textFill>
              </w:rPr>
              <w:t>6</w:t>
            </w:r>
          </w:p>
        </w:tc>
        <w:tc>
          <w:tcPr>
            <w:tcW w:w="1263"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p>
        </w:tc>
        <w:tc>
          <w:tcPr>
            <w:tcW w:w="1095"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27</w:t>
            </w:r>
            <w:r>
              <w:rPr>
                <w:rFonts w:hint="eastAsia" w:ascii="宋体" w:hAnsi="宋体" w:eastAsia="宋体" w:cs="宋体"/>
                <w:color w:val="000000" w:themeColor="text1"/>
                <w:sz w:val="24"/>
                <w14:textFill>
                  <w14:solidFill>
                    <w14:schemeClr w14:val="tx1"/>
                  </w14:solidFill>
                </w14:textFill>
              </w:rPr>
              <w:t>.</w:t>
            </w:r>
            <w:r>
              <w:rPr>
                <w:rFonts w:hint="eastAsia" w:ascii="Times New Roman" w:hAnsi="Times New Roman" w:eastAsia="宋体" w:cs="宋体"/>
                <w:color w:val="000000" w:themeColor="text1"/>
                <w:sz w:val="24"/>
                <w14:textFill>
                  <w14:solidFill>
                    <w14:schemeClr w14:val="tx1"/>
                  </w14:solidFill>
                </w14:textFill>
              </w:rPr>
              <w:t>9</w:t>
            </w:r>
          </w:p>
        </w:tc>
        <w:tc>
          <w:tcPr>
            <w:tcW w:w="1276"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39" w:hRule="atLeast"/>
          <w:jc w:val="center"/>
        </w:trPr>
        <w:tc>
          <w:tcPr>
            <w:tcW w:w="8978" w:type="dxa"/>
            <w:gridSpan w:val="7"/>
            <w:vAlign w:val="center"/>
          </w:tcPr>
          <w:p>
            <w:pPr>
              <w:widowControl w:val="0"/>
              <w:adjustRightInd w:val="0"/>
              <w:snapToGrid w:val="0"/>
              <w:spacing w:after="0" w:line="400" w:lineRule="exact"/>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三、民生福祉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39" w:hRule="atLeast"/>
          <w:jc w:val="center"/>
        </w:trPr>
        <w:tc>
          <w:tcPr>
            <w:tcW w:w="779"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17</w:t>
            </w:r>
          </w:p>
        </w:tc>
        <w:tc>
          <w:tcPr>
            <w:tcW w:w="3380" w:type="dxa"/>
            <w:gridSpan w:val="2"/>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城镇居民人均可支配收入(元)</w:t>
            </w:r>
          </w:p>
        </w:tc>
        <w:tc>
          <w:tcPr>
            <w:tcW w:w="1185"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40009</w:t>
            </w:r>
          </w:p>
        </w:tc>
        <w:tc>
          <w:tcPr>
            <w:tcW w:w="1263"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8</w:t>
            </w:r>
          </w:p>
        </w:tc>
        <w:tc>
          <w:tcPr>
            <w:tcW w:w="1095"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36756</w:t>
            </w:r>
          </w:p>
        </w:tc>
        <w:tc>
          <w:tcPr>
            <w:tcW w:w="1276"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39" w:hRule="atLeast"/>
          <w:jc w:val="center"/>
        </w:trPr>
        <w:tc>
          <w:tcPr>
            <w:tcW w:w="779"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18</w:t>
            </w:r>
          </w:p>
        </w:tc>
        <w:tc>
          <w:tcPr>
            <w:tcW w:w="3380" w:type="dxa"/>
            <w:gridSpan w:val="2"/>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新增城镇就业人数(人)</w:t>
            </w:r>
          </w:p>
        </w:tc>
        <w:tc>
          <w:tcPr>
            <w:tcW w:w="1185"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16000</w:t>
            </w:r>
            <w:r>
              <w:rPr>
                <w:rFonts w:hint="eastAsia" w:ascii="宋体" w:hAnsi="宋体" w:eastAsia="宋体" w:cs="宋体"/>
                <w:color w:val="000000" w:themeColor="text1"/>
                <w:sz w:val="24"/>
                <w14:textFill>
                  <w14:solidFill>
                    <w14:schemeClr w14:val="tx1"/>
                  </w14:solidFill>
                </w14:textFill>
              </w:rPr>
              <w:t>/年</w:t>
            </w:r>
          </w:p>
        </w:tc>
        <w:tc>
          <w:tcPr>
            <w:tcW w:w="1263"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p>
        </w:tc>
        <w:tc>
          <w:tcPr>
            <w:tcW w:w="1095"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11000</w:t>
            </w:r>
          </w:p>
        </w:tc>
        <w:tc>
          <w:tcPr>
            <w:tcW w:w="1276"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39" w:hRule="atLeast"/>
          <w:jc w:val="center"/>
        </w:trPr>
        <w:tc>
          <w:tcPr>
            <w:tcW w:w="779"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19</w:t>
            </w:r>
          </w:p>
        </w:tc>
        <w:tc>
          <w:tcPr>
            <w:tcW w:w="3380" w:type="dxa"/>
            <w:gridSpan w:val="2"/>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城镇登记失业率（%）</w:t>
            </w:r>
          </w:p>
        </w:tc>
        <w:tc>
          <w:tcPr>
            <w:tcW w:w="1185"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3</w:t>
            </w:r>
          </w:p>
        </w:tc>
        <w:tc>
          <w:tcPr>
            <w:tcW w:w="1263"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p>
        </w:tc>
        <w:tc>
          <w:tcPr>
            <w:tcW w:w="1095"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4</w:t>
            </w:r>
            <w:r>
              <w:rPr>
                <w:rFonts w:hint="eastAsia" w:ascii="宋体" w:hAnsi="宋体" w:eastAsia="宋体" w:cs="宋体"/>
                <w:color w:val="000000" w:themeColor="text1"/>
                <w:sz w:val="24"/>
                <w14:textFill>
                  <w14:solidFill>
                    <w14:schemeClr w14:val="tx1"/>
                  </w14:solidFill>
                </w14:textFill>
              </w:rPr>
              <w:t>.</w:t>
            </w:r>
            <w:r>
              <w:rPr>
                <w:rFonts w:hint="eastAsia" w:ascii="Times New Roman" w:hAnsi="Times New Roman" w:eastAsia="宋体" w:cs="宋体"/>
                <w:color w:val="000000" w:themeColor="text1"/>
                <w:sz w:val="24"/>
                <w14:textFill>
                  <w14:solidFill>
                    <w14:schemeClr w14:val="tx1"/>
                  </w14:solidFill>
                </w14:textFill>
              </w:rPr>
              <w:t>9</w:t>
            </w:r>
          </w:p>
        </w:tc>
        <w:tc>
          <w:tcPr>
            <w:tcW w:w="1276"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39" w:hRule="atLeast"/>
          <w:jc w:val="center"/>
        </w:trPr>
        <w:tc>
          <w:tcPr>
            <w:tcW w:w="779"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20</w:t>
            </w:r>
          </w:p>
        </w:tc>
        <w:tc>
          <w:tcPr>
            <w:tcW w:w="3380" w:type="dxa"/>
            <w:gridSpan w:val="2"/>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每千人拥有执业医师数（人）</w:t>
            </w:r>
          </w:p>
        </w:tc>
        <w:tc>
          <w:tcPr>
            <w:tcW w:w="1185"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1</w:t>
            </w:r>
          </w:p>
        </w:tc>
        <w:tc>
          <w:tcPr>
            <w:tcW w:w="1263"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p>
        </w:tc>
        <w:tc>
          <w:tcPr>
            <w:tcW w:w="1095"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3</w:t>
            </w:r>
          </w:p>
        </w:tc>
        <w:tc>
          <w:tcPr>
            <w:tcW w:w="1276"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39" w:hRule="atLeast"/>
          <w:jc w:val="center"/>
        </w:trPr>
        <w:tc>
          <w:tcPr>
            <w:tcW w:w="779"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21</w:t>
            </w:r>
          </w:p>
        </w:tc>
        <w:tc>
          <w:tcPr>
            <w:tcW w:w="3380" w:type="dxa"/>
            <w:gridSpan w:val="2"/>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养老床位数（张）</w:t>
            </w:r>
          </w:p>
        </w:tc>
        <w:tc>
          <w:tcPr>
            <w:tcW w:w="1185"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35</w:t>
            </w:r>
            <w:r>
              <w:rPr>
                <w:rFonts w:hint="eastAsia" w:ascii="宋体" w:hAnsi="宋体" w:eastAsia="宋体" w:cs="宋体"/>
                <w:color w:val="000000" w:themeColor="text1"/>
                <w:sz w:val="24"/>
                <w14:textFill>
                  <w14:solidFill>
                    <w14:schemeClr w14:val="tx1"/>
                  </w14:solidFill>
                </w14:textFill>
              </w:rPr>
              <w:t>/千人</w:t>
            </w:r>
          </w:p>
        </w:tc>
        <w:tc>
          <w:tcPr>
            <w:tcW w:w="1263"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p>
        </w:tc>
        <w:tc>
          <w:tcPr>
            <w:tcW w:w="1095"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58</w:t>
            </w:r>
          </w:p>
        </w:tc>
        <w:tc>
          <w:tcPr>
            <w:tcW w:w="1276"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39" w:hRule="atLeast"/>
          <w:jc w:val="center"/>
        </w:trPr>
        <w:tc>
          <w:tcPr>
            <w:tcW w:w="779"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22</w:t>
            </w:r>
          </w:p>
        </w:tc>
        <w:tc>
          <w:tcPr>
            <w:tcW w:w="3380" w:type="dxa"/>
            <w:gridSpan w:val="2"/>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社会保障覆盖率（%）</w:t>
            </w:r>
          </w:p>
        </w:tc>
        <w:tc>
          <w:tcPr>
            <w:tcW w:w="1185"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100</w:t>
            </w:r>
          </w:p>
        </w:tc>
        <w:tc>
          <w:tcPr>
            <w:tcW w:w="1263"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p>
        </w:tc>
        <w:tc>
          <w:tcPr>
            <w:tcW w:w="1095"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98</w:t>
            </w:r>
          </w:p>
        </w:tc>
        <w:tc>
          <w:tcPr>
            <w:tcW w:w="1276"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39" w:hRule="atLeast"/>
          <w:jc w:val="center"/>
        </w:trPr>
        <w:tc>
          <w:tcPr>
            <w:tcW w:w="8978" w:type="dxa"/>
            <w:gridSpan w:val="7"/>
            <w:vAlign w:val="center"/>
          </w:tcPr>
          <w:p>
            <w:pPr>
              <w:widowControl w:val="0"/>
              <w:adjustRightInd w:val="0"/>
              <w:snapToGrid w:val="0"/>
              <w:spacing w:after="0" w:line="400" w:lineRule="exact"/>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四、生态文明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39" w:hRule="atLeast"/>
          <w:jc w:val="center"/>
        </w:trPr>
        <w:tc>
          <w:tcPr>
            <w:tcW w:w="779"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23</w:t>
            </w:r>
          </w:p>
        </w:tc>
        <w:tc>
          <w:tcPr>
            <w:tcW w:w="3380" w:type="dxa"/>
            <w:gridSpan w:val="2"/>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pacing w:val="-11"/>
                <w:sz w:val="24"/>
                <w14:textFill>
                  <w14:solidFill>
                    <w14:schemeClr w14:val="tx1"/>
                  </w14:solidFill>
                </w14:textFill>
              </w:rPr>
              <w:t>万元生产总值能耗（吨标准煤）</w:t>
            </w:r>
          </w:p>
        </w:tc>
        <w:tc>
          <w:tcPr>
            <w:tcW w:w="1185"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完成市下达目标</w:t>
            </w:r>
          </w:p>
        </w:tc>
        <w:tc>
          <w:tcPr>
            <w:tcW w:w="1263"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p>
        </w:tc>
        <w:tc>
          <w:tcPr>
            <w:tcW w:w="1095"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完成市定目标</w:t>
            </w:r>
          </w:p>
        </w:tc>
        <w:tc>
          <w:tcPr>
            <w:tcW w:w="1276"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39" w:hRule="atLeast"/>
          <w:jc w:val="center"/>
        </w:trPr>
        <w:tc>
          <w:tcPr>
            <w:tcW w:w="779"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24</w:t>
            </w:r>
          </w:p>
        </w:tc>
        <w:tc>
          <w:tcPr>
            <w:tcW w:w="3380" w:type="dxa"/>
            <w:gridSpan w:val="2"/>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万元生产总值二氧化碳排放量（吨）</w:t>
            </w:r>
          </w:p>
        </w:tc>
        <w:tc>
          <w:tcPr>
            <w:tcW w:w="1185"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完成市下达目标</w:t>
            </w:r>
          </w:p>
        </w:tc>
        <w:tc>
          <w:tcPr>
            <w:tcW w:w="1263"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p>
        </w:tc>
        <w:tc>
          <w:tcPr>
            <w:tcW w:w="1095"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完成市定目标</w:t>
            </w:r>
          </w:p>
        </w:tc>
        <w:tc>
          <w:tcPr>
            <w:tcW w:w="1276"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39" w:hRule="atLeast"/>
          <w:jc w:val="center"/>
        </w:trPr>
        <w:tc>
          <w:tcPr>
            <w:tcW w:w="779" w:type="dxa"/>
            <w:vMerge w:val="restart"/>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25</w:t>
            </w:r>
          </w:p>
        </w:tc>
        <w:tc>
          <w:tcPr>
            <w:tcW w:w="1080" w:type="dxa"/>
            <w:vMerge w:val="restart"/>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主要污染物排放量</w:t>
            </w:r>
          </w:p>
        </w:tc>
        <w:tc>
          <w:tcPr>
            <w:tcW w:w="2300"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二氧化硫排放量（万吨）</w:t>
            </w:r>
          </w:p>
        </w:tc>
        <w:tc>
          <w:tcPr>
            <w:tcW w:w="1185"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完成市下达目标</w:t>
            </w:r>
          </w:p>
        </w:tc>
        <w:tc>
          <w:tcPr>
            <w:tcW w:w="1263"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p>
        </w:tc>
        <w:tc>
          <w:tcPr>
            <w:tcW w:w="1095"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0</w:t>
            </w:r>
            <w:r>
              <w:rPr>
                <w:rFonts w:hint="eastAsia" w:ascii="宋体" w:hAnsi="宋体" w:eastAsia="宋体" w:cs="宋体"/>
                <w:color w:val="000000" w:themeColor="text1"/>
                <w:sz w:val="24"/>
                <w14:textFill>
                  <w14:solidFill>
                    <w14:schemeClr w14:val="tx1"/>
                  </w14:solidFill>
                </w14:textFill>
              </w:rPr>
              <w:t>.</w:t>
            </w:r>
            <w:r>
              <w:rPr>
                <w:rFonts w:hint="eastAsia" w:ascii="Times New Roman" w:hAnsi="Times New Roman" w:eastAsia="宋体" w:cs="宋体"/>
                <w:color w:val="000000" w:themeColor="text1"/>
                <w:sz w:val="24"/>
                <w14:textFill>
                  <w14:solidFill>
                    <w14:schemeClr w14:val="tx1"/>
                  </w14:solidFill>
                </w14:textFill>
              </w:rPr>
              <w:t>3174</w:t>
            </w:r>
          </w:p>
        </w:tc>
        <w:tc>
          <w:tcPr>
            <w:tcW w:w="1276"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39" w:hRule="atLeast"/>
          <w:jc w:val="center"/>
        </w:trPr>
        <w:tc>
          <w:tcPr>
            <w:tcW w:w="779" w:type="dxa"/>
            <w:vMerge w:val="continue"/>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p>
        </w:tc>
        <w:tc>
          <w:tcPr>
            <w:tcW w:w="1080" w:type="dxa"/>
            <w:vMerge w:val="continue"/>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p>
        </w:tc>
        <w:tc>
          <w:tcPr>
            <w:tcW w:w="2300"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氮氧化物排放量（万吨）</w:t>
            </w:r>
          </w:p>
        </w:tc>
        <w:tc>
          <w:tcPr>
            <w:tcW w:w="1185"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完成市下达目标</w:t>
            </w:r>
          </w:p>
        </w:tc>
        <w:tc>
          <w:tcPr>
            <w:tcW w:w="1263"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p>
        </w:tc>
        <w:tc>
          <w:tcPr>
            <w:tcW w:w="1095"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0</w:t>
            </w:r>
            <w:r>
              <w:rPr>
                <w:rFonts w:hint="eastAsia" w:ascii="宋体" w:hAnsi="宋体" w:eastAsia="宋体" w:cs="宋体"/>
                <w:color w:val="000000" w:themeColor="text1"/>
                <w:sz w:val="24"/>
                <w14:textFill>
                  <w14:solidFill>
                    <w14:schemeClr w14:val="tx1"/>
                  </w14:solidFill>
                </w14:textFill>
              </w:rPr>
              <w:t>.</w:t>
            </w:r>
            <w:r>
              <w:rPr>
                <w:rFonts w:hint="eastAsia" w:ascii="Times New Roman" w:hAnsi="Times New Roman" w:eastAsia="宋体" w:cs="宋体"/>
                <w:color w:val="000000" w:themeColor="text1"/>
                <w:sz w:val="24"/>
                <w14:textFill>
                  <w14:solidFill>
                    <w14:schemeClr w14:val="tx1"/>
                  </w14:solidFill>
                </w14:textFill>
              </w:rPr>
              <w:t>0847</w:t>
            </w:r>
          </w:p>
        </w:tc>
        <w:tc>
          <w:tcPr>
            <w:tcW w:w="1276"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39" w:hRule="atLeast"/>
          <w:jc w:val="center"/>
        </w:trPr>
        <w:tc>
          <w:tcPr>
            <w:tcW w:w="779" w:type="dxa"/>
            <w:vMerge w:val="continue"/>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p>
        </w:tc>
        <w:tc>
          <w:tcPr>
            <w:tcW w:w="1080" w:type="dxa"/>
            <w:vMerge w:val="continue"/>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p>
        </w:tc>
        <w:tc>
          <w:tcPr>
            <w:tcW w:w="2300"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化学需氧量排放量（万吨）</w:t>
            </w:r>
          </w:p>
        </w:tc>
        <w:tc>
          <w:tcPr>
            <w:tcW w:w="1185"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完成市下达目标</w:t>
            </w:r>
          </w:p>
        </w:tc>
        <w:tc>
          <w:tcPr>
            <w:tcW w:w="1263"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p>
        </w:tc>
        <w:tc>
          <w:tcPr>
            <w:tcW w:w="1095"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0</w:t>
            </w:r>
            <w:r>
              <w:rPr>
                <w:rFonts w:hint="eastAsia" w:ascii="宋体" w:hAnsi="宋体" w:eastAsia="宋体" w:cs="宋体"/>
                <w:color w:val="000000" w:themeColor="text1"/>
                <w:sz w:val="24"/>
                <w14:textFill>
                  <w14:solidFill>
                    <w14:schemeClr w14:val="tx1"/>
                  </w14:solidFill>
                </w14:textFill>
              </w:rPr>
              <w:t>.</w:t>
            </w:r>
            <w:r>
              <w:rPr>
                <w:rFonts w:hint="eastAsia" w:ascii="Times New Roman" w:hAnsi="Times New Roman" w:eastAsia="宋体" w:cs="宋体"/>
                <w:color w:val="000000" w:themeColor="text1"/>
                <w:sz w:val="24"/>
                <w14:textFill>
                  <w14:solidFill>
                    <w14:schemeClr w14:val="tx1"/>
                  </w14:solidFill>
                </w14:textFill>
              </w:rPr>
              <w:t>45</w:t>
            </w:r>
          </w:p>
        </w:tc>
        <w:tc>
          <w:tcPr>
            <w:tcW w:w="1276"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39" w:hRule="atLeast"/>
          <w:jc w:val="center"/>
        </w:trPr>
        <w:tc>
          <w:tcPr>
            <w:tcW w:w="779" w:type="dxa"/>
            <w:vMerge w:val="continue"/>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p>
        </w:tc>
        <w:tc>
          <w:tcPr>
            <w:tcW w:w="1080" w:type="dxa"/>
            <w:vMerge w:val="continue"/>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p>
        </w:tc>
        <w:tc>
          <w:tcPr>
            <w:tcW w:w="2300"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氨氮排放量（万吨）</w:t>
            </w:r>
          </w:p>
        </w:tc>
        <w:tc>
          <w:tcPr>
            <w:tcW w:w="1185"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完成市下达目标</w:t>
            </w:r>
          </w:p>
        </w:tc>
        <w:tc>
          <w:tcPr>
            <w:tcW w:w="1263"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p>
        </w:tc>
        <w:tc>
          <w:tcPr>
            <w:tcW w:w="1095"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0</w:t>
            </w:r>
            <w:r>
              <w:rPr>
                <w:rFonts w:hint="eastAsia" w:ascii="宋体" w:hAnsi="宋体" w:eastAsia="宋体" w:cs="宋体"/>
                <w:color w:val="000000" w:themeColor="text1"/>
                <w:sz w:val="24"/>
                <w14:textFill>
                  <w14:solidFill>
                    <w14:schemeClr w14:val="tx1"/>
                  </w14:solidFill>
                </w14:textFill>
              </w:rPr>
              <w:t>.</w:t>
            </w:r>
            <w:r>
              <w:rPr>
                <w:rFonts w:hint="eastAsia" w:ascii="Times New Roman" w:hAnsi="Times New Roman" w:eastAsia="宋体" w:cs="宋体"/>
                <w:color w:val="000000" w:themeColor="text1"/>
                <w:sz w:val="24"/>
                <w14:textFill>
                  <w14:solidFill>
                    <w14:schemeClr w14:val="tx1"/>
                  </w14:solidFill>
                </w14:textFill>
              </w:rPr>
              <w:t>0589</w:t>
            </w:r>
          </w:p>
        </w:tc>
        <w:tc>
          <w:tcPr>
            <w:tcW w:w="1276"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39" w:hRule="atLeast"/>
          <w:jc w:val="center"/>
        </w:trPr>
        <w:tc>
          <w:tcPr>
            <w:tcW w:w="779" w:type="dxa"/>
            <w:vMerge w:val="continue"/>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p>
        </w:tc>
        <w:tc>
          <w:tcPr>
            <w:tcW w:w="1080" w:type="dxa"/>
            <w:vMerge w:val="continue"/>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p>
        </w:tc>
        <w:tc>
          <w:tcPr>
            <w:tcW w:w="2300"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其他国家要求的污染物排放量（%）</w:t>
            </w:r>
          </w:p>
        </w:tc>
        <w:tc>
          <w:tcPr>
            <w:tcW w:w="1185"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完成市下达目标</w:t>
            </w:r>
          </w:p>
        </w:tc>
        <w:tc>
          <w:tcPr>
            <w:tcW w:w="1263"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p>
        </w:tc>
        <w:tc>
          <w:tcPr>
            <w:tcW w:w="1095"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累计</w:t>
            </w:r>
            <w:r>
              <w:rPr>
                <w:rFonts w:hint="eastAsia" w:ascii="Times New Roman" w:hAnsi="Times New Roman" w:eastAsia="宋体" w:cs="宋体"/>
                <w:color w:val="000000" w:themeColor="text1"/>
                <w:sz w:val="24"/>
                <w14:textFill>
                  <w14:solidFill>
                    <w14:schemeClr w14:val="tx1"/>
                  </w14:solidFill>
                </w14:textFill>
              </w:rPr>
              <w:t>45</w:t>
            </w:r>
            <w:r>
              <w:rPr>
                <w:rFonts w:hint="eastAsia" w:ascii="宋体" w:hAnsi="宋体" w:eastAsia="宋体" w:cs="宋体"/>
                <w:color w:val="000000" w:themeColor="text1"/>
                <w:sz w:val="24"/>
                <w14:textFill>
                  <w14:solidFill>
                    <w14:schemeClr w14:val="tx1"/>
                  </w14:solidFill>
                </w14:textFill>
              </w:rPr>
              <w:t>.</w:t>
            </w:r>
            <w:r>
              <w:rPr>
                <w:rFonts w:hint="eastAsia" w:ascii="Times New Roman" w:hAnsi="Times New Roman" w:eastAsia="宋体" w:cs="宋体"/>
                <w:color w:val="000000" w:themeColor="text1"/>
                <w:sz w:val="24"/>
                <w14:textFill>
                  <w14:solidFill>
                    <w14:schemeClr w14:val="tx1"/>
                  </w14:solidFill>
                </w14:textFill>
              </w:rPr>
              <w:t>5</w:t>
            </w:r>
          </w:p>
        </w:tc>
        <w:tc>
          <w:tcPr>
            <w:tcW w:w="1276"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39" w:hRule="atLeast"/>
          <w:jc w:val="center"/>
        </w:trPr>
        <w:tc>
          <w:tcPr>
            <w:tcW w:w="779"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26</w:t>
            </w:r>
          </w:p>
        </w:tc>
        <w:tc>
          <w:tcPr>
            <w:tcW w:w="3380" w:type="dxa"/>
            <w:gridSpan w:val="2"/>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城市绿化覆盖率（%）</w:t>
            </w:r>
          </w:p>
        </w:tc>
        <w:tc>
          <w:tcPr>
            <w:tcW w:w="1185"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39</w:t>
            </w:r>
          </w:p>
        </w:tc>
        <w:tc>
          <w:tcPr>
            <w:tcW w:w="1263"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p>
        </w:tc>
        <w:tc>
          <w:tcPr>
            <w:tcW w:w="1095"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41</w:t>
            </w:r>
            <w:r>
              <w:rPr>
                <w:rFonts w:hint="eastAsia" w:ascii="宋体" w:hAnsi="宋体" w:eastAsia="宋体" w:cs="宋体"/>
                <w:color w:val="000000" w:themeColor="text1"/>
                <w:sz w:val="24"/>
                <w14:textFill>
                  <w14:solidFill>
                    <w14:schemeClr w14:val="tx1"/>
                  </w14:solidFill>
                </w14:textFill>
              </w:rPr>
              <w:t>.</w:t>
            </w:r>
            <w:r>
              <w:rPr>
                <w:rFonts w:hint="eastAsia" w:ascii="Times New Roman" w:hAnsi="Times New Roman" w:eastAsia="宋体" w:cs="宋体"/>
                <w:color w:val="000000" w:themeColor="text1"/>
                <w:sz w:val="24"/>
                <w14:textFill>
                  <w14:solidFill>
                    <w14:schemeClr w14:val="tx1"/>
                  </w14:solidFill>
                </w14:textFill>
              </w:rPr>
              <w:t>28</w:t>
            </w:r>
          </w:p>
        </w:tc>
        <w:tc>
          <w:tcPr>
            <w:tcW w:w="1276"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39" w:hRule="atLeast"/>
          <w:jc w:val="center"/>
        </w:trPr>
        <w:tc>
          <w:tcPr>
            <w:tcW w:w="779"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27</w:t>
            </w:r>
          </w:p>
        </w:tc>
        <w:tc>
          <w:tcPr>
            <w:tcW w:w="3380" w:type="dxa"/>
            <w:gridSpan w:val="2"/>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城市空气质量优良天数比例（%）</w:t>
            </w:r>
          </w:p>
        </w:tc>
        <w:tc>
          <w:tcPr>
            <w:tcW w:w="1185"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完成市下达目标</w:t>
            </w:r>
          </w:p>
        </w:tc>
        <w:tc>
          <w:tcPr>
            <w:tcW w:w="1263"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p>
        </w:tc>
        <w:tc>
          <w:tcPr>
            <w:tcW w:w="1095"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71</w:t>
            </w:r>
            <w:r>
              <w:rPr>
                <w:rFonts w:hint="eastAsia" w:ascii="宋体" w:hAnsi="宋体" w:eastAsia="宋体" w:cs="宋体"/>
                <w:color w:val="000000" w:themeColor="text1"/>
                <w:sz w:val="24"/>
                <w14:textFill>
                  <w14:solidFill>
                    <w14:schemeClr w14:val="tx1"/>
                  </w14:solidFill>
                </w14:textFill>
              </w:rPr>
              <w:t>.</w:t>
            </w:r>
            <w:r>
              <w:rPr>
                <w:rFonts w:hint="eastAsia" w:ascii="Times New Roman" w:hAnsi="Times New Roman" w:eastAsia="宋体" w:cs="宋体"/>
                <w:color w:val="000000" w:themeColor="text1"/>
                <w:sz w:val="24"/>
                <w14:textFill>
                  <w14:solidFill>
                    <w14:schemeClr w14:val="tx1"/>
                  </w14:solidFill>
                </w14:textFill>
              </w:rPr>
              <w:t>23</w:t>
            </w:r>
          </w:p>
        </w:tc>
        <w:tc>
          <w:tcPr>
            <w:tcW w:w="1276" w:type="dxa"/>
            <w:vAlign w:val="center"/>
          </w:tcPr>
          <w:p>
            <w:pPr>
              <w:widowControl w:val="0"/>
              <w:adjustRightInd w:val="0"/>
              <w:snapToGrid w:val="0"/>
              <w:spacing w:after="0" w:line="400" w:lineRule="exact"/>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p>
        </w:tc>
      </w:tr>
    </w:tbl>
    <w:p>
      <w:pPr>
        <w:pStyle w:val="5"/>
        <w:keepNext w:val="0"/>
        <w:keepLines w:val="0"/>
        <w:widowControl w:val="0"/>
        <w:adjustRightInd w:val="0"/>
        <w:snapToGrid w:val="0"/>
        <w:spacing w:before="297" w:beforeLines="50" w:after="297" w:afterLines="50" w:line="560" w:lineRule="exact"/>
        <w:ind w:firstLine="680"/>
      </w:pPr>
      <w:bookmarkStart w:id="8" w:name="_Toc1272"/>
      <w:bookmarkStart w:id="9" w:name="_Toc6472"/>
      <w:r>
        <w:t xml:space="preserve">第二节 </w:t>
      </w:r>
      <w:r>
        <w:rPr>
          <w:rFonts w:hint="eastAsia"/>
        </w:rPr>
        <w:t xml:space="preserve"> “</w:t>
      </w:r>
      <w:r>
        <w:t>十四五</w:t>
      </w:r>
      <w:r>
        <w:rPr>
          <w:rFonts w:hint="eastAsia"/>
        </w:rPr>
        <w:t>”</w:t>
      </w:r>
      <w:r>
        <w:t>面</w:t>
      </w:r>
      <w:r>
        <w:rPr>
          <w:rFonts w:hint="eastAsia"/>
        </w:rPr>
        <w:t>临</w:t>
      </w:r>
      <w:r>
        <w:t>发展机遇与挑战</w:t>
      </w:r>
      <w:bookmarkEnd w:id="8"/>
      <w:bookmarkEnd w:id="9"/>
    </w:p>
    <w:p>
      <w:pPr>
        <w:widowControl w:val="0"/>
        <w:adjustRightInd w:val="0"/>
        <w:snapToGrid w:val="0"/>
        <w:spacing w:after="0" w:line="560" w:lineRule="exact"/>
        <w:ind w:firstLine="680" w:firstLineChars="200"/>
        <w:rPr>
          <w:rFonts w:ascii="Times New Roman" w:hAnsi="Times New Roman" w:eastAsia="仿宋_GB2312"/>
          <w:color w:val="000000" w:themeColor="text1"/>
          <w:kern w:val="2"/>
          <w:szCs w:val="32"/>
          <w14:textFill>
            <w14:solidFill>
              <w14:schemeClr w14:val="tx1"/>
            </w14:solidFill>
          </w14:textFill>
        </w:rPr>
      </w:pPr>
      <w:r>
        <w:rPr>
          <w:rFonts w:ascii="Times New Roman" w:hAnsi="Times New Roman" w:eastAsia="仿宋_GB2312"/>
          <w:color w:val="000000" w:themeColor="text1"/>
          <w:szCs w:val="32"/>
          <w14:textFill>
            <w14:solidFill>
              <w14:schemeClr w14:val="tx1"/>
            </w14:solidFill>
          </w14:textFill>
        </w:rPr>
        <w:t>当今世界正经历百年未有之大变局，全球新冠肺炎疫情带来了巨大影响，国际经济、政治、治理格局发生深刻变化，机遇和挑战都有新的发展变化。</w:t>
      </w:r>
    </w:p>
    <w:p>
      <w:pPr>
        <w:widowControl w:val="0"/>
        <w:adjustRightInd w:val="0"/>
        <w:snapToGrid w:val="0"/>
        <w:spacing w:after="0" w:line="560" w:lineRule="exact"/>
        <w:ind w:firstLine="680" w:firstLineChars="200"/>
        <w:jc w:val="both"/>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szCs w:val="32"/>
          <w14:textFill>
            <w14:solidFill>
              <w14:schemeClr w14:val="tx1"/>
            </w14:solidFill>
          </w14:textFill>
        </w:rPr>
        <w:t>从发展机遇上看</w:t>
      </w:r>
      <w:bookmarkStart w:id="10" w:name="_Hlk59363874"/>
      <w:bookmarkEnd w:id="10"/>
      <w:r>
        <w:rPr>
          <w:rFonts w:ascii="Times New Roman" w:hAnsi="Times New Roman" w:eastAsia="仿宋_GB2312"/>
          <w:color w:val="000000" w:themeColor="text1"/>
          <w:szCs w:val="32"/>
          <w14:textFill>
            <w14:solidFill>
              <w14:schemeClr w14:val="tx1"/>
            </w14:solidFill>
          </w14:textFill>
        </w:rPr>
        <w:t>，</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十四五</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时期，我国由高速增长转向高质量发展的战略导向不会改变，经济长期向好的基本面不会改变。黄河流域生态保护和高质量发展、中部崛起等国家战略的相继实施，许昌市加快推进</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智造之都、宜居之城</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建设，这些都</w:t>
      </w:r>
      <w:r>
        <w:rPr>
          <w:rFonts w:hint="eastAsia" w:ascii="Times New Roman" w:hAnsi="Times New Roman" w:eastAsia="仿宋_GB2312"/>
          <w:color w:val="000000" w:themeColor="text1"/>
          <w:szCs w:val="32"/>
          <w14:textFill>
            <w14:solidFill>
              <w14:schemeClr w14:val="tx1"/>
            </w14:solidFill>
          </w14:textFill>
        </w:rPr>
        <w:t>有</w:t>
      </w:r>
      <w:r>
        <w:rPr>
          <w:rFonts w:ascii="Times New Roman" w:hAnsi="Times New Roman" w:eastAsia="仿宋_GB2312"/>
          <w:color w:val="000000" w:themeColor="text1"/>
          <w:szCs w:val="32"/>
          <w14:textFill>
            <w14:solidFill>
              <w14:schemeClr w14:val="tx1"/>
            </w14:solidFill>
          </w14:textFill>
        </w:rPr>
        <w:t>利于我们接受更多辐射、享受更多红利，在新的起点乘势而上、大有作为。新一轮科技革命加速催化产业变革，</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数字经济</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赋能产业发展趋势明显，这些都有利于我区加快推进产业转型，培育高端制造、新材料、节能环保主导产业，实现增长动力的</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换挡升级</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w:t>
      </w:r>
    </w:p>
    <w:p>
      <w:pPr>
        <w:pStyle w:val="2"/>
        <w:widowControl w:val="0"/>
        <w:adjustRightInd w:val="0"/>
        <w:snapToGrid w:val="0"/>
        <w:spacing w:after="0"/>
        <w:ind w:firstLine="680" w:firstLineChars="200"/>
        <w:jc w:val="both"/>
        <w:rPr>
          <w:color w:val="000000" w:themeColor="text1"/>
          <w:szCs w:val="32"/>
          <w14:textFill>
            <w14:solidFill>
              <w14:schemeClr w14:val="tx1"/>
            </w14:solidFill>
          </w14:textFill>
        </w:rPr>
      </w:pPr>
      <w:r>
        <w:rPr>
          <w:color w:val="000000" w:themeColor="text1"/>
          <w:szCs w:val="32"/>
          <w14:textFill>
            <w14:solidFill>
              <w14:schemeClr w14:val="tx1"/>
            </w14:solidFill>
          </w14:textFill>
        </w:rPr>
        <w:t>从面临挑战上看，国内外发展环境更加错综复杂，不稳定</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不确定</w:t>
      </w:r>
      <w:r>
        <w:rPr>
          <w:rFonts w:hint="eastAsia"/>
          <w:color w:val="000000" w:themeColor="text1"/>
          <w:szCs w:val="32"/>
          <w14:textFill>
            <w14:solidFill>
              <w14:schemeClr w14:val="tx1"/>
            </w14:solidFill>
          </w14:textFill>
        </w:rPr>
        <w:t>因素</w:t>
      </w:r>
      <w:r>
        <w:rPr>
          <w:color w:val="000000" w:themeColor="text1"/>
          <w:szCs w:val="32"/>
          <w14:textFill>
            <w14:solidFill>
              <w14:schemeClr w14:val="tx1"/>
            </w14:solidFill>
          </w14:textFill>
        </w:rPr>
        <w:t>明显增加，我区发展也面临更多挑战。要素制约日趋紧张，发展空间受限的问题亟待解决。工业三大主导产业的链条还较短，引领作用、集群效应还不明显。服务业还主要以批发零售、住宿餐饮等传统行业为主，创意研发、工业设计、金融保险、中介服务等生产性服务业发展还较为滞后，与工业经济融合发展的程度不高。企业自主创新能力薄弱，研发投入不足，科技创新难以满足新常态下创新驱动发展的新要求。城中村（棚户区）改造的任务还十分繁重，承载发展的能力还有待提升。政府财政收入增速将进一步放缓，而群众对养老、教育、医疗等基本公共服务的需求将进一步提升，民生改善、民生保障任务非常艰巨。</w:t>
      </w:r>
    </w:p>
    <w:p>
      <w:pPr>
        <w:widowControl w:val="0"/>
        <w:autoSpaceDE w:val="0"/>
        <w:autoSpaceDN w:val="0"/>
        <w:adjustRightInd w:val="0"/>
        <w:snapToGrid w:val="0"/>
        <w:spacing w:after="0" w:line="560" w:lineRule="exact"/>
        <w:ind w:firstLine="680" w:firstLineChars="200"/>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综合研判，</w:t>
      </w:r>
      <w:r>
        <w:rPr>
          <w:rFonts w:hint="eastAsia" w:ascii="Times New Roman" w:hAnsi="Times New Roman" w:eastAsia="仿宋_GB2312"/>
          <w:color w:val="000000" w:themeColor="text1"/>
          <w14:textFill>
            <w14:solidFill>
              <w14:schemeClr w14:val="tx1"/>
            </w14:solidFill>
          </w14:textFill>
        </w:rPr>
        <w:t>“</w:t>
      </w:r>
      <w:r>
        <w:rPr>
          <w:rFonts w:ascii="Times New Roman" w:hAnsi="Times New Roman" w:eastAsia="仿宋_GB2312"/>
          <w:color w:val="000000" w:themeColor="text1"/>
          <w14:textFill>
            <w14:solidFill>
              <w14:schemeClr w14:val="tx1"/>
            </w14:solidFill>
          </w14:textFill>
        </w:rPr>
        <w:t>十四五</w:t>
      </w:r>
      <w:r>
        <w:rPr>
          <w:rFonts w:hint="eastAsia" w:ascii="Times New Roman" w:hAnsi="Times New Roman" w:eastAsia="仿宋_GB2312"/>
          <w:color w:val="000000" w:themeColor="text1"/>
          <w14:textFill>
            <w14:solidFill>
              <w14:schemeClr w14:val="tx1"/>
            </w14:solidFill>
          </w14:textFill>
        </w:rPr>
        <w:t>”</w:t>
      </w:r>
      <w:r>
        <w:rPr>
          <w:rFonts w:ascii="Times New Roman" w:hAnsi="Times New Roman" w:eastAsia="仿宋_GB2312"/>
          <w:color w:val="000000" w:themeColor="text1"/>
          <w14:textFill>
            <w14:solidFill>
              <w14:schemeClr w14:val="tx1"/>
            </w14:solidFill>
          </w14:textFill>
        </w:rPr>
        <w:t>时期国内外环境严峻，发展面临的挑战前所未有，疫情防控情况是最大变数。但我国经济潜力足、韧性强，我省和许昌市具有两大国家战略叠加效应，战略回旋空间大、政策工具多。同时，</w:t>
      </w:r>
      <w:r>
        <w:rPr>
          <w:rFonts w:hint="eastAsia" w:ascii="Times New Roman" w:hAnsi="Times New Roman" w:eastAsia="仿宋_GB2312"/>
          <w:color w:val="000000" w:themeColor="text1"/>
          <w14:textFill>
            <w14:solidFill>
              <w14:schemeClr w14:val="tx1"/>
            </w14:solidFill>
          </w14:textFill>
        </w:rPr>
        <w:t>“</w:t>
      </w:r>
      <w:r>
        <w:rPr>
          <w:rFonts w:ascii="Times New Roman" w:hAnsi="Times New Roman" w:eastAsia="仿宋_GB2312"/>
          <w:color w:val="000000" w:themeColor="text1"/>
          <w14:textFill>
            <w14:solidFill>
              <w14:schemeClr w14:val="tx1"/>
            </w14:solidFill>
          </w14:textFill>
        </w:rPr>
        <w:t>十三五</w:t>
      </w:r>
      <w:r>
        <w:rPr>
          <w:rFonts w:hint="eastAsia" w:ascii="Times New Roman" w:hAnsi="Times New Roman" w:eastAsia="仿宋_GB2312"/>
          <w:color w:val="000000" w:themeColor="text1"/>
          <w14:textFill>
            <w14:solidFill>
              <w14:schemeClr w14:val="tx1"/>
            </w14:solidFill>
          </w14:textFill>
        </w:rPr>
        <w:t>”</w:t>
      </w:r>
      <w:r>
        <w:rPr>
          <w:rFonts w:ascii="Times New Roman" w:hAnsi="Times New Roman" w:eastAsia="仿宋_GB2312"/>
          <w:color w:val="000000" w:themeColor="text1"/>
          <w14:textFill>
            <w14:solidFill>
              <w14:schemeClr w14:val="tx1"/>
            </w14:solidFill>
          </w14:textFill>
        </w:rPr>
        <w:t>魏都区的全面进步和不断转型，使全区经济社会结构具备较强的韧性和抗压能力，我们有基础、有能力抢抓机遇、应对挑战，</w:t>
      </w:r>
      <w:r>
        <w:rPr>
          <w:rFonts w:hint="eastAsia" w:ascii="Times New Roman" w:hAnsi="Times New Roman" w:eastAsia="仿宋_GB2312"/>
          <w:color w:val="000000" w:themeColor="text1"/>
          <w14:textFill>
            <w14:solidFill>
              <w14:schemeClr w14:val="tx1"/>
            </w14:solidFill>
          </w14:textFill>
        </w:rPr>
        <w:t>“</w:t>
      </w:r>
      <w:r>
        <w:rPr>
          <w:rFonts w:ascii="Times New Roman" w:hAnsi="Times New Roman" w:eastAsia="仿宋_GB2312"/>
          <w:color w:val="000000" w:themeColor="text1"/>
          <w14:textFill>
            <w14:solidFill>
              <w14:schemeClr w14:val="tx1"/>
            </w14:solidFill>
          </w14:textFill>
        </w:rPr>
        <w:t>十四五</w:t>
      </w:r>
      <w:r>
        <w:rPr>
          <w:rFonts w:hint="eastAsia" w:ascii="Times New Roman" w:hAnsi="Times New Roman" w:eastAsia="仿宋_GB2312"/>
          <w:color w:val="000000" w:themeColor="text1"/>
          <w14:textFill>
            <w14:solidFill>
              <w14:schemeClr w14:val="tx1"/>
            </w14:solidFill>
          </w14:textFill>
        </w:rPr>
        <w:t>”</w:t>
      </w:r>
      <w:r>
        <w:rPr>
          <w:rFonts w:ascii="Times New Roman" w:hAnsi="Times New Roman" w:eastAsia="仿宋_GB2312"/>
          <w:color w:val="000000" w:themeColor="text1"/>
          <w14:textFill>
            <w14:solidFill>
              <w14:schemeClr w14:val="tx1"/>
            </w14:solidFill>
          </w14:textFill>
        </w:rPr>
        <w:t>魏都区仍然大有可为。站在新的历史起点上，全区必须始终坚持发展第一要务，厚植发展优势，放大比较优势，在应对挑战中保持定力，在改革创新中释放活力，在重要领域和关键环节担当作为，率先探索新发展阶段下高质量发展新路径。</w:t>
      </w:r>
    </w:p>
    <w:p>
      <w:pPr>
        <w:pStyle w:val="2"/>
        <w:widowControl w:val="0"/>
        <w:adjustRightInd w:val="0"/>
        <w:snapToGrid w:val="0"/>
        <w:ind w:firstLine="340"/>
      </w:pPr>
    </w:p>
    <w:p>
      <w:pPr>
        <w:pStyle w:val="2"/>
        <w:widowControl w:val="0"/>
        <w:adjustRightInd w:val="0"/>
        <w:snapToGrid w:val="0"/>
        <w:ind w:firstLine="340"/>
      </w:pPr>
    </w:p>
    <w:p>
      <w:pPr>
        <w:pStyle w:val="2"/>
        <w:widowControl w:val="0"/>
        <w:adjustRightInd w:val="0"/>
        <w:snapToGrid w:val="0"/>
        <w:ind w:firstLine="340"/>
      </w:pPr>
    </w:p>
    <w:p>
      <w:pPr>
        <w:pStyle w:val="2"/>
        <w:widowControl w:val="0"/>
        <w:adjustRightInd w:val="0"/>
        <w:snapToGrid w:val="0"/>
        <w:ind w:firstLine="340"/>
      </w:pPr>
    </w:p>
    <w:p>
      <w:pPr>
        <w:pStyle w:val="4"/>
        <w:keepNext w:val="0"/>
        <w:keepLines w:val="0"/>
        <w:widowControl w:val="0"/>
        <w:adjustRightInd w:val="0"/>
        <w:snapToGrid w:val="0"/>
        <w:spacing w:after="0" w:line="600" w:lineRule="exact"/>
      </w:pPr>
      <w:bookmarkStart w:id="11" w:name="_Toc28158"/>
      <w:bookmarkStart w:id="12" w:name="_Toc28313"/>
      <w:bookmarkStart w:id="13" w:name="_Toc11058"/>
      <w:bookmarkStart w:id="14" w:name="_Toc26924"/>
      <w:r>
        <w:t>第二章  未来五年发展蓝图和</w:t>
      </w:r>
      <w:bookmarkEnd w:id="11"/>
    </w:p>
    <w:p>
      <w:pPr>
        <w:pStyle w:val="4"/>
        <w:keepNext w:val="0"/>
        <w:keepLines w:val="0"/>
        <w:widowControl w:val="0"/>
        <w:adjustRightInd w:val="0"/>
        <w:snapToGrid w:val="0"/>
        <w:spacing w:after="0" w:line="600" w:lineRule="exact"/>
      </w:pPr>
      <w:bookmarkStart w:id="15" w:name="_Toc14479"/>
      <w:r>
        <w:rPr>
          <w:rFonts w:hint="eastAsia" w:ascii="Times New Roman" w:hAnsi="Times New Roman"/>
        </w:rPr>
        <w:t>二〇三五</w:t>
      </w:r>
      <w:r>
        <w:t>年远景目标</w:t>
      </w:r>
      <w:bookmarkEnd w:id="12"/>
      <w:bookmarkEnd w:id="13"/>
      <w:bookmarkEnd w:id="14"/>
      <w:bookmarkEnd w:id="15"/>
    </w:p>
    <w:p>
      <w:pPr>
        <w:widowControl w:val="0"/>
        <w:adjustRightInd w:val="0"/>
        <w:snapToGrid w:val="0"/>
        <w:spacing w:after="0" w:line="560" w:lineRule="exact"/>
        <w:jc w:val="both"/>
        <w:rPr>
          <w:rFonts w:ascii="Times New Roman" w:hAnsi="Times New Roman" w:eastAsia="仿宋"/>
          <w:color w:val="000000" w:themeColor="text1"/>
          <w:szCs w:val="32"/>
          <w14:textFill>
            <w14:solidFill>
              <w14:schemeClr w14:val="tx1"/>
            </w14:solidFill>
          </w14:textFill>
        </w:rPr>
      </w:pPr>
    </w:p>
    <w:p>
      <w:pPr>
        <w:widowControl w:val="0"/>
        <w:adjustRightInd w:val="0"/>
        <w:snapToGrid w:val="0"/>
        <w:spacing w:after="0" w:line="560" w:lineRule="exact"/>
        <w:ind w:firstLine="680" w:firstLineChars="200"/>
        <w:jc w:val="both"/>
        <w:rPr>
          <w:rFonts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按照党的十九大确定的全面建设社会主义现代化国家两个阶段的战略安排，体现高质量发展要求和以人民为中心的发展思想，凝聚推进合力，实现高质量跨越式发展。</w:t>
      </w:r>
    </w:p>
    <w:p>
      <w:pPr>
        <w:pStyle w:val="5"/>
        <w:keepNext w:val="0"/>
        <w:keepLines w:val="0"/>
        <w:widowControl w:val="0"/>
        <w:adjustRightInd w:val="0"/>
        <w:snapToGrid w:val="0"/>
        <w:spacing w:before="297" w:beforeLines="50" w:after="297" w:afterLines="50" w:line="560" w:lineRule="exact"/>
        <w:ind w:firstLine="0" w:firstLineChars="0"/>
      </w:pPr>
      <w:bookmarkStart w:id="16" w:name="_Toc1095"/>
      <w:bookmarkStart w:id="17" w:name="_Toc9456"/>
      <w:r>
        <w:t>第一节  指导思想</w:t>
      </w:r>
      <w:bookmarkEnd w:id="16"/>
      <w:bookmarkEnd w:id="17"/>
    </w:p>
    <w:p>
      <w:pPr>
        <w:pStyle w:val="2"/>
        <w:widowControl w:val="0"/>
        <w:adjustRightInd w:val="0"/>
        <w:snapToGrid w:val="0"/>
        <w:spacing w:after="0"/>
        <w:ind w:firstLine="680" w:firstLineChars="200"/>
        <w:jc w:val="both"/>
        <w:rPr>
          <w:color w:val="000000" w:themeColor="text1"/>
          <w:szCs w:val="32"/>
          <w14:textFill>
            <w14:solidFill>
              <w14:schemeClr w14:val="tx1"/>
            </w14:solidFill>
          </w14:textFill>
        </w:rPr>
      </w:pPr>
      <w:bookmarkStart w:id="18" w:name="_Toc20347"/>
      <w:r>
        <w:rPr>
          <w:color w:val="000000" w:themeColor="text1"/>
          <w14:textFill>
            <w14:solidFill>
              <w14:schemeClr w14:val="tx1"/>
            </w14:solidFill>
          </w14:textFill>
        </w:rPr>
        <w:t>以习近平新时代中国特色社会主义思想为指导，全面贯彻党的十九大和十九届二中、三中、四中、五中全会精神，全面贯彻党的基本理论、基本路线、基本方略，统筹推进</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五位一体</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总体布局，协调推进</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四个全面</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战略布局，坚定不移贯彻新发展理念，坚持稳中求进总基调，以推动高质量发展为主题，以深化供给侧改革为主线，以改革创新为根本动力，以满</w:t>
      </w:r>
      <w:r>
        <w:rPr>
          <w:color w:val="000000" w:themeColor="text1"/>
          <w:spacing w:val="-2"/>
          <w14:textFill>
            <w14:solidFill>
              <w14:schemeClr w14:val="tx1"/>
            </w14:solidFill>
          </w14:textFill>
        </w:rPr>
        <w:t>足人民群众日益增长的美好生活需求为根本目的，统筹发展和安全，强力推进产业兴区、创新强区、富民安区，加快建设现代化魏都，</w:t>
      </w:r>
      <w:r>
        <w:rPr>
          <w:color w:val="000000" w:themeColor="text1"/>
          <w:spacing w:val="-2"/>
          <w:szCs w:val="32"/>
          <w14:textFill>
            <w14:solidFill>
              <w14:schemeClr w14:val="tx1"/>
            </w14:solidFill>
          </w14:textFill>
        </w:rPr>
        <w:t>为谱写新时代中原更加出彩的绚丽篇章作出新贡献。</w:t>
      </w:r>
    </w:p>
    <w:p>
      <w:pPr>
        <w:pStyle w:val="5"/>
        <w:keepNext w:val="0"/>
        <w:keepLines w:val="0"/>
        <w:widowControl w:val="0"/>
        <w:adjustRightInd w:val="0"/>
        <w:snapToGrid w:val="0"/>
        <w:spacing w:before="297" w:beforeLines="50" w:after="297" w:afterLines="50" w:line="560" w:lineRule="exact"/>
        <w:ind w:firstLine="0" w:firstLineChars="0"/>
      </w:pPr>
      <w:bookmarkStart w:id="19" w:name="_Toc18689"/>
      <w:r>
        <w:t>第二节  发展定位</w:t>
      </w:r>
      <w:bookmarkEnd w:id="18"/>
      <w:bookmarkEnd w:id="19"/>
    </w:p>
    <w:p>
      <w:pPr>
        <w:widowControl w:val="0"/>
        <w:adjustRightInd w:val="0"/>
        <w:snapToGrid w:val="0"/>
        <w:spacing w:after="0" w:line="560" w:lineRule="exact"/>
        <w:ind w:firstLine="680" w:firstLineChars="200"/>
        <w:rPr>
          <w:rFonts w:ascii="Times New Roman" w:hAnsi="Times New Roman" w:eastAsia="仿宋_GB2312"/>
          <w:color w:val="000000" w:themeColor="text1"/>
          <w:szCs w:val="32"/>
          <w14:textFill>
            <w14:solidFill>
              <w14:schemeClr w14:val="tx1"/>
            </w14:solidFill>
          </w14:textFill>
        </w:rPr>
      </w:pPr>
      <w:r>
        <w:rPr>
          <w:rFonts w:ascii="Times New Roman" w:hAnsi="Times New Roman" w:eastAsia="仿宋_GB2312"/>
          <w:color w:val="000000" w:themeColor="text1"/>
          <w:szCs w:val="32"/>
          <w14:textFill>
            <w14:solidFill>
              <w14:schemeClr w14:val="tx1"/>
            </w14:solidFill>
          </w14:textFill>
        </w:rPr>
        <w:t>按照区委</w:t>
      </w:r>
      <w:r>
        <w:rPr>
          <w:rFonts w:hint="eastAsia" w:ascii="Times New Roman" w:hAnsi="Times New Roman" w:eastAsia="仿宋_GB2312"/>
          <w:color w:val="000000" w:themeColor="text1"/>
          <w:szCs w:val="32"/>
          <w:lang w:val="en"/>
          <w14:textFill>
            <w14:solidFill>
              <w14:schemeClr w14:val="tx1"/>
            </w14:solidFill>
          </w14:textFill>
        </w:rPr>
        <w:t>“</w:t>
      </w:r>
      <w:r>
        <w:rPr>
          <w:rFonts w:ascii="Times New Roman" w:hAnsi="Times New Roman" w:eastAsia="仿宋_GB2312"/>
          <w:color w:val="000000" w:themeColor="text1"/>
          <w:szCs w:val="32"/>
          <w:lang w:val="en"/>
          <w14:textFill>
            <w14:solidFill>
              <w14:schemeClr w14:val="tx1"/>
            </w14:solidFill>
          </w14:textFill>
        </w:rPr>
        <w:t>产业兴区、创新强区、富民安区</w:t>
      </w:r>
      <w:r>
        <w:rPr>
          <w:rFonts w:hint="eastAsia" w:ascii="Times New Roman" w:hAnsi="Times New Roman" w:eastAsia="仿宋_GB2312"/>
          <w:color w:val="000000" w:themeColor="text1"/>
          <w:szCs w:val="32"/>
          <w:lang w:val="en"/>
          <w14:textFill>
            <w14:solidFill>
              <w14:schemeClr w14:val="tx1"/>
            </w14:solidFill>
          </w14:textFill>
        </w:rPr>
        <w:t>”</w:t>
      </w:r>
      <w:r>
        <w:rPr>
          <w:rFonts w:ascii="Times New Roman" w:hAnsi="Times New Roman" w:eastAsia="仿宋_GB2312"/>
          <w:color w:val="000000" w:themeColor="text1"/>
          <w:szCs w:val="32"/>
          <w:lang w:val="en"/>
          <w14:textFill>
            <w14:solidFill>
              <w14:schemeClr w14:val="tx1"/>
            </w14:solidFill>
          </w14:textFill>
        </w:rPr>
        <w:t>发展思路</w:t>
      </w:r>
      <w:r>
        <w:rPr>
          <w:rFonts w:ascii="Times New Roman" w:hAnsi="Times New Roman" w:eastAsia="仿宋_GB2312"/>
          <w:color w:val="000000" w:themeColor="text1"/>
          <w:szCs w:val="32"/>
          <w14:textFill>
            <w14:solidFill>
              <w14:schemeClr w14:val="tx1"/>
            </w14:solidFill>
          </w14:textFill>
        </w:rPr>
        <w:t>，综合考虑综合实力、发展基础、政策机遇和发展潜力，提出</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十四五</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时期我区的发展定位：</w:t>
      </w:r>
    </w:p>
    <w:p>
      <w:pPr>
        <w:widowControl w:val="0"/>
        <w:adjustRightInd w:val="0"/>
        <w:snapToGrid w:val="0"/>
        <w:spacing w:after="0" w:line="540" w:lineRule="exact"/>
        <w:ind w:firstLine="680" w:firstLineChars="200"/>
        <w:rPr>
          <w:rFonts w:ascii="Times New Roman" w:hAnsi="Times New Roman" w:eastAsia="仿宋_GB2312"/>
          <w:color w:val="000000" w:themeColor="text1"/>
          <w:szCs w:val="32"/>
          <w14:textFill>
            <w14:solidFill>
              <w14:schemeClr w14:val="tx1"/>
            </w14:solidFill>
          </w14:textFill>
        </w:rPr>
      </w:pPr>
      <w:r>
        <w:rPr>
          <w:rFonts w:ascii="楷体_GB2312" w:hAnsi="楷体_GB2312" w:eastAsia="楷体_GB2312" w:cs="楷体_GB2312"/>
          <w:b/>
          <w:bCs/>
          <w:color w:val="000000" w:themeColor="text1"/>
          <w:kern w:val="2"/>
          <w:szCs w:val="32"/>
          <w14:textFill>
            <w14:solidFill>
              <w14:schemeClr w14:val="tx1"/>
            </w14:solidFill>
          </w14:textFill>
        </w:rPr>
        <w:t>——高质量发展示范区。</w:t>
      </w:r>
      <w:r>
        <w:rPr>
          <w:rFonts w:ascii="Times New Roman" w:hAnsi="Times New Roman" w:eastAsia="仿宋_GB2312"/>
          <w:color w:val="000000" w:themeColor="text1"/>
          <w:szCs w:val="32"/>
          <w14:textFill>
            <w14:solidFill>
              <w14:schemeClr w14:val="tx1"/>
            </w14:solidFill>
          </w14:textFill>
        </w:rPr>
        <w:t>对标国家、省和市关于高质量发展的目标要求，</w:t>
      </w:r>
      <w:bookmarkStart w:id="20" w:name="_Hlk55774569"/>
      <w:r>
        <w:rPr>
          <w:rFonts w:ascii="Times New Roman" w:hAnsi="Times New Roman" w:eastAsia="仿宋_GB2312"/>
          <w:color w:val="000000" w:themeColor="text1"/>
          <w:szCs w:val="32"/>
          <w14:textFill>
            <w14:solidFill>
              <w14:schemeClr w14:val="tx1"/>
            </w14:solidFill>
          </w14:textFill>
        </w:rPr>
        <w:t>把产业支撑作用放在更加突出的位置，积极抢抓国内、国际产业转移新机遇，持续引进、培育</w:t>
      </w:r>
      <w:bookmarkStart w:id="21" w:name="_Hlk58216617"/>
      <w:r>
        <w:rPr>
          <w:rFonts w:ascii="Times New Roman" w:hAnsi="Times New Roman" w:eastAsia="仿宋_GB2312"/>
          <w:color w:val="000000" w:themeColor="text1"/>
          <w:szCs w:val="32"/>
          <w14:textFill>
            <w14:solidFill>
              <w14:schemeClr w14:val="tx1"/>
            </w14:solidFill>
          </w14:textFill>
        </w:rPr>
        <w:t>和壮大高端制造、新材料、节能环保</w:t>
      </w:r>
      <w:bookmarkEnd w:id="20"/>
      <w:r>
        <w:rPr>
          <w:rFonts w:ascii="Times New Roman" w:hAnsi="Times New Roman" w:eastAsia="仿宋_GB2312"/>
          <w:color w:val="000000" w:themeColor="text1"/>
          <w:szCs w:val="32"/>
          <w14:textFill>
            <w14:solidFill>
              <w14:schemeClr w14:val="tx1"/>
            </w14:solidFill>
          </w14:textFill>
        </w:rPr>
        <w:t>三大主导产业，积极推动数字赋能实体经济升级</w:t>
      </w:r>
      <w:bookmarkEnd w:id="21"/>
      <w:r>
        <w:rPr>
          <w:rFonts w:ascii="Times New Roman" w:hAnsi="Times New Roman" w:eastAsia="仿宋_GB2312"/>
          <w:color w:val="000000" w:themeColor="text1"/>
          <w:szCs w:val="32"/>
          <w14:textFill>
            <w14:solidFill>
              <w14:schemeClr w14:val="tx1"/>
            </w14:solidFill>
          </w14:textFill>
        </w:rPr>
        <w:t>；以党的建设高质量引领带动全区经济发展、社会治理、文化建设、生态保护的高质量，成为全市高质量发展的示范区。</w:t>
      </w:r>
    </w:p>
    <w:p>
      <w:pPr>
        <w:widowControl w:val="0"/>
        <w:adjustRightInd w:val="0"/>
        <w:snapToGrid w:val="0"/>
        <w:spacing w:after="0" w:line="540" w:lineRule="exact"/>
        <w:ind w:firstLine="680" w:firstLineChars="200"/>
        <w:jc w:val="both"/>
        <w:rPr>
          <w:rFonts w:ascii="Times New Roman" w:hAnsi="Times New Roman" w:eastAsia="仿宋_GB2312"/>
          <w:color w:val="000000" w:themeColor="text1"/>
          <w:szCs w:val="32"/>
          <w14:textFill>
            <w14:solidFill>
              <w14:schemeClr w14:val="tx1"/>
            </w14:solidFill>
          </w14:textFill>
        </w:rPr>
      </w:pPr>
      <w:r>
        <w:rPr>
          <w:rFonts w:ascii="楷体_GB2312" w:hAnsi="楷体_GB2312" w:eastAsia="楷体_GB2312" w:cs="楷体_GB2312"/>
          <w:b/>
          <w:bCs/>
          <w:color w:val="000000" w:themeColor="text1"/>
          <w:kern w:val="2"/>
          <w:szCs w:val="32"/>
          <w14:textFill>
            <w14:solidFill>
              <w14:schemeClr w14:val="tx1"/>
            </w14:solidFill>
          </w14:textFill>
        </w:rPr>
        <w:t>——改革创新活力区。</w:t>
      </w:r>
      <w:r>
        <w:rPr>
          <w:rFonts w:ascii="Times New Roman" w:hAnsi="Times New Roman" w:eastAsia="仿宋_GB2312"/>
          <w:color w:val="000000" w:themeColor="text1"/>
          <w:szCs w:val="32"/>
          <w14:textFill>
            <w14:solidFill>
              <w14:schemeClr w14:val="tx1"/>
            </w14:solidFill>
          </w14:textFill>
        </w:rPr>
        <w:t>抢抓国家新一轮创新改革试验机遇，持续深化投融资等重点领域、关键环节改革，加快建设高标准市场体系，推动</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有效市场</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和</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有为政府</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有机结合，营商环境走在全市前列。加快完善综合创新生态体系，增强企业自主创新能力，激发全社会</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双创</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潜力，打造全省改革发展活力区。</w:t>
      </w:r>
    </w:p>
    <w:p>
      <w:pPr>
        <w:widowControl w:val="0"/>
        <w:adjustRightInd w:val="0"/>
        <w:snapToGrid w:val="0"/>
        <w:spacing w:after="0" w:line="540" w:lineRule="exact"/>
        <w:ind w:firstLine="680" w:firstLineChars="200"/>
        <w:rPr>
          <w:rFonts w:ascii="Times New Roman" w:hAnsi="Times New Roman" w:eastAsia="仿宋_GB2312"/>
          <w:color w:val="000000" w:themeColor="text1"/>
          <w:szCs w:val="32"/>
          <w14:textFill>
            <w14:solidFill>
              <w14:schemeClr w14:val="tx1"/>
            </w14:solidFill>
          </w14:textFill>
        </w:rPr>
      </w:pPr>
      <w:bookmarkStart w:id="22" w:name="_Hlk58209979"/>
      <w:r>
        <w:rPr>
          <w:rFonts w:ascii="楷体_GB2312" w:hAnsi="楷体_GB2312" w:eastAsia="楷体_GB2312" w:cs="楷体_GB2312"/>
          <w:b/>
          <w:bCs/>
          <w:color w:val="000000" w:themeColor="text1"/>
          <w:kern w:val="2"/>
          <w:szCs w:val="32"/>
          <w14:textFill>
            <w14:solidFill>
              <w14:schemeClr w14:val="tx1"/>
            </w14:solidFill>
          </w14:textFill>
        </w:rPr>
        <w:t>——美丽和谐宜居区</w:t>
      </w:r>
      <w:bookmarkEnd w:id="22"/>
      <w:r>
        <w:rPr>
          <w:rFonts w:ascii="楷体_GB2312" w:hAnsi="楷体_GB2312" w:eastAsia="楷体_GB2312" w:cs="楷体_GB2312"/>
          <w:b/>
          <w:bCs/>
          <w:color w:val="000000" w:themeColor="text1"/>
          <w:kern w:val="2"/>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抓牢国家级城乡融合发展试验区建设的重大机遇，高标准规划、高质量推进</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双创宜居示范区</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建设。坚持绿色、低碳和循环发展理念，持续优化生态环境，健全生态治理现代化体系，巩固创建工作在全市的领先地位。积极创建</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全国社区治理和服务创新试验区</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，推进社会治理能力和水平向更高层次迈进。不断优化教育、医疗、养老等公共资源供给，建设更加美丽、和谐、宜居的新魏都。</w:t>
      </w:r>
    </w:p>
    <w:p>
      <w:pPr>
        <w:pStyle w:val="5"/>
        <w:keepNext w:val="0"/>
        <w:keepLines w:val="0"/>
        <w:widowControl w:val="0"/>
        <w:adjustRightInd w:val="0"/>
        <w:snapToGrid w:val="0"/>
        <w:spacing w:before="297" w:beforeLines="50" w:after="297" w:afterLines="50" w:line="540" w:lineRule="exact"/>
        <w:ind w:firstLine="0" w:firstLineChars="0"/>
      </w:pPr>
      <w:bookmarkStart w:id="23" w:name="_Toc32082"/>
      <w:bookmarkStart w:id="24" w:name="_Toc30951"/>
      <w:r>
        <w:t>第三节  基本原则</w:t>
      </w:r>
      <w:bookmarkEnd w:id="23"/>
      <w:bookmarkEnd w:id="24"/>
    </w:p>
    <w:p>
      <w:pPr>
        <w:pStyle w:val="2"/>
        <w:widowControl w:val="0"/>
        <w:adjustRightInd w:val="0"/>
        <w:snapToGrid w:val="0"/>
        <w:spacing w:after="0" w:line="540" w:lineRule="exact"/>
        <w:ind w:firstLine="680" w:firstLineChars="200"/>
        <w:rPr>
          <w:color w:val="000000" w:themeColor="text1"/>
          <w14:textFill>
            <w14:solidFill>
              <w14:schemeClr w14:val="tx1"/>
            </w14:solidFill>
          </w14:textFill>
        </w:rPr>
      </w:pPr>
      <w:r>
        <w:rPr>
          <w:color w:val="000000" w:themeColor="text1"/>
          <w14:textFill>
            <w14:solidFill>
              <w14:schemeClr w14:val="tx1"/>
            </w14:solidFill>
          </w14:textFill>
        </w:rPr>
        <w:t>实现上述发展定位，必须遵循以下基本原则：</w:t>
      </w:r>
    </w:p>
    <w:p>
      <w:pPr>
        <w:widowControl w:val="0"/>
        <w:adjustRightInd w:val="0"/>
        <w:snapToGrid w:val="0"/>
        <w:spacing w:after="0" w:line="540" w:lineRule="exact"/>
        <w:ind w:firstLine="680" w:firstLineChars="200"/>
        <w:rPr>
          <w:rFonts w:ascii="Times New Roman" w:hAnsi="Times New Roman" w:eastAsia="仿宋_GB2312"/>
          <w:color w:val="000000" w:themeColor="text1"/>
          <w:szCs w:val="32"/>
          <w14:textFill>
            <w14:solidFill>
              <w14:schemeClr w14:val="tx1"/>
            </w14:solidFill>
          </w14:textFill>
        </w:rPr>
      </w:pPr>
      <w:bookmarkStart w:id="25" w:name="_Toc48893429"/>
      <w:bookmarkStart w:id="26" w:name="_Toc26854"/>
      <w:bookmarkStart w:id="27" w:name="_Toc57637216"/>
      <w:bookmarkStart w:id="28" w:name="_Toc57626907"/>
      <w:r>
        <w:rPr>
          <w:rFonts w:ascii="楷体_GB2312" w:hAnsi="楷体_GB2312" w:eastAsia="楷体_GB2312" w:cs="楷体_GB2312"/>
          <w:b/>
          <w:bCs/>
          <w:color w:val="000000" w:themeColor="text1"/>
          <w:kern w:val="2"/>
          <w:szCs w:val="32"/>
          <w14:textFill>
            <w14:solidFill>
              <w14:schemeClr w14:val="tx1"/>
            </w14:solidFill>
          </w14:textFill>
        </w:rPr>
        <w:t>坚持党的全面领导。</w:t>
      </w:r>
      <w:r>
        <w:rPr>
          <w:rFonts w:ascii="Times New Roman" w:hAnsi="Times New Roman" w:eastAsia="仿宋_GB2312"/>
          <w:color w:val="000000" w:themeColor="text1"/>
          <w:szCs w:val="32"/>
          <w14:textFill>
            <w14:solidFill>
              <w14:schemeClr w14:val="tx1"/>
            </w14:solidFill>
          </w14:textFill>
        </w:rPr>
        <w:t>加强党对经济社会发展的全面领导，增强</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四个意识</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、坚定</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四个自信</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、做到</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两个维护</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，引导全区上下凝聚共识、汇聚力量，为实现高质量发展提供坚实保障。</w:t>
      </w:r>
    </w:p>
    <w:p>
      <w:pPr>
        <w:pStyle w:val="2"/>
        <w:widowControl w:val="0"/>
        <w:adjustRightInd w:val="0"/>
        <w:snapToGrid w:val="0"/>
        <w:spacing w:after="0"/>
        <w:ind w:firstLine="680" w:firstLineChars="200"/>
        <w:rPr>
          <w:color w:val="000000" w:themeColor="text1"/>
          <w:szCs w:val="32"/>
          <w14:textFill>
            <w14:solidFill>
              <w14:schemeClr w14:val="tx1"/>
            </w14:solidFill>
          </w14:textFill>
        </w:rPr>
      </w:pPr>
      <w:r>
        <w:rPr>
          <w:rFonts w:ascii="楷体_GB2312" w:hAnsi="楷体_GB2312" w:eastAsia="楷体_GB2312" w:cs="楷体_GB2312"/>
          <w:b/>
          <w:bCs/>
          <w:color w:val="000000" w:themeColor="text1"/>
          <w:kern w:val="2"/>
          <w:szCs w:val="32"/>
          <w14:textFill>
            <w14:solidFill>
              <w14:schemeClr w14:val="tx1"/>
            </w14:solidFill>
          </w14:textFill>
        </w:rPr>
        <w:t>坚持以人民为中心。</w:t>
      </w:r>
      <w:r>
        <w:rPr>
          <w:color w:val="000000" w:themeColor="text1"/>
          <w:szCs w:val="32"/>
          <w14:textFill>
            <w14:solidFill>
              <w14:schemeClr w14:val="tx1"/>
            </w14:solidFill>
          </w14:textFill>
        </w:rPr>
        <w:t>坚持人民主体地位，坚持共同富裕方向，始终做到发展为了人民、发展依靠人民、发展成果由人民共享，维护人民根本利益，激发全体人民积极性、主动性、创造性，促进社会公平，增进民生福祉，不断实现人民对美好生活的向往。</w:t>
      </w:r>
    </w:p>
    <w:p>
      <w:pPr>
        <w:pStyle w:val="2"/>
        <w:widowControl w:val="0"/>
        <w:adjustRightInd w:val="0"/>
        <w:snapToGrid w:val="0"/>
        <w:spacing w:after="0"/>
        <w:ind w:firstLine="680" w:firstLineChars="200"/>
        <w:rPr>
          <w:color w:val="000000" w:themeColor="text1"/>
          <w:szCs w:val="32"/>
          <w14:textFill>
            <w14:solidFill>
              <w14:schemeClr w14:val="tx1"/>
            </w14:solidFill>
          </w14:textFill>
        </w:rPr>
      </w:pPr>
      <w:r>
        <w:rPr>
          <w:rFonts w:ascii="楷体_GB2312" w:hAnsi="楷体_GB2312" w:eastAsia="楷体_GB2312" w:cs="楷体_GB2312"/>
          <w:b/>
          <w:bCs/>
          <w:color w:val="000000" w:themeColor="text1"/>
          <w:kern w:val="2"/>
          <w:szCs w:val="32"/>
          <w14:textFill>
            <w14:solidFill>
              <w14:schemeClr w14:val="tx1"/>
            </w14:solidFill>
          </w14:textFill>
        </w:rPr>
        <w:t>坚持新发展理念。</w:t>
      </w:r>
      <w:r>
        <w:rPr>
          <w:color w:val="000000" w:themeColor="text1"/>
          <w:szCs w:val="32"/>
          <w14:textFill>
            <w14:solidFill>
              <w14:schemeClr w14:val="tx1"/>
            </w14:solidFill>
          </w14:textFill>
        </w:rPr>
        <w:t>把新发展理念贯穿发展全过程和各领域，构建新发展格局，切实转变发展方式，推动质量变革、效率变革、动力变革，实现更高质量、更有效率、更加公平、更可持续、更为安全的发展。</w:t>
      </w:r>
    </w:p>
    <w:p>
      <w:pPr>
        <w:pStyle w:val="2"/>
        <w:widowControl w:val="0"/>
        <w:adjustRightInd w:val="0"/>
        <w:snapToGrid w:val="0"/>
        <w:spacing w:after="0"/>
        <w:ind w:firstLine="680" w:firstLineChars="200"/>
        <w:rPr>
          <w:color w:val="000000" w:themeColor="text1"/>
          <w:szCs w:val="32"/>
          <w14:textFill>
            <w14:solidFill>
              <w14:schemeClr w14:val="tx1"/>
            </w14:solidFill>
          </w14:textFill>
        </w:rPr>
      </w:pPr>
      <w:r>
        <w:rPr>
          <w:rFonts w:ascii="楷体_GB2312" w:hAnsi="楷体_GB2312" w:eastAsia="楷体_GB2312" w:cs="楷体_GB2312"/>
          <w:b/>
          <w:bCs/>
          <w:color w:val="000000" w:themeColor="text1"/>
          <w:kern w:val="2"/>
          <w:szCs w:val="32"/>
          <w14:textFill>
            <w14:solidFill>
              <w14:schemeClr w14:val="tx1"/>
            </w14:solidFill>
          </w14:textFill>
        </w:rPr>
        <w:t>坚持系统观念。</w:t>
      </w:r>
      <w:r>
        <w:rPr>
          <w:color w:val="000000" w:themeColor="text1"/>
          <w:szCs w:val="32"/>
          <w14:textFill>
            <w14:solidFill>
              <w14:schemeClr w14:val="tx1"/>
            </w14:solidFill>
          </w14:textFill>
        </w:rPr>
        <w:t>加强前瞻性思考、全局性谋划、战略性布局、整体性推进，办好发展安全两件大事，更好的发挥各方面积极性，着力固根基、扬优势、补短板、强弱项，注重防范化解重大风险挑战，实现发展质量、结构、规模、速度</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效益、安全相统一。</w:t>
      </w:r>
    </w:p>
    <w:p>
      <w:pPr>
        <w:pStyle w:val="2"/>
        <w:widowControl w:val="0"/>
        <w:adjustRightInd w:val="0"/>
        <w:snapToGrid w:val="0"/>
        <w:spacing w:after="0"/>
        <w:ind w:firstLine="680" w:firstLineChars="200"/>
        <w:rPr>
          <w:color w:val="000000" w:themeColor="text1"/>
          <w:szCs w:val="32"/>
          <w14:textFill>
            <w14:solidFill>
              <w14:schemeClr w14:val="tx1"/>
            </w14:solidFill>
          </w14:textFill>
        </w:rPr>
      </w:pPr>
      <w:r>
        <w:rPr>
          <w:rFonts w:ascii="楷体_GB2312" w:hAnsi="楷体_GB2312" w:eastAsia="楷体_GB2312" w:cs="楷体_GB2312"/>
          <w:b/>
          <w:bCs/>
          <w:color w:val="000000" w:themeColor="text1"/>
          <w:kern w:val="2"/>
          <w:szCs w:val="32"/>
          <w14:textFill>
            <w14:solidFill>
              <w14:schemeClr w14:val="tx1"/>
            </w14:solidFill>
          </w14:textFill>
        </w:rPr>
        <w:t>坚持融入新发展格局。</w:t>
      </w:r>
      <w:r>
        <w:rPr>
          <w:color w:val="000000" w:themeColor="text1"/>
          <w:szCs w:val="32"/>
          <w14:textFill>
            <w14:solidFill>
              <w14:schemeClr w14:val="tx1"/>
            </w14:solidFill>
          </w14:textFill>
        </w:rPr>
        <w:t>立足双循环，把握发展大势，找准角色定位，发挥比较优势，着力打通生产、分配、流通、消费各个环节，充分利用国内国际两个市场、两种资源，主动服务和深度融入中部崛起、郑州大都市区建设、黄河流域生态保护和高质量发展等国家战略，积极探索融入新发展格局的有效路径，在服务全市全省全国构建新发展格局中展现更大作为。</w:t>
      </w:r>
    </w:p>
    <w:p>
      <w:pPr>
        <w:pStyle w:val="2"/>
        <w:widowControl w:val="0"/>
        <w:adjustRightInd w:val="0"/>
        <w:snapToGrid w:val="0"/>
        <w:spacing w:after="0"/>
        <w:ind w:firstLine="680" w:firstLineChars="200"/>
        <w:jc w:val="both"/>
        <w:rPr>
          <w:color w:val="000000" w:themeColor="text1"/>
          <w:szCs w:val="32"/>
          <w14:textFill>
            <w14:solidFill>
              <w14:schemeClr w14:val="tx1"/>
            </w14:solidFill>
          </w14:textFill>
        </w:rPr>
      </w:pPr>
      <w:r>
        <w:rPr>
          <w:rFonts w:ascii="楷体_GB2312" w:hAnsi="楷体_GB2312" w:eastAsia="楷体_GB2312" w:cs="楷体_GB2312"/>
          <w:b/>
          <w:bCs/>
          <w:color w:val="000000" w:themeColor="text1"/>
          <w:kern w:val="2"/>
          <w:szCs w:val="32"/>
          <w14:textFill>
            <w14:solidFill>
              <w14:schemeClr w14:val="tx1"/>
            </w14:solidFill>
          </w14:textFill>
        </w:rPr>
        <w:t>坚持求真务实。</w:t>
      </w:r>
      <w:r>
        <w:rPr>
          <w:color w:val="000000" w:themeColor="text1"/>
          <w:szCs w:val="32"/>
          <w14:textFill>
            <w14:solidFill>
              <w14:schemeClr w14:val="tx1"/>
            </w14:solidFill>
          </w14:textFill>
        </w:rPr>
        <w:t>把求真务实贯穿于工作落实全过程，作</w:t>
      </w:r>
      <w:r>
        <w:rPr>
          <w:color w:val="000000" w:themeColor="text1"/>
          <w:spacing w:val="3"/>
          <w:szCs w:val="32"/>
          <w14:textFill>
            <w14:solidFill>
              <w14:schemeClr w14:val="tx1"/>
            </w14:solidFill>
          </w14:textFill>
        </w:rPr>
        <w:t>决策必须立足区情，从实际出发，切实发扬钉钉子的精神，</w:t>
      </w:r>
      <w:r>
        <w:rPr>
          <w:color w:val="000000" w:themeColor="text1"/>
          <w:szCs w:val="32"/>
          <w14:textFill>
            <w14:solidFill>
              <w14:schemeClr w14:val="tx1"/>
            </w14:solidFill>
          </w14:textFill>
        </w:rPr>
        <w:t>抓具体、具体抓，推动工作目标计划落到实处，取得实效。</w:t>
      </w:r>
    </w:p>
    <w:p>
      <w:pPr>
        <w:pStyle w:val="5"/>
        <w:keepNext w:val="0"/>
        <w:keepLines w:val="0"/>
        <w:widowControl w:val="0"/>
        <w:adjustRightInd w:val="0"/>
        <w:snapToGrid w:val="0"/>
        <w:spacing w:before="297" w:beforeLines="50" w:after="297" w:afterLines="50" w:line="560" w:lineRule="exact"/>
        <w:ind w:firstLine="0" w:firstLineChars="0"/>
      </w:pPr>
      <w:bookmarkStart w:id="29" w:name="_Toc19926"/>
      <w:r>
        <w:t>第四节</w:t>
      </w:r>
      <w:r>
        <w:rPr>
          <w:rFonts w:hint="eastAsia"/>
        </w:rPr>
        <w:t xml:space="preserve"> </w:t>
      </w:r>
      <w:r>
        <w:t xml:space="preserve"> </w:t>
      </w:r>
      <w:r>
        <w:rPr>
          <w:rFonts w:hint="eastAsia"/>
        </w:rPr>
        <w:t>“</w:t>
      </w:r>
      <w:r>
        <w:t>十四五</w:t>
      </w:r>
      <w:r>
        <w:rPr>
          <w:rFonts w:hint="eastAsia"/>
        </w:rPr>
        <w:t>”</w:t>
      </w:r>
      <w:r>
        <w:t>时期经济社会发展目标</w:t>
      </w:r>
      <w:bookmarkEnd w:id="25"/>
      <w:bookmarkEnd w:id="26"/>
      <w:bookmarkEnd w:id="27"/>
      <w:bookmarkEnd w:id="28"/>
      <w:bookmarkEnd w:id="29"/>
    </w:p>
    <w:p>
      <w:pPr>
        <w:widowControl w:val="0"/>
        <w:adjustRightInd w:val="0"/>
        <w:snapToGrid w:val="0"/>
        <w:spacing w:after="0" w:line="560" w:lineRule="exact"/>
        <w:ind w:firstLine="680" w:firstLineChars="200"/>
        <w:rPr>
          <w:rFonts w:ascii="Times New Roman" w:hAnsi="Times New Roman" w:eastAsia="仿宋_GB2312"/>
          <w:color w:val="000000" w:themeColor="text1"/>
          <w:szCs w:val="32"/>
          <w14:textFill>
            <w14:solidFill>
              <w14:schemeClr w14:val="tx1"/>
            </w14:solidFill>
          </w14:textFill>
        </w:rPr>
      </w:pPr>
      <w:r>
        <w:rPr>
          <w:rFonts w:ascii="楷体_GB2312" w:hAnsi="楷体_GB2312" w:eastAsia="楷体_GB2312" w:cs="楷体_GB2312"/>
          <w:b/>
          <w:bCs/>
          <w:color w:val="000000" w:themeColor="text1"/>
          <w:kern w:val="2"/>
          <w:szCs w:val="32"/>
          <w14:textFill>
            <w14:solidFill>
              <w14:schemeClr w14:val="tx1"/>
            </w14:solidFill>
          </w14:textFill>
        </w:rPr>
        <w:t>高质量发展迈上新台阶。</w:t>
      </w:r>
      <w:r>
        <w:rPr>
          <w:rFonts w:ascii="Times New Roman" w:hAnsi="Times New Roman" w:eastAsia="仿宋_GB2312"/>
          <w:color w:val="000000" w:themeColor="text1"/>
          <w:szCs w:val="32"/>
          <w14:textFill>
            <w14:solidFill>
              <w14:schemeClr w14:val="tx1"/>
            </w14:solidFill>
          </w14:textFill>
        </w:rPr>
        <w:t>综合经济实力显著提升，主要经济指标年均增速高于全市平均水平。产业体系整体迈向中高端水平，主导产业链现代化水平明显提升，基本形成现代制造业与现代服务业融合发展的新格局，率先在全市进入数字化、网络化、智能化、移动化的数字经济时代，高质量发展水平走在全市前列。</w:t>
      </w:r>
    </w:p>
    <w:p>
      <w:pPr>
        <w:widowControl w:val="0"/>
        <w:autoSpaceDE w:val="0"/>
        <w:autoSpaceDN w:val="0"/>
        <w:adjustRightInd w:val="0"/>
        <w:snapToGrid w:val="0"/>
        <w:spacing w:after="0" w:line="560" w:lineRule="exact"/>
        <w:ind w:firstLine="680" w:firstLineChars="200"/>
        <w:rPr>
          <w:rFonts w:ascii="Times New Roman" w:hAnsi="Times New Roman" w:eastAsia="仿宋_GB2312"/>
          <w:bCs/>
          <w:color w:val="000000" w:themeColor="text1"/>
          <w:szCs w:val="32"/>
          <w14:textFill>
            <w14:solidFill>
              <w14:schemeClr w14:val="tx1"/>
            </w14:solidFill>
          </w14:textFill>
        </w:rPr>
      </w:pPr>
      <w:r>
        <w:rPr>
          <w:rFonts w:ascii="楷体_GB2312" w:hAnsi="楷体_GB2312" w:eastAsia="楷体_GB2312" w:cs="楷体_GB2312"/>
          <w:b/>
          <w:bCs/>
          <w:color w:val="000000" w:themeColor="text1"/>
          <w:kern w:val="2"/>
          <w:szCs w:val="32"/>
          <w14:textFill>
            <w14:solidFill>
              <w14:schemeClr w14:val="tx1"/>
            </w14:solidFill>
          </w14:textFill>
        </w:rPr>
        <w:t>改革创新取得新成就。</w:t>
      </w:r>
      <w:r>
        <w:rPr>
          <w:rFonts w:ascii="Times New Roman" w:hAnsi="Times New Roman" w:eastAsia="仿宋_GB2312"/>
          <w:color w:val="000000" w:themeColor="text1"/>
          <w:szCs w:val="32"/>
          <w14:textFill>
            <w14:solidFill>
              <w14:schemeClr w14:val="tx1"/>
            </w14:solidFill>
          </w14:textFill>
        </w:rPr>
        <w:t>高标准市场体系基本建成，市场主体更加充满活力，更高水平开放型经济体制基本形成。</w:t>
      </w:r>
      <w:r>
        <w:rPr>
          <w:rFonts w:ascii="Times New Roman" w:hAnsi="Times New Roman" w:eastAsia="仿宋_GB2312"/>
          <w:bCs/>
          <w:color w:val="000000" w:themeColor="text1"/>
          <w:szCs w:val="32"/>
          <w14:textFill>
            <w14:solidFill>
              <w14:schemeClr w14:val="tx1"/>
            </w14:solidFill>
          </w14:textFill>
        </w:rPr>
        <w:t>创新驱动发展的体制机制更加健全完善，拥有一批知名科研机构和骨干企业（团队），全社会研究开发投入、科技进步贡献率等主要创新指标高于全市平均水平。</w:t>
      </w:r>
    </w:p>
    <w:p>
      <w:pPr>
        <w:pStyle w:val="3"/>
        <w:widowControl w:val="0"/>
        <w:adjustRightInd w:val="0"/>
        <w:snapToGrid w:val="0"/>
        <w:spacing w:after="0"/>
        <w:ind w:firstLine="683"/>
        <w:rPr>
          <w:bCs/>
          <w:color w:val="000000" w:themeColor="text1"/>
          <w14:textFill>
            <w14:solidFill>
              <w14:schemeClr w14:val="tx1"/>
            </w14:solidFill>
          </w14:textFill>
        </w:rPr>
      </w:pPr>
      <w:r>
        <w:rPr>
          <w:rFonts w:ascii="楷体_GB2312" w:hAnsi="楷体_GB2312" w:eastAsia="楷体_GB2312" w:cs="楷体_GB2312"/>
          <w:b/>
          <w:bCs/>
          <w:color w:val="000000" w:themeColor="text1"/>
          <w:kern w:val="2"/>
          <w:szCs w:val="32"/>
          <w14:textFill>
            <w14:solidFill>
              <w14:schemeClr w14:val="tx1"/>
            </w14:solidFill>
          </w14:textFill>
        </w:rPr>
        <w:t>生态文明实现新进步。</w:t>
      </w:r>
      <w:r>
        <w:rPr>
          <w:rFonts w:hint="eastAsia"/>
          <w:bCs/>
          <w:color w:val="000000" w:themeColor="text1"/>
          <w:szCs w:val="32"/>
          <w14:textFill>
            <w14:solidFill>
              <w14:schemeClr w14:val="tx1"/>
            </w14:solidFill>
          </w14:textFill>
        </w:rPr>
        <w:t>“</w:t>
      </w:r>
      <w:r>
        <w:rPr>
          <w:bCs/>
          <w:color w:val="000000" w:themeColor="text1"/>
          <w:szCs w:val="32"/>
          <w14:textFill>
            <w14:solidFill>
              <w14:schemeClr w14:val="tx1"/>
            </w14:solidFill>
          </w14:textFill>
        </w:rPr>
        <w:t>文明城市</w:t>
      </w:r>
      <w:r>
        <w:rPr>
          <w:rFonts w:hint="eastAsia"/>
          <w:bCs/>
          <w:color w:val="000000" w:themeColor="text1"/>
          <w:szCs w:val="32"/>
          <w14:textFill>
            <w14:solidFill>
              <w14:schemeClr w14:val="tx1"/>
            </w14:solidFill>
          </w14:textFill>
        </w:rPr>
        <w:t>”</w:t>
      </w:r>
      <w:r>
        <w:rPr>
          <w:bCs/>
          <w:color w:val="000000" w:themeColor="text1"/>
          <w:szCs w:val="32"/>
          <w14:textFill>
            <w14:solidFill>
              <w14:schemeClr w14:val="tx1"/>
            </w14:solidFill>
          </w14:textFill>
        </w:rPr>
        <w:t>、</w:t>
      </w:r>
      <w:r>
        <w:rPr>
          <w:rFonts w:hint="eastAsia"/>
          <w:bCs/>
          <w:color w:val="000000" w:themeColor="text1"/>
          <w:szCs w:val="32"/>
          <w14:textFill>
            <w14:solidFill>
              <w14:schemeClr w14:val="tx1"/>
            </w14:solidFill>
          </w14:textFill>
        </w:rPr>
        <w:t>“</w:t>
      </w:r>
      <w:r>
        <w:rPr>
          <w:bCs/>
          <w:color w:val="000000" w:themeColor="text1"/>
          <w:szCs w:val="32"/>
          <w14:textFill>
            <w14:solidFill>
              <w14:schemeClr w14:val="tx1"/>
            </w14:solidFill>
          </w14:textFill>
        </w:rPr>
        <w:t>无废城市</w:t>
      </w:r>
      <w:r>
        <w:rPr>
          <w:rFonts w:hint="eastAsia"/>
          <w:bCs/>
          <w:color w:val="000000" w:themeColor="text1"/>
          <w:szCs w:val="32"/>
          <w14:textFill>
            <w14:solidFill>
              <w14:schemeClr w14:val="tx1"/>
            </w14:solidFill>
          </w14:textFill>
        </w:rPr>
        <w:t>”</w:t>
      </w:r>
      <w:r>
        <w:rPr>
          <w:bCs/>
          <w:color w:val="000000" w:themeColor="text1"/>
          <w:szCs w:val="32"/>
          <w14:textFill>
            <w14:solidFill>
              <w14:schemeClr w14:val="tx1"/>
            </w14:solidFill>
          </w14:textFill>
        </w:rPr>
        <w:t>创建工作走在全市前列，生产生活方式绿色转型成效显著，能源资源利用效率大幅提高，生态环境持续改善，生态安全屏障更加牢固，生态环境明显改善。</w:t>
      </w:r>
    </w:p>
    <w:p>
      <w:pPr>
        <w:widowControl w:val="0"/>
        <w:adjustRightInd w:val="0"/>
        <w:snapToGrid w:val="0"/>
        <w:spacing w:after="0" w:line="560" w:lineRule="exact"/>
        <w:ind w:firstLine="680" w:firstLineChars="200"/>
        <w:rPr>
          <w:rFonts w:ascii="Times New Roman" w:hAnsi="Times New Roman" w:eastAsia="仿宋_GB2312"/>
          <w:color w:val="000000" w:themeColor="text1"/>
          <w:szCs w:val="32"/>
          <w14:textFill>
            <w14:solidFill>
              <w14:schemeClr w14:val="tx1"/>
            </w14:solidFill>
          </w14:textFill>
        </w:rPr>
      </w:pPr>
      <w:r>
        <w:rPr>
          <w:rFonts w:ascii="楷体_GB2312" w:hAnsi="楷体_GB2312" w:eastAsia="楷体_GB2312" w:cs="楷体_GB2312"/>
          <w:b/>
          <w:bCs/>
          <w:color w:val="000000" w:themeColor="text1"/>
          <w:kern w:val="2"/>
          <w:szCs w:val="32"/>
          <w14:textFill>
            <w14:solidFill>
              <w14:schemeClr w14:val="tx1"/>
            </w14:solidFill>
          </w14:textFill>
        </w:rPr>
        <w:t>社会文明得到新提高。</w:t>
      </w:r>
      <w:r>
        <w:rPr>
          <w:rFonts w:ascii="Times New Roman" w:hAnsi="Times New Roman" w:eastAsia="仿宋_GB2312"/>
          <w:color w:val="000000" w:themeColor="text1"/>
          <w:szCs w:val="32"/>
          <w14:textFill>
            <w14:solidFill>
              <w14:schemeClr w14:val="tx1"/>
            </w14:solidFill>
          </w14:textFill>
        </w:rPr>
        <w:t>社会主义核心价值观深入人心，人民思想道德素质、科学文化素质和身心健康素质明显提高，社会正能量进一步弘扬。公共文化服务体系更加健全，文化、旅游、商业深度融合，曹魏文化内涵深入挖掘，曹魏古城的修复和开发基本完成，积极争创国家级</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三国文化保护利用示范区</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w:t>
      </w:r>
    </w:p>
    <w:p>
      <w:pPr>
        <w:widowControl w:val="0"/>
        <w:adjustRightInd w:val="0"/>
        <w:snapToGrid w:val="0"/>
        <w:spacing w:after="0" w:line="560" w:lineRule="exact"/>
        <w:ind w:firstLine="680" w:firstLineChars="200"/>
        <w:rPr>
          <w:rFonts w:ascii="Times New Roman" w:hAnsi="Times New Roman" w:eastAsia="仿宋_GB2312"/>
          <w:color w:val="000000" w:themeColor="text1"/>
          <w:szCs w:val="32"/>
          <w14:textFill>
            <w14:solidFill>
              <w14:schemeClr w14:val="tx1"/>
            </w14:solidFill>
          </w14:textFill>
        </w:rPr>
      </w:pPr>
      <w:r>
        <w:rPr>
          <w:rFonts w:ascii="楷体_GB2312" w:hAnsi="楷体_GB2312" w:eastAsia="楷体_GB2312" w:cs="楷体_GB2312"/>
          <w:b/>
          <w:bCs/>
          <w:color w:val="000000" w:themeColor="text1"/>
          <w:kern w:val="2"/>
          <w:szCs w:val="32"/>
          <w14:textFill>
            <w14:solidFill>
              <w14:schemeClr w14:val="tx1"/>
            </w14:solidFill>
          </w14:textFill>
        </w:rPr>
        <w:t>民生福祉达到新高度。</w:t>
      </w:r>
      <w:r>
        <w:rPr>
          <w:rFonts w:ascii="Times New Roman" w:hAnsi="Times New Roman" w:eastAsia="仿宋_GB2312"/>
          <w:color w:val="000000" w:themeColor="text1"/>
          <w:spacing w:val="-8"/>
          <w:szCs w:val="32"/>
          <w14:textFill>
            <w14:solidFill>
              <w14:schemeClr w14:val="tx1"/>
            </w14:solidFill>
          </w14:textFill>
        </w:rPr>
        <w:t>居民收入增长和经济增长基本同步，中、高收入群体规模明显扩大。基本公共服务均等化水平明显提高，实现更加充分、更高质量就业，义务教育质量领先全市，卫生健康体系更加完善，多层次社会保障体系更加健全，立体化公共安全网编织形成，人民享有更多获得感、幸福感和安全感。</w:t>
      </w:r>
    </w:p>
    <w:p>
      <w:pPr>
        <w:pStyle w:val="3"/>
        <w:widowControl w:val="0"/>
        <w:adjustRightInd w:val="0"/>
        <w:snapToGrid w:val="0"/>
        <w:spacing w:after="0"/>
        <w:ind w:firstLine="683"/>
        <w:jc w:val="both"/>
        <w:rPr>
          <w:color w:val="000000" w:themeColor="text1"/>
          <w:spacing w:val="-6"/>
          <w:szCs w:val="32"/>
          <w14:textFill>
            <w14:solidFill>
              <w14:schemeClr w14:val="tx1"/>
            </w14:solidFill>
          </w14:textFill>
        </w:rPr>
      </w:pPr>
      <w:r>
        <w:rPr>
          <w:rFonts w:ascii="楷体_GB2312" w:hAnsi="楷体_GB2312" w:eastAsia="楷体_GB2312" w:cs="楷体_GB2312"/>
          <w:b/>
          <w:bCs/>
          <w:color w:val="000000" w:themeColor="text1"/>
          <w:kern w:val="2"/>
          <w:szCs w:val="32"/>
          <w14:textFill>
            <w14:solidFill>
              <w14:schemeClr w14:val="tx1"/>
            </w14:solidFill>
          </w14:textFill>
        </w:rPr>
        <w:t>治理效能得到新提升。</w:t>
      </w:r>
      <w:r>
        <w:rPr>
          <w:color w:val="000000" w:themeColor="text1"/>
          <w:spacing w:val="-6"/>
          <w:szCs w:val="32"/>
          <w14:textFill>
            <w14:solidFill>
              <w14:schemeClr w14:val="tx1"/>
            </w14:solidFill>
          </w14:textFill>
        </w:rPr>
        <w:t>法治魏都建设深入推进，社会公平正义进一步彰显，行政效率和公信力显著提升，营商环境持续优化，治理水平进一步提升，防范化解重大风险体制机制不断健全，突发公共事件应急能力显著增强，发展安全保障更加有力。</w:t>
      </w:r>
    </w:p>
    <w:tbl>
      <w:tblPr>
        <w:tblStyle w:val="11"/>
        <w:tblpPr w:leftFromText="180" w:rightFromText="180" w:vertAnchor="text" w:horzAnchor="page" w:tblpXSpec="center" w:tblpY="286"/>
        <w:tblOverlap w:val="never"/>
        <w:tblW w:w="8760" w:type="dxa"/>
        <w:jc w:val="center"/>
        <w:tblLayout w:type="autofit"/>
        <w:tblCellMar>
          <w:top w:w="0" w:type="dxa"/>
          <w:left w:w="108" w:type="dxa"/>
          <w:bottom w:w="0" w:type="dxa"/>
          <w:right w:w="108" w:type="dxa"/>
        </w:tblCellMar>
      </w:tblPr>
      <w:tblGrid>
        <w:gridCol w:w="460"/>
        <w:gridCol w:w="2145"/>
        <w:gridCol w:w="1039"/>
        <w:gridCol w:w="1194"/>
        <w:gridCol w:w="1188"/>
        <w:gridCol w:w="1264"/>
        <w:gridCol w:w="1470"/>
      </w:tblGrid>
      <w:tr>
        <w:tblPrEx>
          <w:tblCellMar>
            <w:top w:w="0" w:type="dxa"/>
            <w:left w:w="108" w:type="dxa"/>
            <w:bottom w:w="0" w:type="dxa"/>
            <w:right w:w="108" w:type="dxa"/>
          </w:tblCellMar>
        </w:tblPrEx>
        <w:trPr>
          <w:trHeight w:val="680" w:hRule="atLeast"/>
          <w:jc w:val="center"/>
        </w:trPr>
        <w:tc>
          <w:tcPr>
            <w:tcW w:w="8760" w:type="dxa"/>
            <w:gridSpan w:val="7"/>
            <w:vMerge w:val="restart"/>
            <w:tcBorders>
              <w:top w:val="single" w:color="000000" w:sz="4" w:space="0"/>
              <w:left w:val="single" w:color="000000" w:sz="4" w:space="0"/>
              <w:bottom w:val="nil"/>
              <w:right w:val="single" w:color="000000" w:sz="4" w:space="0"/>
            </w:tcBorders>
            <w:noWrap/>
            <w:vAlign w:val="center"/>
          </w:tcPr>
          <w:p>
            <w:pPr>
              <w:widowControl w:val="0"/>
              <w:adjustRightInd w:val="0"/>
              <w:snapToGrid w:val="0"/>
              <w:spacing w:after="0" w:line="400" w:lineRule="exact"/>
              <w:jc w:val="center"/>
              <w:textAlignment w:val="center"/>
              <w:rPr>
                <w:rFonts w:ascii="黑体" w:hAnsi="黑体" w:eastAsia="黑体" w:cs="黑体"/>
                <w:b/>
                <w:color w:val="000000" w:themeColor="text1"/>
                <w:sz w:val="24"/>
                <w:szCs w:val="24"/>
                <w14:textFill>
                  <w14:solidFill>
                    <w14:schemeClr w14:val="tx1"/>
                  </w14:solidFill>
                </w14:textFill>
              </w:rPr>
            </w:pPr>
            <w:r>
              <w:rPr>
                <w:rFonts w:hint="eastAsia" w:ascii="黑体" w:hAnsi="黑体" w:eastAsia="黑体" w:cs="黑体"/>
                <w:bCs/>
                <w:color w:val="000000" w:themeColor="text1"/>
                <w:sz w:val="28"/>
                <w:szCs w:val="28"/>
                <w:lang w:bidi="ar"/>
                <w14:textFill>
                  <w14:solidFill>
                    <w14:schemeClr w14:val="tx1"/>
                  </w14:solidFill>
                </w14:textFill>
              </w:rPr>
              <w:t>表</w:t>
            </w:r>
            <w:r>
              <w:rPr>
                <w:rFonts w:hint="eastAsia" w:ascii="Times New Roman" w:hAnsi="Times New Roman" w:eastAsia="黑体" w:cs="黑体"/>
                <w:bCs/>
                <w:color w:val="000000" w:themeColor="text1"/>
                <w:sz w:val="28"/>
                <w:szCs w:val="28"/>
                <w:lang w:bidi="ar"/>
                <w14:textFill>
                  <w14:solidFill>
                    <w14:schemeClr w14:val="tx1"/>
                  </w14:solidFill>
                </w14:textFill>
              </w:rPr>
              <w:t>2</w:t>
            </w:r>
            <w:r>
              <w:rPr>
                <w:rFonts w:hint="eastAsia" w:ascii="黑体" w:hAnsi="黑体" w:eastAsia="黑体" w:cs="黑体"/>
                <w:bCs/>
                <w:color w:val="000000" w:themeColor="text1"/>
                <w:sz w:val="28"/>
                <w:szCs w:val="28"/>
                <w:lang w:bidi="ar"/>
                <w14:textFill>
                  <w14:solidFill>
                    <w14:schemeClr w14:val="tx1"/>
                  </w14:solidFill>
                </w14:textFill>
              </w:rPr>
              <w:t>：魏都区“十四五”经济社会发展主要指标计划</w:t>
            </w:r>
          </w:p>
        </w:tc>
      </w:tr>
      <w:tr>
        <w:tblPrEx>
          <w:tblCellMar>
            <w:top w:w="0" w:type="dxa"/>
            <w:left w:w="108" w:type="dxa"/>
            <w:bottom w:w="0" w:type="dxa"/>
            <w:right w:w="108" w:type="dxa"/>
          </w:tblCellMar>
        </w:tblPrEx>
        <w:trPr>
          <w:trHeight w:val="680" w:hRule="atLeast"/>
          <w:jc w:val="center"/>
        </w:trPr>
        <w:tc>
          <w:tcPr>
            <w:tcW w:w="8760" w:type="dxa"/>
            <w:gridSpan w:val="7"/>
            <w:vMerge w:val="continue"/>
            <w:tcBorders>
              <w:top w:val="single" w:color="000000" w:sz="4" w:space="0"/>
              <w:left w:val="single" w:color="000000" w:sz="4" w:space="0"/>
              <w:bottom w:val="nil"/>
              <w:right w:val="single" w:color="000000" w:sz="4" w:space="0"/>
            </w:tcBorders>
            <w:noWrap/>
            <w:vAlign w:val="center"/>
          </w:tcPr>
          <w:p>
            <w:pPr>
              <w:widowControl w:val="0"/>
              <w:adjustRightInd w:val="0"/>
              <w:snapToGrid w:val="0"/>
              <w:spacing w:after="0" w:line="400" w:lineRule="exact"/>
              <w:jc w:val="center"/>
              <w:rPr>
                <w:rFonts w:ascii="Times New Roman" w:hAnsi="Times New Roman" w:eastAsia="宋体"/>
                <w:b/>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680" w:hRule="atLeast"/>
          <w:jc w:val="center"/>
        </w:trPr>
        <w:tc>
          <w:tcPr>
            <w:tcW w:w="260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b/>
                <w:color w:val="000000" w:themeColor="text1"/>
                <w:sz w:val="20"/>
                <w:szCs w:val="20"/>
                <w14:textFill>
                  <w14:solidFill>
                    <w14:schemeClr w14:val="tx1"/>
                  </w14:solidFill>
                </w14:textFill>
              </w:rPr>
            </w:pPr>
            <w:r>
              <w:rPr>
                <w:rFonts w:hint="eastAsia" w:ascii="宋体" w:hAnsi="宋体" w:eastAsia="宋体" w:cs="宋体"/>
                <w:b/>
                <w:color w:val="000000" w:themeColor="text1"/>
                <w:sz w:val="22"/>
                <w:lang w:bidi="ar"/>
                <w14:textFill>
                  <w14:solidFill>
                    <w14:schemeClr w14:val="tx1"/>
                  </w14:solidFill>
                </w14:textFill>
              </w:rPr>
              <w:t>指 标</w:t>
            </w:r>
          </w:p>
        </w:tc>
        <w:tc>
          <w:tcPr>
            <w:tcW w:w="223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b/>
                <w:color w:val="000000" w:themeColor="text1"/>
                <w:sz w:val="22"/>
                <w14:textFill>
                  <w14:solidFill>
                    <w14:schemeClr w14:val="tx1"/>
                  </w14:solidFill>
                </w14:textFill>
              </w:rPr>
            </w:pPr>
            <w:r>
              <w:rPr>
                <w:rFonts w:hint="eastAsia" w:ascii="宋体" w:hAnsi="宋体" w:eastAsia="宋体" w:cs="宋体"/>
                <w:b/>
                <w:color w:val="000000" w:themeColor="text1"/>
                <w:sz w:val="22"/>
                <w:lang w:bidi="ar"/>
                <w14:textFill>
                  <w14:solidFill>
                    <w14:schemeClr w14:val="tx1"/>
                  </w14:solidFill>
                </w14:textFill>
              </w:rPr>
              <w:t>“十三五”基数</w:t>
            </w:r>
          </w:p>
        </w:tc>
        <w:tc>
          <w:tcPr>
            <w:tcW w:w="2452"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b/>
                <w:color w:val="000000" w:themeColor="text1"/>
                <w:sz w:val="22"/>
                <w:lang w:bidi="ar"/>
                <w14:textFill>
                  <w14:solidFill>
                    <w14:schemeClr w14:val="tx1"/>
                  </w14:solidFill>
                </w14:textFill>
              </w:rPr>
            </w:pPr>
            <w:r>
              <w:rPr>
                <w:rFonts w:hint="eastAsia" w:ascii="宋体" w:hAnsi="宋体" w:eastAsia="宋体" w:cs="宋体"/>
                <w:b/>
                <w:color w:val="000000" w:themeColor="text1"/>
                <w:sz w:val="22"/>
                <w:lang w:bidi="ar"/>
                <w14:textFill>
                  <w14:solidFill>
                    <w14:schemeClr w14:val="tx1"/>
                  </w14:solidFill>
                </w14:textFill>
              </w:rPr>
              <w:t>“十四五”目标</w:t>
            </w:r>
          </w:p>
        </w:tc>
        <w:tc>
          <w:tcPr>
            <w:tcW w:w="1470"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b/>
                <w:color w:val="000000" w:themeColor="text1"/>
                <w:sz w:val="22"/>
                <w:lang w:bidi="ar"/>
                <w14:textFill>
                  <w14:solidFill>
                    <w14:schemeClr w14:val="tx1"/>
                  </w14:solidFill>
                </w14:textFill>
              </w:rPr>
            </w:pPr>
            <w:r>
              <w:rPr>
                <w:rFonts w:hint="eastAsia" w:ascii="宋体" w:hAnsi="宋体" w:eastAsia="宋体" w:cs="宋体"/>
                <w:b/>
                <w:color w:val="000000" w:themeColor="text1"/>
                <w:sz w:val="22"/>
                <w:lang w:bidi="ar"/>
                <w14:textFill>
                  <w14:solidFill>
                    <w14:schemeClr w14:val="tx1"/>
                  </w14:solidFill>
                </w14:textFill>
              </w:rPr>
              <w:t>属性</w:t>
            </w:r>
          </w:p>
        </w:tc>
      </w:tr>
      <w:tr>
        <w:tblPrEx>
          <w:tblCellMar>
            <w:top w:w="0" w:type="dxa"/>
            <w:left w:w="108" w:type="dxa"/>
            <w:bottom w:w="0" w:type="dxa"/>
            <w:right w:w="108" w:type="dxa"/>
          </w:tblCellMar>
        </w:tblPrEx>
        <w:trPr>
          <w:trHeight w:val="680" w:hRule="atLeast"/>
          <w:jc w:val="center"/>
        </w:trPr>
        <w:tc>
          <w:tcPr>
            <w:tcW w:w="2605"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rPr>
                <w:rFonts w:ascii="Times New Roman" w:hAnsi="Times New Roman" w:eastAsia="宋体"/>
                <w:b/>
                <w:color w:val="000000" w:themeColor="text1"/>
                <w:sz w:val="20"/>
                <w:szCs w:val="20"/>
                <w14:textFill>
                  <w14:solidFill>
                    <w14:schemeClr w14:val="tx1"/>
                  </w14:solidFill>
                </w14:textFill>
              </w:rPr>
            </w:pPr>
          </w:p>
        </w:tc>
        <w:tc>
          <w:tcPr>
            <w:tcW w:w="22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rPr>
                <w:rFonts w:ascii="Times New Roman" w:hAnsi="Times New Roman" w:eastAsia="宋体"/>
                <w:b/>
                <w:color w:val="000000" w:themeColor="text1"/>
                <w:sz w:val="20"/>
                <w:szCs w:val="20"/>
                <w14:textFill>
                  <w14:solidFill>
                    <w14:schemeClr w14:val="tx1"/>
                  </w14:solidFill>
                </w14:textFill>
              </w:rPr>
            </w:pPr>
          </w:p>
        </w:tc>
        <w:tc>
          <w:tcPr>
            <w:tcW w:w="245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Times New Roman" w:hAnsi="Times New Roman" w:eastAsiaTheme="minorEastAsia"/>
                <w:b/>
                <w:color w:val="000000" w:themeColor="text1"/>
                <w:sz w:val="22"/>
                <w:lang w:bidi="ar"/>
                <w14:textFill>
                  <w14:solidFill>
                    <w14:schemeClr w14:val="tx1"/>
                  </w14:solidFill>
                </w14:textFill>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Times New Roman" w:hAnsi="Times New Roman" w:eastAsiaTheme="minorEastAsia"/>
                <w:bCs/>
                <w:color w:val="000000" w:themeColor="text1"/>
                <w:sz w:val="22"/>
                <w:lang w:bidi="ar"/>
                <w14:textFill>
                  <w14:solidFill>
                    <w14:schemeClr w14:val="tx1"/>
                  </w14:solidFill>
                </w14:textFill>
              </w:rPr>
            </w:pPr>
          </w:p>
        </w:tc>
      </w:tr>
      <w:tr>
        <w:tblPrEx>
          <w:tblCellMar>
            <w:top w:w="0" w:type="dxa"/>
            <w:left w:w="108" w:type="dxa"/>
            <w:bottom w:w="0" w:type="dxa"/>
            <w:right w:w="108" w:type="dxa"/>
          </w:tblCellMar>
        </w:tblPrEx>
        <w:trPr>
          <w:trHeight w:val="680" w:hRule="atLeast"/>
          <w:jc w:val="center"/>
        </w:trPr>
        <w:tc>
          <w:tcPr>
            <w:tcW w:w="2605"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rPr>
                <w:rFonts w:ascii="Times New Roman" w:hAnsi="Times New Roman" w:eastAsia="宋体"/>
                <w:b/>
                <w:color w:val="000000" w:themeColor="text1"/>
                <w:sz w:val="20"/>
                <w:szCs w:val="20"/>
                <w14:textFill>
                  <w14:solidFill>
                    <w14:schemeClr w14:val="tx1"/>
                  </w14:solidFill>
                </w14:textFill>
              </w:rPr>
            </w:pPr>
          </w:p>
        </w:tc>
        <w:tc>
          <w:tcPr>
            <w:tcW w:w="1039" w:type="dxa"/>
            <w:tcBorders>
              <w:top w:val="nil"/>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b/>
                <w:color w:val="000000" w:themeColor="text1"/>
                <w:sz w:val="22"/>
                <w14:textFill>
                  <w14:solidFill>
                    <w14:schemeClr w14:val="tx1"/>
                  </w14:solidFill>
                </w14:textFill>
              </w:rPr>
            </w:pPr>
            <w:r>
              <w:rPr>
                <w:rFonts w:hint="eastAsia" w:ascii="Times New Roman" w:hAnsi="Times New Roman" w:eastAsia="宋体" w:cs="宋体"/>
                <w:b/>
                <w:color w:val="000000" w:themeColor="text1"/>
                <w:sz w:val="22"/>
                <w:lang w:bidi="ar"/>
                <w14:textFill>
                  <w14:solidFill>
                    <w14:schemeClr w14:val="tx1"/>
                  </w14:solidFill>
                </w14:textFill>
              </w:rPr>
              <w:t>2020</w:t>
            </w:r>
            <w:r>
              <w:rPr>
                <w:rFonts w:hint="eastAsia" w:ascii="宋体" w:hAnsi="宋体" w:eastAsia="宋体" w:cs="宋体"/>
                <w:b/>
                <w:color w:val="000000" w:themeColor="text1"/>
                <w:sz w:val="22"/>
                <w:lang w:bidi="ar"/>
                <w14:textFill>
                  <w14:solidFill>
                    <w14:schemeClr w14:val="tx1"/>
                  </w14:solidFill>
                </w14:textFill>
              </w:rPr>
              <w:t>年绝对值</w:t>
            </w:r>
          </w:p>
        </w:tc>
        <w:tc>
          <w:tcPr>
            <w:tcW w:w="1194" w:type="dxa"/>
            <w:tcBorders>
              <w:top w:val="nil"/>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b/>
                <w:color w:val="000000" w:themeColor="text1"/>
                <w:sz w:val="22"/>
                <w:lang w:bidi="ar"/>
                <w14:textFill>
                  <w14:solidFill>
                    <w14:schemeClr w14:val="tx1"/>
                  </w14:solidFill>
                </w14:textFill>
              </w:rPr>
            </w:pPr>
            <w:r>
              <w:rPr>
                <w:rFonts w:hint="eastAsia" w:ascii="宋体" w:hAnsi="宋体" w:eastAsia="宋体" w:cs="宋体"/>
                <w:b/>
                <w:color w:val="000000" w:themeColor="text1"/>
                <w:sz w:val="22"/>
                <w:lang w:bidi="ar"/>
                <w14:textFill>
                  <w14:solidFill>
                    <w14:schemeClr w14:val="tx1"/>
                  </w14:solidFill>
                </w14:textFill>
              </w:rPr>
              <w:t>年均增长（%）</w:t>
            </w:r>
          </w:p>
        </w:tc>
        <w:tc>
          <w:tcPr>
            <w:tcW w:w="1188" w:type="dxa"/>
            <w:tcBorders>
              <w:top w:val="nil"/>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b/>
                <w:color w:val="000000" w:themeColor="text1"/>
                <w:sz w:val="22"/>
                <w:lang w:bidi="ar"/>
                <w14:textFill>
                  <w14:solidFill>
                    <w14:schemeClr w14:val="tx1"/>
                  </w14:solidFill>
                </w14:textFill>
              </w:rPr>
            </w:pPr>
            <w:r>
              <w:rPr>
                <w:rFonts w:hint="eastAsia" w:ascii="Times New Roman" w:hAnsi="Times New Roman" w:eastAsia="宋体" w:cs="宋体"/>
                <w:b/>
                <w:color w:val="000000" w:themeColor="text1"/>
                <w:sz w:val="22"/>
                <w:lang w:bidi="ar"/>
                <w14:textFill>
                  <w14:solidFill>
                    <w14:schemeClr w14:val="tx1"/>
                  </w14:solidFill>
                </w14:textFill>
              </w:rPr>
              <w:t>2025</w:t>
            </w:r>
            <w:r>
              <w:rPr>
                <w:rFonts w:hint="eastAsia" w:ascii="宋体" w:hAnsi="宋体" w:eastAsia="宋体" w:cs="宋体"/>
                <w:b/>
                <w:color w:val="000000" w:themeColor="text1"/>
                <w:sz w:val="22"/>
                <w:lang w:bidi="ar"/>
                <w14:textFill>
                  <w14:solidFill>
                    <w14:schemeClr w14:val="tx1"/>
                  </w14:solidFill>
                </w14:textFill>
              </w:rPr>
              <w:t>年</w:t>
            </w:r>
          </w:p>
          <w:p>
            <w:pPr>
              <w:widowControl w:val="0"/>
              <w:adjustRightInd w:val="0"/>
              <w:snapToGrid w:val="0"/>
              <w:spacing w:after="0" w:line="400" w:lineRule="exact"/>
              <w:jc w:val="center"/>
              <w:textAlignment w:val="top"/>
              <w:rPr>
                <w:rFonts w:ascii="宋体" w:hAnsi="宋体" w:eastAsia="宋体" w:cs="宋体"/>
                <w:b/>
                <w:color w:val="000000" w:themeColor="text1"/>
                <w:sz w:val="22"/>
                <w:lang w:bidi="ar"/>
                <w14:textFill>
                  <w14:solidFill>
                    <w14:schemeClr w14:val="tx1"/>
                  </w14:solidFill>
                </w14:textFill>
              </w:rPr>
            </w:pPr>
            <w:r>
              <w:rPr>
                <w:rFonts w:hint="eastAsia" w:ascii="宋体" w:hAnsi="宋体" w:eastAsia="宋体" w:cs="宋体"/>
                <w:b/>
                <w:color w:val="000000" w:themeColor="text1"/>
                <w:sz w:val="22"/>
                <w:lang w:bidi="ar"/>
                <w14:textFill>
                  <w14:solidFill>
                    <w14:schemeClr w14:val="tx1"/>
                  </w14:solidFill>
                </w14:textFill>
              </w:rPr>
              <w:t>绝对值</w:t>
            </w:r>
          </w:p>
        </w:tc>
        <w:tc>
          <w:tcPr>
            <w:tcW w:w="1264" w:type="dxa"/>
            <w:tcBorders>
              <w:top w:val="nil"/>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b/>
                <w:color w:val="000000" w:themeColor="text1"/>
                <w:sz w:val="22"/>
                <w:lang w:bidi="ar"/>
                <w14:textFill>
                  <w14:solidFill>
                    <w14:schemeClr w14:val="tx1"/>
                  </w14:solidFill>
                </w14:textFill>
              </w:rPr>
            </w:pPr>
            <w:r>
              <w:rPr>
                <w:rFonts w:hint="eastAsia" w:ascii="宋体" w:hAnsi="宋体" w:eastAsia="宋体" w:cs="宋体"/>
                <w:b/>
                <w:color w:val="000000" w:themeColor="text1"/>
                <w:sz w:val="22"/>
                <w:lang w:bidi="ar"/>
                <w14:textFill>
                  <w14:solidFill>
                    <w14:schemeClr w14:val="tx1"/>
                  </w14:solidFill>
                </w14:textFill>
              </w:rPr>
              <w:t>年均增长（%）</w:t>
            </w: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Times New Roman" w:hAnsi="Times New Roman" w:eastAsiaTheme="minorEastAsia"/>
                <w:bCs/>
                <w:color w:val="000000" w:themeColor="text1"/>
                <w:sz w:val="22"/>
                <w:lang w:bidi="ar"/>
                <w14:textFill>
                  <w14:solidFill>
                    <w14:schemeClr w14:val="tx1"/>
                  </w14:solidFill>
                </w14:textFill>
              </w:rPr>
            </w:pPr>
          </w:p>
        </w:tc>
      </w:tr>
      <w:tr>
        <w:tblPrEx>
          <w:tblCellMar>
            <w:top w:w="0" w:type="dxa"/>
            <w:left w:w="108" w:type="dxa"/>
            <w:bottom w:w="0" w:type="dxa"/>
            <w:right w:w="108" w:type="dxa"/>
          </w:tblCellMar>
        </w:tblPrEx>
        <w:trPr>
          <w:trHeight w:val="680" w:hRule="atLeast"/>
          <w:jc w:val="center"/>
        </w:trPr>
        <w:tc>
          <w:tcPr>
            <w:tcW w:w="8760" w:type="dxa"/>
            <w:gridSpan w:val="7"/>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textAlignment w:val="top"/>
              <w:rPr>
                <w:rFonts w:ascii="宋体" w:hAnsi="宋体" w:eastAsia="宋体" w:cs="宋体"/>
                <w:b/>
                <w:color w:val="000000" w:themeColor="text1"/>
                <w:sz w:val="22"/>
                <w14:textFill>
                  <w14:solidFill>
                    <w14:schemeClr w14:val="tx1"/>
                  </w14:solidFill>
                </w14:textFill>
              </w:rPr>
            </w:pPr>
            <w:r>
              <w:rPr>
                <w:rFonts w:hint="eastAsia" w:ascii="宋体" w:hAnsi="宋体" w:eastAsia="宋体" w:cs="宋体"/>
                <w:b/>
                <w:color w:val="000000" w:themeColor="text1"/>
                <w:sz w:val="22"/>
                <w:lang w:bidi="ar"/>
                <w14:textFill>
                  <w14:solidFill>
                    <w14:schemeClr w14:val="tx1"/>
                  </w14:solidFill>
                </w14:textFill>
              </w:rPr>
              <w:t>一、经济发展</w:t>
            </w:r>
          </w:p>
        </w:tc>
      </w:tr>
      <w:tr>
        <w:tblPrEx>
          <w:tblCellMar>
            <w:top w:w="0" w:type="dxa"/>
            <w:left w:w="108" w:type="dxa"/>
            <w:bottom w:w="0" w:type="dxa"/>
            <w:right w:w="108" w:type="dxa"/>
          </w:tblCellMar>
        </w:tblPrEx>
        <w:trPr>
          <w:trHeight w:val="680" w:hRule="atLeast"/>
          <w:jc w:val="center"/>
        </w:trPr>
        <w:tc>
          <w:tcPr>
            <w:tcW w:w="46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300" w:lineRule="exact"/>
              <w:jc w:val="center"/>
              <w:textAlignment w:val="top"/>
              <w:rPr>
                <w:rFonts w:ascii="宋体" w:hAnsi="宋体" w:eastAsia="宋体" w:cs="宋体"/>
                <w:color w:val="000000" w:themeColor="text1"/>
                <w:sz w:val="22"/>
                <w14:textFill>
                  <w14:solidFill>
                    <w14:schemeClr w14:val="tx1"/>
                  </w14:solidFill>
                </w14:textFill>
              </w:rPr>
            </w:pPr>
            <w:r>
              <w:rPr>
                <w:rFonts w:hint="eastAsia" w:ascii="Times New Roman" w:hAnsi="Times New Roman" w:eastAsia="宋体" w:cs="宋体"/>
                <w:color w:val="000000" w:themeColor="text1"/>
                <w:sz w:val="22"/>
                <w:lang w:bidi="ar"/>
                <w14:textFill>
                  <w14:solidFill>
                    <w14:schemeClr w14:val="tx1"/>
                  </w14:solidFill>
                </w14:textFill>
              </w:rPr>
              <w:t>1</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300" w:lineRule="exact"/>
              <w:textAlignment w:val="top"/>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lang w:bidi="ar"/>
                <w14:textFill>
                  <w14:solidFill>
                    <w14:schemeClr w14:val="tx1"/>
                  </w14:solidFill>
                </w14:textFill>
              </w:rPr>
              <w:t>地区生产总值增长（%）</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lang w:bidi="ar"/>
                <w14:textFill>
                  <w14:solidFill>
                    <w14:schemeClr w14:val="tx1"/>
                  </w14:solidFill>
                </w14:textFill>
              </w:rPr>
              <w:t>—</w:t>
            </w:r>
          </w:p>
        </w:tc>
        <w:tc>
          <w:tcPr>
            <w:tcW w:w="1194"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0"/>
                <w:szCs w:val="20"/>
                <w14:textFill>
                  <w14:solidFill>
                    <w14:schemeClr w14:val="tx1"/>
                  </w14:solidFill>
                </w14:textFill>
              </w:rPr>
            </w:pPr>
            <w:r>
              <w:rPr>
                <w:rFonts w:hint="eastAsia" w:ascii="Times New Roman" w:hAnsi="Times New Roman" w:eastAsia="宋体" w:cs="宋体"/>
                <w:color w:val="000000" w:themeColor="text1"/>
                <w:sz w:val="20"/>
                <w:szCs w:val="20"/>
                <w:lang w:bidi="ar"/>
                <w14:textFill>
                  <w14:solidFill>
                    <w14:schemeClr w14:val="tx1"/>
                  </w14:solidFill>
                </w14:textFill>
              </w:rPr>
              <w:t>7</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lang w:bidi="ar"/>
                <w14:textFill>
                  <w14:solidFill>
                    <w14:schemeClr w14:val="tx1"/>
                  </w14:solidFill>
                </w14:textFill>
              </w:rPr>
              <w:t>—</w:t>
            </w:r>
          </w:p>
        </w:tc>
        <w:tc>
          <w:tcPr>
            <w:tcW w:w="1264"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0"/>
                <w:szCs w:val="20"/>
                <w14:textFill>
                  <w14:solidFill>
                    <w14:schemeClr w14:val="tx1"/>
                  </w14:solidFill>
                </w14:textFill>
              </w:rPr>
            </w:pPr>
            <w:r>
              <w:rPr>
                <w:rFonts w:hint="eastAsia" w:ascii="Times New Roman" w:hAnsi="Times New Roman" w:eastAsia="宋体" w:cs="宋体"/>
                <w:color w:val="000000" w:themeColor="text1"/>
                <w:sz w:val="20"/>
                <w:szCs w:val="20"/>
                <w:lang w:bidi="ar"/>
                <w14:textFill>
                  <w14:solidFill>
                    <w14:schemeClr w14:val="tx1"/>
                  </w14:solidFill>
                </w14:textFill>
              </w:rPr>
              <w:t>6</w:t>
            </w:r>
            <w:r>
              <w:rPr>
                <w:rFonts w:hint="eastAsia" w:ascii="宋体" w:hAnsi="宋体" w:eastAsia="宋体" w:cs="宋体"/>
                <w:color w:val="000000" w:themeColor="text1"/>
                <w:sz w:val="20"/>
                <w:szCs w:val="20"/>
                <w:lang w:bidi="ar"/>
                <w14:textFill>
                  <w14:solidFill>
                    <w14:schemeClr w14:val="tx1"/>
                  </w14:solidFill>
                </w14:textFill>
              </w:rPr>
              <w:t>.</w:t>
            </w:r>
            <w:r>
              <w:rPr>
                <w:rFonts w:hint="eastAsia" w:ascii="Times New Roman" w:hAnsi="Times New Roman" w:eastAsia="宋体" w:cs="宋体"/>
                <w:color w:val="000000" w:themeColor="text1"/>
                <w:sz w:val="20"/>
                <w:szCs w:val="20"/>
                <w:lang w:bidi="ar"/>
                <w14:textFill>
                  <w14:solidFill>
                    <w14:schemeClr w14:val="tx1"/>
                  </w14:solidFill>
                </w14:textFill>
              </w:rPr>
              <w:t>5</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lang w:bidi="ar"/>
                <w14:textFill>
                  <w14:solidFill>
                    <w14:schemeClr w14:val="tx1"/>
                  </w14:solidFill>
                </w14:textFill>
              </w:rPr>
              <w:t>预期性</w:t>
            </w:r>
          </w:p>
        </w:tc>
      </w:tr>
      <w:tr>
        <w:tblPrEx>
          <w:tblCellMar>
            <w:top w:w="0" w:type="dxa"/>
            <w:left w:w="108" w:type="dxa"/>
            <w:bottom w:w="0" w:type="dxa"/>
            <w:right w:w="108" w:type="dxa"/>
          </w:tblCellMar>
        </w:tblPrEx>
        <w:trPr>
          <w:trHeight w:val="680" w:hRule="atLeast"/>
          <w:jc w:val="center"/>
        </w:trPr>
        <w:tc>
          <w:tcPr>
            <w:tcW w:w="46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300" w:lineRule="exact"/>
              <w:jc w:val="center"/>
              <w:textAlignment w:val="top"/>
              <w:rPr>
                <w:rFonts w:ascii="宋体" w:hAnsi="宋体" w:eastAsia="宋体" w:cs="宋体"/>
                <w:color w:val="000000" w:themeColor="text1"/>
                <w:sz w:val="22"/>
                <w14:textFill>
                  <w14:solidFill>
                    <w14:schemeClr w14:val="tx1"/>
                  </w14:solidFill>
                </w14:textFill>
              </w:rPr>
            </w:pPr>
            <w:r>
              <w:rPr>
                <w:rFonts w:hint="eastAsia" w:ascii="Times New Roman" w:hAnsi="Times New Roman" w:eastAsia="宋体" w:cs="宋体"/>
                <w:color w:val="000000" w:themeColor="text1"/>
                <w:sz w:val="22"/>
                <w:lang w:bidi="ar"/>
                <w14:textFill>
                  <w14:solidFill>
                    <w14:schemeClr w14:val="tx1"/>
                  </w14:solidFill>
                </w14:textFill>
              </w:rPr>
              <w:t>2</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300" w:lineRule="exact"/>
              <w:textAlignment w:val="top"/>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lang w:bidi="ar"/>
                <w14:textFill>
                  <w14:solidFill>
                    <w14:schemeClr w14:val="tx1"/>
                  </w14:solidFill>
                </w14:textFill>
              </w:rPr>
              <w:t>全员劳动生产率增长（元/人，</w:t>
            </w:r>
            <w:r>
              <w:rPr>
                <w:rFonts w:hint="eastAsia" w:ascii="Times New Roman" w:hAnsi="Times New Roman" w:eastAsia="宋体" w:cs="宋体"/>
                <w:color w:val="000000" w:themeColor="text1"/>
                <w:sz w:val="22"/>
                <w:lang w:bidi="ar"/>
                <w14:textFill>
                  <w14:solidFill>
                    <w14:schemeClr w14:val="tx1"/>
                  </w14:solidFill>
                </w14:textFill>
              </w:rPr>
              <w:t>2020</w:t>
            </w:r>
            <w:r>
              <w:rPr>
                <w:rFonts w:hint="eastAsia" w:ascii="宋体" w:hAnsi="宋体" w:eastAsia="宋体" w:cs="宋体"/>
                <w:color w:val="000000" w:themeColor="text1"/>
                <w:sz w:val="22"/>
                <w:lang w:bidi="ar"/>
                <w14:textFill>
                  <w14:solidFill>
                    <w14:schemeClr w14:val="tx1"/>
                  </w14:solidFill>
                </w14:textFill>
              </w:rPr>
              <w:t>年价格）</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lang w:bidi="ar"/>
                <w14:textFill>
                  <w14:solidFill>
                    <w14:schemeClr w14:val="tx1"/>
                  </w14:solidFill>
                </w14:textFill>
              </w:rPr>
              <w:t>—</w:t>
            </w:r>
          </w:p>
        </w:tc>
        <w:tc>
          <w:tcPr>
            <w:tcW w:w="1194"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rPr>
                <w:rFonts w:ascii="宋体" w:hAnsi="宋体" w:eastAsia="宋体" w:cs="宋体"/>
                <w:color w:val="000000" w:themeColor="text1"/>
                <w:sz w:val="20"/>
                <w:szCs w:val="20"/>
                <w14:textFill>
                  <w14:solidFill>
                    <w14:schemeClr w14:val="tx1"/>
                  </w14:solidFill>
                </w14:textFill>
              </w:rPr>
            </w:pPr>
            <w:r>
              <w:rPr>
                <w:rFonts w:hint="eastAsia" w:ascii="Times New Roman" w:hAnsi="Times New Roman" w:eastAsia="宋体" w:cs="宋体"/>
                <w:color w:val="000000" w:themeColor="text1"/>
                <w:sz w:val="20"/>
                <w:szCs w:val="20"/>
                <w14:textFill>
                  <w14:solidFill>
                    <w14:schemeClr w14:val="tx1"/>
                  </w14:solidFill>
                </w14:textFill>
              </w:rPr>
              <w:t>6</w:t>
            </w:r>
            <w:r>
              <w:rPr>
                <w:rFonts w:hint="eastAsia" w:ascii="宋体" w:hAnsi="宋体" w:eastAsia="宋体" w:cs="宋体"/>
                <w:color w:val="000000" w:themeColor="text1"/>
                <w:sz w:val="20"/>
                <w:szCs w:val="20"/>
                <w14:textFill>
                  <w14:solidFill>
                    <w14:schemeClr w14:val="tx1"/>
                  </w14:solidFill>
                </w14:textFill>
              </w:rPr>
              <w:t>.</w:t>
            </w:r>
            <w:r>
              <w:rPr>
                <w:rFonts w:hint="eastAsia" w:ascii="Times New Roman" w:hAnsi="Times New Roman" w:eastAsia="宋体" w:cs="宋体"/>
                <w:color w:val="000000" w:themeColor="text1"/>
                <w:sz w:val="20"/>
                <w:szCs w:val="20"/>
                <w14:textFill>
                  <w14:solidFill>
                    <w14:schemeClr w14:val="tx1"/>
                  </w14:solidFill>
                </w14:textFill>
              </w:rPr>
              <w:t>2</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lang w:bidi="ar"/>
                <w14:textFill>
                  <w14:solidFill>
                    <w14:schemeClr w14:val="tx1"/>
                  </w14:solidFill>
                </w14:textFill>
              </w:rPr>
              <w:t>—</w:t>
            </w:r>
          </w:p>
        </w:tc>
        <w:tc>
          <w:tcPr>
            <w:tcW w:w="1264"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lang w:bidi="ar"/>
                <w14:textFill>
                  <w14:solidFill>
                    <w14:schemeClr w14:val="tx1"/>
                  </w14:solidFill>
                </w14:textFill>
              </w:rPr>
              <w:t>〉</w:t>
            </w:r>
            <w:r>
              <w:rPr>
                <w:rFonts w:hint="eastAsia" w:ascii="Times New Roman" w:hAnsi="Times New Roman" w:eastAsia="宋体" w:cs="宋体"/>
                <w:color w:val="000000" w:themeColor="text1"/>
                <w:sz w:val="20"/>
                <w:szCs w:val="20"/>
                <w:lang w:bidi="ar"/>
                <w14:textFill>
                  <w14:solidFill>
                    <w14:schemeClr w14:val="tx1"/>
                  </w14:solidFill>
                </w14:textFill>
              </w:rPr>
              <w:t>5</w:t>
            </w:r>
            <w:r>
              <w:rPr>
                <w:rFonts w:hint="eastAsia" w:ascii="宋体" w:hAnsi="宋体" w:eastAsia="宋体" w:cs="宋体"/>
                <w:color w:val="000000" w:themeColor="text1"/>
                <w:sz w:val="20"/>
                <w:szCs w:val="20"/>
                <w:lang w:bidi="ar"/>
                <w14:textFill>
                  <w14:solidFill>
                    <w14:schemeClr w14:val="tx1"/>
                  </w14:solidFill>
                </w14:textFill>
              </w:rPr>
              <w:t>.</w:t>
            </w:r>
            <w:r>
              <w:rPr>
                <w:rFonts w:hint="eastAsia" w:ascii="Times New Roman" w:hAnsi="Times New Roman" w:eastAsia="宋体" w:cs="宋体"/>
                <w:color w:val="000000" w:themeColor="text1"/>
                <w:sz w:val="20"/>
                <w:szCs w:val="20"/>
                <w:lang w:bidi="ar"/>
                <w14:textFill>
                  <w14:solidFill>
                    <w14:schemeClr w14:val="tx1"/>
                  </w14:solidFill>
                </w14:textFill>
              </w:rPr>
              <w:t>5</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lang w:bidi="ar"/>
                <w14:textFill>
                  <w14:solidFill>
                    <w14:schemeClr w14:val="tx1"/>
                  </w14:solidFill>
                </w14:textFill>
              </w:rPr>
              <w:t>预期性</w:t>
            </w:r>
          </w:p>
        </w:tc>
      </w:tr>
      <w:tr>
        <w:tblPrEx>
          <w:tblCellMar>
            <w:top w:w="0" w:type="dxa"/>
            <w:left w:w="108" w:type="dxa"/>
            <w:bottom w:w="0" w:type="dxa"/>
            <w:right w:w="108" w:type="dxa"/>
          </w:tblCellMar>
        </w:tblPrEx>
        <w:trPr>
          <w:trHeight w:val="680" w:hRule="atLeast"/>
          <w:jc w:val="center"/>
        </w:trPr>
        <w:tc>
          <w:tcPr>
            <w:tcW w:w="46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2"/>
                <w:lang w:bidi="ar"/>
                <w14:textFill>
                  <w14:solidFill>
                    <w14:schemeClr w14:val="tx1"/>
                  </w14:solidFill>
                </w14:textFill>
              </w:rPr>
            </w:pPr>
            <w:r>
              <w:rPr>
                <w:rFonts w:hint="eastAsia" w:ascii="Times New Roman" w:hAnsi="Times New Roman" w:eastAsia="宋体" w:cs="宋体"/>
                <w:color w:val="000000" w:themeColor="text1"/>
                <w:sz w:val="22"/>
                <w:lang w:bidi="ar"/>
                <w14:textFill>
                  <w14:solidFill>
                    <w14:schemeClr w14:val="tx1"/>
                  </w14:solidFill>
                </w14:textFill>
              </w:rPr>
              <w:t>3</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300" w:lineRule="exact"/>
              <w:textAlignment w:val="top"/>
              <w:rPr>
                <w:rFonts w:ascii="宋体" w:hAnsi="宋体" w:eastAsia="宋体" w:cs="宋体"/>
                <w:color w:val="000000" w:themeColor="text1"/>
                <w:sz w:val="22"/>
                <w:lang w:bidi="ar"/>
                <w14:textFill>
                  <w14:solidFill>
                    <w14:schemeClr w14:val="tx1"/>
                  </w14:solidFill>
                </w14:textFill>
              </w:rPr>
            </w:pPr>
            <w:r>
              <w:rPr>
                <w:rFonts w:hint="eastAsia" w:ascii="宋体" w:hAnsi="宋体" w:eastAsia="宋体" w:cs="宋体"/>
                <w:color w:val="000000" w:themeColor="text1"/>
                <w:sz w:val="22"/>
                <w:lang w:bidi="ar"/>
                <w14:textFill>
                  <w14:solidFill>
                    <w14:schemeClr w14:val="tx1"/>
                  </w14:solidFill>
                </w14:textFill>
              </w:rPr>
              <w:t>固定资产投资增长（%）</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0"/>
                <w:szCs w:val="20"/>
                <w:lang w:bidi="ar"/>
                <w14:textFill>
                  <w14:solidFill>
                    <w14:schemeClr w14:val="tx1"/>
                  </w14:solidFill>
                </w14:textFill>
              </w:rPr>
            </w:pPr>
            <w:r>
              <w:rPr>
                <w:rFonts w:hint="eastAsia" w:ascii="宋体" w:hAnsi="宋体" w:eastAsia="宋体" w:cs="宋体"/>
                <w:color w:val="000000" w:themeColor="text1"/>
                <w:sz w:val="20"/>
                <w:szCs w:val="20"/>
                <w:lang w:bidi="ar"/>
                <w14:textFill>
                  <w14:solidFill>
                    <w14:schemeClr w14:val="tx1"/>
                  </w14:solidFill>
                </w14:textFill>
              </w:rPr>
              <w:t>—</w:t>
            </w:r>
          </w:p>
        </w:tc>
        <w:tc>
          <w:tcPr>
            <w:tcW w:w="1194"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rPr>
                <w:rFonts w:ascii="宋体" w:hAnsi="宋体" w:eastAsia="宋体" w:cs="宋体"/>
                <w:color w:val="000000" w:themeColor="text1"/>
                <w:sz w:val="20"/>
                <w:szCs w:val="20"/>
                <w14:textFill>
                  <w14:solidFill>
                    <w14:schemeClr w14:val="tx1"/>
                  </w14:solidFill>
                </w14:textFill>
              </w:rPr>
            </w:pPr>
            <w:r>
              <w:rPr>
                <w:rFonts w:hint="eastAsia" w:ascii="Times New Roman" w:hAnsi="Times New Roman" w:eastAsia="宋体" w:cs="宋体"/>
                <w:color w:val="000000" w:themeColor="text1"/>
                <w:sz w:val="20"/>
                <w:szCs w:val="20"/>
                <w14:textFill>
                  <w14:solidFill>
                    <w14:schemeClr w14:val="tx1"/>
                  </w14:solidFill>
                </w14:textFill>
              </w:rPr>
              <w:t>9</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0"/>
                <w:szCs w:val="20"/>
                <w:lang w:bidi="ar"/>
                <w14:textFill>
                  <w14:solidFill>
                    <w14:schemeClr w14:val="tx1"/>
                  </w14:solidFill>
                </w14:textFill>
              </w:rPr>
            </w:pPr>
            <w:r>
              <w:rPr>
                <w:rFonts w:hint="eastAsia" w:ascii="宋体" w:hAnsi="宋体" w:eastAsia="宋体" w:cs="宋体"/>
                <w:color w:val="000000" w:themeColor="text1"/>
                <w:sz w:val="20"/>
                <w:szCs w:val="20"/>
                <w:lang w:bidi="ar"/>
                <w14:textFill>
                  <w14:solidFill>
                    <w14:schemeClr w14:val="tx1"/>
                  </w14:solidFill>
                </w14:textFill>
              </w:rPr>
              <w:t>—</w:t>
            </w:r>
          </w:p>
        </w:tc>
        <w:tc>
          <w:tcPr>
            <w:tcW w:w="1264"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0"/>
                <w:szCs w:val="20"/>
                <w:lang w:bidi="ar"/>
                <w14:textFill>
                  <w14:solidFill>
                    <w14:schemeClr w14:val="tx1"/>
                  </w14:solidFill>
                </w14:textFill>
              </w:rPr>
            </w:pPr>
            <w:r>
              <w:rPr>
                <w:rFonts w:hint="eastAsia" w:ascii="Times New Roman" w:hAnsi="Times New Roman" w:eastAsia="宋体" w:cs="宋体"/>
                <w:color w:val="000000" w:themeColor="text1"/>
                <w:sz w:val="20"/>
                <w:szCs w:val="20"/>
                <w:lang w:bidi="ar"/>
                <w14:textFill>
                  <w14:solidFill>
                    <w14:schemeClr w14:val="tx1"/>
                  </w14:solidFill>
                </w14:textFill>
              </w:rPr>
              <w:t>5</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2"/>
                <w:lang w:bidi="ar"/>
                <w14:textFill>
                  <w14:solidFill>
                    <w14:schemeClr w14:val="tx1"/>
                  </w14:solidFill>
                </w14:textFill>
              </w:rPr>
            </w:pPr>
            <w:r>
              <w:rPr>
                <w:rFonts w:hint="eastAsia" w:ascii="宋体" w:hAnsi="宋体" w:eastAsia="宋体" w:cs="宋体"/>
                <w:color w:val="000000" w:themeColor="text1"/>
                <w:sz w:val="22"/>
                <w:lang w:bidi="ar"/>
                <w14:textFill>
                  <w14:solidFill>
                    <w14:schemeClr w14:val="tx1"/>
                  </w14:solidFill>
                </w14:textFill>
              </w:rPr>
              <w:t>预期性</w:t>
            </w:r>
          </w:p>
        </w:tc>
      </w:tr>
      <w:tr>
        <w:tblPrEx>
          <w:tblCellMar>
            <w:top w:w="0" w:type="dxa"/>
            <w:left w:w="108" w:type="dxa"/>
            <w:bottom w:w="0" w:type="dxa"/>
            <w:right w:w="108" w:type="dxa"/>
          </w:tblCellMar>
        </w:tblPrEx>
        <w:trPr>
          <w:trHeight w:val="680" w:hRule="atLeast"/>
          <w:jc w:val="center"/>
        </w:trPr>
        <w:tc>
          <w:tcPr>
            <w:tcW w:w="46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2"/>
                <w14:textFill>
                  <w14:solidFill>
                    <w14:schemeClr w14:val="tx1"/>
                  </w14:solidFill>
                </w14:textFill>
              </w:rPr>
            </w:pPr>
            <w:r>
              <w:rPr>
                <w:rFonts w:hint="eastAsia" w:ascii="Times New Roman" w:hAnsi="Times New Roman" w:eastAsia="宋体" w:cs="宋体"/>
                <w:color w:val="000000" w:themeColor="text1"/>
                <w:sz w:val="22"/>
                <w:lang w:bidi="ar"/>
                <w14:textFill>
                  <w14:solidFill>
                    <w14:schemeClr w14:val="tx1"/>
                  </w14:solidFill>
                </w14:textFill>
              </w:rPr>
              <w:t>4</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300" w:lineRule="exact"/>
              <w:textAlignment w:val="top"/>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lang w:bidi="ar"/>
                <w14:textFill>
                  <w14:solidFill>
                    <w14:schemeClr w14:val="tx1"/>
                  </w14:solidFill>
                </w14:textFill>
              </w:rPr>
              <w:t>社会消费品零售总额增长（%）</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lang w:bidi="ar"/>
                <w14:textFill>
                  <w14:solidFill>
                    <w14:schemeClr w14:val="tx1"/>
                  </w14:solidFill>
                </w14:textFill>
              </w:rPr>
              <w:t>—</w:t>
            </w:r>
          </w:p>
        </w:tc>
        <w:tc>
          <w:tcPr>
            <w:tcW w:w="1194"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rPr>
                <w:rFonts w:ascii="宋体" w:hAnsi="宋体" w:eastAsia="宋体" w:cs="宋体"/>
                <w:color w:val="000000" w:themeColor="text1"/>
                <w:sz w:val="20"/>
                <w:szCs w:val="20"/>
                <w14:textFill>
                  <w14:solidFill>
                    <w14:schemeClr w14:val="tx1"/>
                  </w14:solidFill>
                </w14:textFill>
              </w:rPr>
            </w:pPr>
            <w:r>
              <w:rPr>
                <w:rFonts w:hint="eastAsia" w:ascii="Times New Roman" w:hAnsi="Times New Roman" w:eastAsia="宋体" w:cs="宋体"/>
                <w:color w:val="000000" w:themeColor="text1"/>
                <w:sz w:val="20"/>
                <w:szCs w:val="20"/>
                <w14:textFill>
                  <w14:solidFill>
                    <w14:schemeClr w14:val="tx1"/>
                  </w14:solidFill>
                </w14:textFill>
              </w:rPr>
              <w:t>7</w:t>
            </w:r>
            <w:r>
              <w:rPr>
                <w:rFonts w:hint="eastAsia" w:ascii="宋体" w:hAnsi="宋体" w:eastAsia="宋体" w:cs="宋体"/>
                <w:color w:val="000000" w:themeColor="text1"/>
                <w:sz w:val="20"/>
                <w:szCs w:val="20"/>
                <w14:textFill>
                  <w14:solidFill>
                    <w14:schemeClr w14:val="tx1"/>
                  </w14:solidFill>
                </w14:textFill>
              </w:rPr>
              <w:t>.</w:t>
            </w:r>
            <w:r>
              <w:rPr>
                <w:rFonts w:hint="eastAsia" w:ascii="Times New Roman" w:hAnsi="Times New Roman" w:eastAsia="宋体" w:cs="宋体"/>
                <w:color w:val="000000" w:themeColor="text1"/>
                <w:sz w:val="20"/>
                <w:szCs w:val="20"/>
                <w14:textFill>
                  <w14:solidFill>
                    <w14:schemeClr w14:val="tx1"/>
                  </w14:solidFill>
                </w14:textFill>
              </w:rPr>
              <w:t>8</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lang w:bidi="ar"/>
                <w14:textFill>
                  <w14:solidFill>
                    <w14:schemeClr w14:val="tx1"/>
                  </w14:solidFill>
                </w14:textFill>
              </w:rPr>
              <w:t>—</w:t>
            </w:r>
          </w:p>
        </w:tc>
        <w:tc>
          <w:tcPr>
            <w:tcW w:w="1264"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0"/>
                <w:szCs w:val="20"/>
                <w14:textFill>
                  <w14:solidFill>
                    <w14:schemeClr w14:val="tx1"/>
                  </w14:solidFill>
                </w14:textFill>
              </w:rPr>
            </w:pPr>
            <w:r>
              <w:rPr>
                <w:rFonts w:hint="eastAsia" w:ascii="Times New Roman" w:hAnsi="Times New Roman" w:eastAsia="宋体" w:cs="宋体"/>
                <w:color w:val="000000" w:themeColor="text1"/>
                <w:sz w:val="20"/>
                <w:szCs w:val="20"/>
                <w:lang w:bidi="ar"/>
                <w14:textFill>
                  <w14:solidFill>
                    <w14:schemeClr w14:val="tx1"/>
                  </w14:solidFill>
                </w14:textFill>
              </w:rPr>
              <w:t>7</w:t>
            </w:r>
            <w:r>
              <w:rPr>
                <w:rFonts w:hint="eastAsia" w:ascii="宋体" w:hAnsi="宋体" w:eastAsia="宋体" w:cs="宋体"/>
                <w:color w:val="000000" w:themeColor="text1"/>
                <w:sz w:val="20"/>
                <w:szCs w:val="20"/>
                <w:lang w:bidi="ar"/>
                <w14:textFill>
                  <w14:solidFill>
                    <w14:schemeClr w14:val="tx1"/>
                  </w14:solidFill>
                </w14:textFill>
              </w:rPr>
              <w:t>.</w:t>
            </w:r>
            <w:r>
              <w:rPr>
                <w:rFonts w:hint="eastAsia" w:ascii="Times New Roman" w:hAnsi="Times New Roman" w:eastAsia="宋体" w:cs="宋体"/>
                <w:color w:val="000000" w:themeColor="text1"/>
                <w:sz w:val="20"/>
                <w:szCs w:val="20"/>
                <w:lang w:bidi="ar"/>
                <w14:textFill>
                  <w14:solidFill>
                    <w14:schemeClr w14:val="tx1"/>
                  </w14:solidFill>
                </w14:textFill>
              </w:rPr>
              <w:t>8</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lang w:bidi="ar"/>
                <w14:textFill>
                  <w14:solidFill>
                    <w14:schemeClr w14:val="tx1"/>
                  </w14:solidFill>
                </w14:textFill>
              </w:rPr>
              <w:t>预期性</w:t>
            </w:r>
          </w:p>
        </w:tc>
      </w:tr>
      <w:tr>
        <w:tblPrEx>
          <w:tblCellMar>
            <w:top w:w="0" w:type="dxa"/>
            <w:left w:w="108" w:type="dxa"/>
            <w:bottom w:w="0" w:type="dxa"/>
            <w:right w:w="108" w:type="dxa"/>
          </w:tblCellMar>
        </w:tblPrEx>
        <w:trPr>
          <w:trHeight w:val="680" w:hRule="atLeast"/>
          <w:jc w:val="center"/>
        </w:trPr>
        <w:tc>
          <w:tcPr>
            <w:tcW w:w="46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kern w:val="2"/>
                <w:sz w:val="22"/>
                <w14:textFill>
                  <w14:solidFill>
                    <w14:schemeClr w14:val="tx1"/>
                  </w14:solidFill>
                </w14:textFill>
              </w:rPr>
            </w:pPr>
            <w:r>
              <w:rPr>
                <w:rFonts w:hint="eastAsia" w:ascii="Times New Roman" w:hAnsi="Times New Roman" w:eastAsia="宋体" w:cs="宋体"/>
                <w:color w:val="000000" w:themeColor="text1"/>
                <w:sz w:val="22"/>
                <w:lang w:bidi="ar"/>
                <w14:textFill>
                  <w14:solidFill>
                    <w14:schemeClr w14:val="tx1"/>
                  </w14:solidFill>
                </w14:textFill>
              </w:rPr>
              <w:t>5</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300" w:lineRule="exact"/>
              <w:textAlignment w:val="top"/>
              <w:rPr>
                <w:rFonts w:ascii="宋体" w:hAnsi="宋体" w:eastAsia="宋体" w:cs="宋体"/>
                <w:color w:val="000000" w:themeColor="text1"/>
                <w:kern w:val="2"/>
                <w:sz w:val="22"/>
                <w14:textFill>
                  <w14:solidFill>
                    <w14:schemeClr w14:val="tx1"/>
                  </w14:solidFill>
                </w14:textFill>
              </w:rPr>
            </w:pPr>
            <w:r>
              <w:rPr>
                <w:rFonts w:hint="eastAsia" w:ascii="宋体" w:hAnsi="宋体" w:eastAsia="宋体" w:cs="宋体"/>
                <w:color w:val="000000" w:themeColor="text1"/>
                <w:sz w:val="22"/>
                <w:lang w:bidi="ar"/>
                <w14:textFill>
                  <w14:solidFill>
                    <w14:schemeClr w14:val="tx1"/>
                  </w14:solidFill>
                </w14:textFill>
              </w:rPr>
              <w:t>常住人口城镇化率（%）</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kern w:val="2"/>
                <w:sz w:val="20"/>
                <w:szCs w:val="20"/>
                <w14:textFill>
                  <w14:solidFill>
                    <w14:schemeClr w14:val="tx1"/>
                  </w14:solidFill>
                </w14:textFill>
              </w:rPr>
            </w:pPr>
            <w:r>
              <w:rPr>
                <w:rFonts w:hint="eastAsia" w:ascii="Times New Roman" w:hAnsi="Times New Roman" w:eastAsia="宋体" w:cs="宋体"/>
                <w:color w:val="000000" w:themeColor="text1"/>
                <w:sz w:val="20"/>
                <w:szCs w:val="20"/>
                <w:lang w:bidi="ar"/>
                <w14:textFill>
                  <w14:solidFill>
                    <w14:schemeClr w14:val="tx1"/>
                  </w14:solidFill>
                </w14:textFill>
              </w:rPr>
              <w:t>100</w:t>
            </w:r>
          </w:p>
        </w:tc>
        <w:tc>
          <w:tcPr>
            <w:tcW w:w="1194"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kern w:val="2"/>
                <w:sz w:val="20"/>
                <w:szCs w:val="20"/>
                <w14:textFill>
                  <w14:solidFill>
                    <w14:schemeClr w14:val="tx1"/>
                  </w14:solidFill>
                </w14:textFill>
              </w:rPr>
            </w:pPr>
            <w:r>
              <w:rPr>
                <w:rFonts w:hint="eastAsia" w:ascii="宋体" w:hAnsi="宋体" w:eastAsia="宋体" w:cs="宋体"/>
                <w:color w:val="000000" w:themeColor="text1"/>
                <w:sz w:val="20"/>
                <w:szCs w:val="20"/>
                <w:lang w:bidi="ar"/>
                <w14:textFill>
                  <w14:solidFill>
                    <w14:schemeClr w14:val="tx1"/>
                  </w14:solidFill>
                </w14:textFill>
              </w:rPr>
              <w:t>—</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kern w:val="2"/>
                <w:sz w:val="20"/>
                <w:szCs w:val="20"/>
                <w14:textFill>
                  <w14:solidFill>
                    <w14:schemeClr w14:val="tx1"/>
                  </w14:solidFill>
                </w14:textFill>
              </w:rPr>
            </w:pPr>
            <w:r>
              <w:rPr>
                <w:rFonts w:hint="eastAsia" w:ascii="Times New Roman" w:hAnsi="Times New Roman" w:eastAsia="宋体" w:cs="宋体"/>
                <w:color w:val="000000" w:themeColor="text1"/>
                <w:sz w:val="20"/>
                <w:szCs w:val="20"/>
                <w:lang w:bidi="ar"/>
                <w14:textFill>
                  <w14:solidFill>
                    <w14:schemeClr w14:val="tx1"/>
                  </w14:solidFill>
                </w14:textFill>
              </w:rPr>
              <w:t>100</w:t>
            </w:r>
          </w:p>
        </w:tc>
        <w:tc>
          <w:tcPr>
            <w:tcW w:w="1264"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kern w:val="2"/>
                <w:sz w:val="20"/>
                <w:szCs w:val="20"/>
                <w14:textFill>
                  <w14:solidFill>
                    <w14:schemeClr w14:val="tx1"/>
                  </w14:solidFill>
                </w14:textFill>
              </w:rPr>
            </w:pPr>
            <w:r>
              <w:rPr>
                <w:rFonts w:hint="eastAsia" w:ascii="宋体" w:hAnsi="宋体" w:eastAsia="宋体" w:cs="宋体"/>
                <w:color w:val="000000" w:themeColor="text1"/>
                <w:sz w:val="20"/>
                <w:szCs w:val="20"/>
                <w:lang w:bidi="ar"/>
                <w14:textFill>
                  <w14:solidFill>
                    <w14:schemeClr w14:val="tx1"/>
                  </w14:solidFill>
                </w14:textFill>
              </w:rPr>
              <w:t>—</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kern w:val="2"/>
                <w:sz w:val="22"/>
                <w14:textFill>
                  <w14:solidFill>
                    <w14:schemeClr w14:val="tx1"/>
                  </w14:solidFill>
                </w14:textFill>
              </w:rPr>
            </w:pPr>
            <w:r>
              <w:rPr>
                <w:rFonts w:hint="eastAsia" w:ascii="宋体" w:hAnsi="宋体" w:eastAsia="宋体" w:cs="宋体"/>
                <w:color w:val="000000" w:themeColor="text1"/>
                <w:sz w:val="22"/>
                <w:lang w:bidi="ar"/>
                <w14:textFill>
                  <w14:solidFill>
                    <w14:schemeClr w14:val="tx1"/>
                  </w14:solidFill>
                </w14:textFill>
              </w:rPr>
              <w:t>预期性</w:t>
            </w:r>
          </w:p>
        </w:tc>
      </w:tr>
      <w:tr>
        <w:tblPrEx>
          <w:tblCellMar>
            <w:top w:w="0" w:type="dxa"/>
            <w:left w:w="108" w:type="dxa"/>
            <w:bottom w:w="0" w:type="dxa"/>
            <w:right w:w="108" w:type="dxa"/>
          </w:tblCellMar>
        </w:tblPrEx>
        <w:trPr>
          <w:trHeight w:val="680" w:hRule="atLeast"/>
          <w:jc w:val="center"/>
        </w:trPr>
        <w:tc>
          <w:tcPr>
            <w:tcW w:w="8760" w:type="dxa"/>
            <w:gridSpan w:val="7"/>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300" w:lineRule="exact"/>
              <w:textAlignment w:val="top"/>
              <w:rPr>
                <w:rFonts w:ascii="宋体" w:hAnsi="宋体" w:eastAsia="宋体" w:cs="宋体"/>
                <w:b/>
                <w:color w:val="000000" w:themeColor="text1"/>
                <w:sz w:val="20"/>
                <w:szCs w:val="20"/>
                <w14:textFill>
                  <w14:solidFill>
                    <w14:schemeClr w14:val="tx1"/>
                  </w14:solidFill>
                </w14:textFill>
              </w:rPr>
            </w:pPr>
            <w:r>
              <w:rPr>
                <w:rFonts w:hint="eastAsia" w:ascii="宋体" w:hAnsi="宋体" w:eastAsia="宋体" w:cs="宋体"/>
                <w:b/>
                <w:color w:val="000000" w:themeColor="text1"/>
                <w:sz w:val="20"/>
                <w:szCs w:val="20"/>
                <w:lang w:bidi="ar"/>
                <w14:textFill>
                  <w14:solidFill>
                    <w14:schemeClr w14:val="tx1"/>
                  </w14:solidFill>
                </w14:textFill>
              </w:rPr>
              <w:t>二、创新驱动</w:t>
            </w:r>
          </w:p>
        </w:tc>
      </w:tr>
      <w:tr>
        <w:tblPrEx>
          <w:tblCellMar>
            <w:top w:w="0" w:type="dxa"/>
            <w:left w:w="108" w:type="dxa"/>
            <w:bottom w:w="0" w:type="dxa"/>
            <w:right w:w="108" w:type="dxa"/>
          </w:tblCellMar>
        </w:tblPrEx>
        <w:trPr>
          <w:trHeight w:val="680" w:hRule="atLeast"/>
          <w:jc w:val="center"/>
        </w:trPr>
        <w:tc>
          <w:tcPr>
            <w:tcW w:w="46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2"/>
                <w14:textFill>
                  <w14:solidFill>
                    <w14:schemeClr w14:val="tx1"/>
                  </w14:solidFill>
                </w14:textFill>
              </w:rPr>
            </w:pPr>
            <w:r>
              <w:rPr>
                <w:rFonts w:hint="eastAsia" w:ascii="Times New Roman" w:hAnsi="Times New Roman" w:eastAsia="宋体" w:cs="宋体"/>
                <w:color w:val="000000" w:themeColor="text1"/>
                <w:sz w:val="22"/>
                <w:lang w:bidi="ar"/>
                <w14:textFill>
                  <w14:solidFill>
                    <w14:schemeClr w14:val="tx1"/>
                  </w14:solidFill>
                </w14:textFill>
              </w:rPr>
              <w:t>6</w:t>
            </w:r>
          </w:p>
        </w:tc>
        <w:tc>
          <w:tcPr>
            <w:tcW w:w="2145" w:type="dxa"/>
            <w:tcBorders>
              <w:top w:val="single" w:color="000000" w:sz="4" w:space="0"/>
              <w:left w:val="single" w:color="000000" w:sz="4" w:space="0"/>
              <w:bottom w:val="single" w:color="000000" w:sz="4" w:space="0"/>
              <w:right w:val="nil"/>
            </w:tcBorders>
            <w:vAlign w:val="center"/>
          </w:tcPr>
          <w:p>
            <w:pPr>
              <w:widowControl w:val="0"/>
              <w:adjustRightInd w:val="0"/>
              <w:snapToGrid w:val="0"/>
              <w:spacing w:after="0" w:line="300" w:lineRule="exact"/>
              <w:textAlignment w:val="top"/>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lang w:bidi="ar"/>
                <w14:textFill>
                  <w14:solidFill>
                    <w14:schemeClr w14:val="tx1"/>
                  </w14:solidFill>
                </w14:textFill>
              </w:rPr>
              <w:t>研发经费投入增长（%）</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lang w:bidi="ar"/>
                <w14:textFill>
                  <w14:solidFill>
                    <w14:schemeClr w14:val="tx1"/>
                  </w14:solidFill>
                </w14:textFill>
              </w:rPr>
              <w:t>—</w:t>
            </w:r>
          </w:p>
        </w:tc>
        <w:tc>
          <w:tcPr>
            <w:tcW w:w="1194" w:type="dxa"/>
            <w:tcBorders>
              <w:top w:val="single" w:color="000000" w:sz="4" w:space="0"/>
              <w:left w:val="single" w:color="000000" w:sz="4" w:space="0"/>
              <w:bottom w:val="single" w:color="auto"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lang w:bidi="ar"/>
                <w14:textFill>
                  <w14:solidFill>
                    <w14:schemeClr w14:val="tx1"/>
                  </w14:solidFill>
                </w14:textFill>
              </w:rPr>
              <w:t>-</w:t>
            </w:r>
            <w:r>
              <w:rPr>
                <w:rFonts w:hint="eastAsia" w:ascii="Times New Roman" w:hAnsi="Times New Roman" w:eastAsia="宋体" w:cs="宋体"/>
                <w:color w:val="000000" w:themeColor="text1"/>
                <w:sz w:val="20"/>
                <w:szCs w:val="20"/>
                <w:lang w:bidi="ar"/>
                <w14:textFill>
                  <w14:solidFill>
                    <w14:schemeClr w14:val="tx1"/>
                  </w14:solidFill>
                </w14:textFill>
              </w:rPr>
              <w:t>2</w:t>
            </w:r>
            <w:r>
              <w:rPr>
                <w:rFonts w:hint="eastAsia" w:ascii="宋体" w:hAnsi="宋体" w:eastAsia="宋体" w:cs="宋体"/>
                <w:color w:val="000000" w:themeColor="text1"/>
                <w:sz w:val="20"/>
                <w:szCs w:val="20"/>
                <w:lang w:bidi="ar"/>
                <w14:textFill>
                  <w14:solidFill>
                    <w14:schemeClr w14:val="tx1"/>
                  </w14:solidFill>
                </w14:textFill>
              </w:rPr>
              <w:t>.</w:t>
            </w:r>
            <w:r>
              <w:rPr>
                <w:rFonts w:hint="eastAsia" w:ascii="Times New Roman" w:hAnsi="Times New Roman" w:eastAsia="宋体" w:cs="宋体"/>
                <w:color w:val="000000" w:themeColor="text1"/>
                <w:sz w:val="20"/>
                <w:szCs w:val="20"/>
                <w:lang w:bidi="ar"/>
                <w14:textFill>
                  <w14:solidFill>
                    <w14:schemeClr w14:val="tx1"/>
                  </w14:solidFill>
                </w14:textFill>
              </w:rPr>
              <w:t>5</w:t>
            </w:r>
          </w:p>
        </w:tc>
        <w:tc>
          <w:tcPr>
            <w:tcW w:w="1188" w:type="dxa"/>
            <w:tcBorders>
              <w:top w:val="single" w:color="000000" w:sz="4" w:space="0"/>
              <w:left w:val="single" w:color="000000" w:sz="4" w:space="0"/>
              <w:bottom w:val="single" w:color="auto"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lang w:bidi="ar"/>
                <w14:textFill>
                  <w14:solidFill>
                    <w14:schemeClr w14:val="tx1"/>
                  </w14:solidFill>
                </w14:textFill>
              </w:rPr>
              <w:t>—</w:t>
            </w:r>
          </w:p>
        </w:tc>
        <w:tc>
          <w:tcPr>
            <w:tcW w:w="1264" w:type="dxa"/>
            <w:tcBorders>
              <w:top w:val="single" w:color="000000" w:sz="4" w:space="0"/>
              <w:left w:val="nil"/>
              <w:bottom w:val="single" w:color="auto"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0"/>
                <w:szCs w:val="20"/>
                <w14:textFill>
                  <w14:solidFill>
                    <w14:schemeClr w14:val="tx1"/>
                  </w14:solidFill>
                </w14:textFill>
              </w:rPr>
            </w:pPr>
            <w:r>
              <w:rPr>
                <w:rFonts w:hint="eastAsia" w:ascii="Times New Roman" w:hAnsi="Times New Roman" w:eastAsia="宋体" w:cs="宋体"/>
                <w:color w:val="000000" w:themeColor="text1"/>
                <w:sz w:val="20"/>
                <w:szCs w:val="20"/>
                <w:lang w:bidi="ar"/>
                <w14:textFill>
                  <w14:solidFill>
                    <w14:schemeClr w14:val="tx1"/>
                  </w14:solidFill>
                </w14:textFill>
              </w:rPr>
              <w:t>10</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lang w:bidi="ar"/>
                <w14:textFill>
                  <w14:solidFill>
                    <w14:schemeClr w14:val="tx1"/>
                  </w14:solidFill>
                </w14:textFill>
              </w:rPr>
              <w:t>预期性</w:t>
            </w:r>
          </w:p>
        </w:tc>
      </w:tr>
      <w:tr>
        <w:tblPrEx>
          <w:tblCellMar>
            <w:top w:w="0" w:type="dxa"/>
            <w:left w:w="108" w:type="dxa"/>
            <w:bottom w:w="0" w:type="dxa"/>
            <w:right w:w="108" w:type="dxa"/>
          </w:tblCellMar>
        </w:tblPrEx>
        <w:trPr>
          <w:trHeight w:val="680" w:hRule="atLeast"/>
          <w:jc w:val="center"/>
        </w:trPr>
        <w:tc>
          <w:tcPr>
            <w:tcW w:w="46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rPr>
                <w:rFonts w:ascii="宋体" w:hAnsi="宋体" w:eastAsia="宋体" w:cs="宋体"/>
                <w:color w:val="000000" w:themeColor="text1"/>
                <w:sz w:val="22"/>
                <w14:textFill>
                  <w14:solidFill>
                    <w14:schemeClr w14:val="tx1"/>
                  </w14:solidFill>
                </w14:textFill>
              </w:rPr>
            </w:pPr>
            <w:r>
              <w:rPr>
                <w:rFonts w:hint="eastAsia" w:ascii="Times New Roman" w:hAnsi="Times New Roman" w:eastAsia="宋体" w:cs="宋体"/>
                <w:color w:val="000000" w:themeColor="text1"/>
                <w:sz w:val="22"/>
                <w14:textFill>
                  <w14:solidFill>
                    <w14:schemeClr w14:val="tx1"/>
                  </w14:solidFill>
                </w14:textFill>
              </w:rPr>
              <w:t>7</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300" w:lineRule="exact"/>
              <w:textAlignment w:val="top"/>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lang w:bidi="ar"/>
                <w14:textFill>
                  <w14:solidFill>
                    <w14:schemeClr w14:val="tx1"/>
                  </w14:solidFill>
                </w14:textFill>
              </w:rPr>
              <w:t>每万人口发明专利拥有量（件）</w:t>
            </w:r>
          </w:p>
        </w:tc>
        <w:tc>
          <w:tcPr>
            <w:tcW w:w="1039" w:type="dxa"/>
            <w:tcBorders>
              <w:top w:val="nil"/>
              <w:left w:val="single" w:color="000000" w:sz="4" w:space="0"/>
              <w:bottom w:val="single" w:color="000000" w:sz="4" w:space="0"/>
              <w:right w:val="single" w:color="auto"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0"/>
                <w:szCs w:val="20"/>
                <w14:textFill>
                  <w14:solidFill>
                    <w14:schemeClr w14:val="tx1"/>
                  </w14:solidFill>
                </w14:textFill>
              </w:rPr>
            </w:pPr>
            <w:r>
              <w:rPr>
                <w:rFonts w:hint="eastAsia" w:ascii="Times New Roman" w:hAnsi="Times New Roman" w:eastAsia="宋体" w:cs="宋体"/>
                <w:color w:val="000000" w:themeColor="text1"/>
                <w:sz w:val="20"/>
                <w:szCs w:val="20"/>
                <w14:textFill>
                  <w14:solidFill>
                    <w14:schemeClr w14:val="tx1"/>
                  </w14:solidFill>
                </w14:textFill>
              </w:rPr>
              <w:t>27</w:t>
            </w:r>
            <w:r>
              <w:rPr>
                <w:rFonts w:hint="eastAsia" w:ascii="宋体" w:hAnsi="宋体" w:eastAsia="宋体" w:cs="宋体"/>
                <w:color w:val="000000" w:themeColor="text1"/>
                <w:sz w:val="20"/>
                <w:szCs w:val="20"/>
                <w14:textFill>
                  <w14:solidFill>
                    <w14:schemeClr w14:val="tx1"/>
                  </w14:solidFill>
                </w14:textFill>
              </w:rPr>
              <w:t>.</w:t>
            </w:r>
            <w:r>
              <w:rPr>
                <w:rFonts w:hint="eastAsia" w:ascii="Times New Roman" w:hAnsi="Times New Roman" w:eastAsia="宋体" w:cs="宋体"/>
                <w:color w:val="000000" w:themeColor="text1"/>
                <w:sz w:val="20"/>
                <w:szCs w:val="20"/>
                <w14:textFill>
                  <w14:solidFill>
                    <w14:schemeClr w14:val="tx1"/>
                  </w14:solidFill>
                </w14:textFill>
              </w:rPr>
              <w:t>9</w:t>
            </w:r>
          </w:p>
        </w:tc>
        <w:tc>
          <w:tcPr>
            <w:tcW w:w="119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lang w:bidi="ar"/>
                <w14:textFill>
                  <w14:solidFill>
                    <w14:schemeClr w14:val="tx1"/>
                  </w14:solidFill>
                </w14:textFill>
              </w:rPr>
              <w:t>—</w:t>
            </w:r>
          </w:p>
        </w:tc>
        <w:tc>
          <w:tcPr>
            <w:tcW w:w="1188"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0"/>
                <w:szCs w:val="20"/>
                <w14:textFill>
                  <w14:solidFill>
                    <w14:schemeClr w14:val="tx1"/>
                  </w14:solidFill>
                </w14:textFill>
              </w:rPr>
            </w:pPr>
            <w:r>
              <w:rPr>
                <w:rFonts w:hint="eastAsia" w:ascii="Times New Roman" w:hAnsi="Times New Roman" w:eastAsia="宋体" w:cs="宋体"/>
                <w:color w:val="000000" w:themeColor="text1"/>
                <w:sz w:val="20"/>
                <w:szCs w:val="20"/>
                <w:lang w:bidi="ar"/>
                <w14:textFill>
                  <w14:solidFill>
                    <w14:schemeClr w14:val="tx1"/>
                  </w14:solidFill>
                </w14:textFill>
              </w:rPr>
              <w:t>32</w:t>
            </w:r>
          </w:p>
        </w:tc>
        <w:tc>
          <w:tcPr>
            <w:tcW w:w="126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lang w:bidi="ar"/>
                <w14:textFill>
                  <w14:solidFill>
                    <w14:schemeClr w14:val="tx1"/>
                  </w14:solidFill>
                </w14:textFill>
              </w:rPr>
              <w:t>—</w:t>
            </w:r>
          </w:p>
        </w:tc>
        <w:tc>
          <w:tcPr>
            <w:tcW w:w="1470" w:type="dxa"/>
            <w:tcBorders>
              <w:top w:val="single" w:color="000000" w:sz="4" w:space="0"/>
              <w:left w:val="single" w:color="auto"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lang w:bidi="ar"/>
                <w14:textFill>
                  <w14:solidFill>
                    <w14:schemeClr w14:val="tx1"/>
                  </w14:solidFill>
                </w14:textFill>
              </w:rPr>
              <w:t>预期性</w:t>
            </w:r>
          </w:p>
        </w:tc>
      </w:tr>
      <w:tr>
        <w:tblPrEx>
          <w:tblCellMar>
            <w:top w:w="0" w:type="dxa"/>
            <w:left w:w="108" w:type="dxa"/>
            <w:bottom w:w="0" w:type="dxa"/>
            <w:right w:w="108" w:type="dxa"/>
          </w:tblCellMar>
        </w:tblPrEx>
        <w:trPr>
          <w:trHeight w:val="680" w:hRule="atLeast"/>
          <w:jc w:val="center"/>
        </w:trPr>
        <w:tc>
          <w:tcPr>
            <w:tcW w:w="8760" w:type="dxa"/>
            <w:gridSpan w:val="7"/>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300" w:lineRule="exact"/>
              <w:textAlignment w:val="top"/>
              <w:rPr>
                <w:rFonts w:ascii="宋体" w:hAnsi="宋体" w:eastAsia="宋体" w:cs="宋体"/>
                <w:b/>
                <w:color w:val="000000" w:themeColor="text1"/>
                <w:sz w:val="20"/>
                <w:szCs w:val="20"/>
                <w14:textFill>
                  <w14:solidFill>
                    <w14:schemeClr w14:val="tx1"/>
                  </w14:solidFill>
                </w14:textFill>
              </w:rPr>
            </w:pPr>
            <w:r>
              <w:rPr>
                <w:rFonts w:hint="eastAsia" w:ascii="宋体" w:hAnsi="宋体" w:eastAsia="宋体" w:cs="宋体"/>
                <w:b/>
                <w:color w:val="000000" w:themeColor="text1"/>
                <w:sz w:val="20"/>
                <w:szCs w:val="20"/>
                <w:lang w:bidi="ar"/>
                <w14:textFill>
                  <w14:solidFill>
                    <w14:schemeClr w14:val="tx1"/>
                  </w14:solidFill>
                </w14:textFill>
              </w:rPr>
              <w:t>三、民生福祉</w:t>
            </w:r>
          </w:p>
        </w:tc>
      </w:tr>
      <w:tr>
        <w:tblPrEx>
          <w:tblCellMar>
            <w:top w:w="0" w:type="dxa"/>
            <w:left w:w="108" w:type="dxa"/>
            <w:bottom w:w="0" w:type="dxa"/>
            <w:right w:w="108" w:type="dxa"/>
          </w:tblCellMar>
        </w:tblPrEx>
        <w:trPr>
          <w:trHeight w:val="680" w:hRule="atLeast"/>
          <w:jc w:val="center"/>
        </w:trPr>
        <w:tc>
          <w:tcPr>
            <w:tcW w:w="46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2"/>
                <w14:textFill>
                  <w14:solidFill>
                    <w14:schemeClr w14:val="tx1"/>
                  </w14:solidFill>
                </w14:textFill>
              </w:rPr>
            </w:pPr>
            <w:r>
              <w:rPr>
                <w:rFonts w:hint="eastAsia" w:ascii="Times New Roman" w:hAnsi="Times New Roman" w:eastAsia="宋体" w:cs="宋体"/>
                <w:color w:val="000000" w:themeColor="text1"/>
                <w:sz w:val="22"/>
                <w:lang w:bidi="ar"/>
                <w14:textFill>
                  <w14:solidFill>
                    <w14:schemeClr w14:val="tx1"/>
                  </w14:solidFill>
                </w14:textFill>
              </w:rPr>
              <w:t>8</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300" w:lineRule="exact"/>
              <w:textAlignment w:val="top"/>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lang w:bidi="ar"/>
                <w14:textFill>
                  <w14:solidFill>
                    <w14:schemeClr w14:val="tx1"/>
                  </w14:solidFill>
                </w14:textFill>
              </w:rPr>
              <w:t>居民人均可支配收入增长（%）</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lang w:bidi="ar"/>
                <w14:textFill>
                  <w14:solidFill>
                    <w14:schemeClr w14:val="tx1"/>
                  </w14:solidFill>
                </w14:textFill>
              </w:rPr>
              <w:t>—</w:t>
            </w:r>
          </w:p>
        </w:tc>
        <w:tc>
          <w:tcPr>
            <w:tcW w:w="1194"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0"/>
                <w:szCs w:val="20"/>
                <w14:textFill>
                  <w14:solidFill>
                    <w14:schemeClr w14:val="tx1"/>
                  </w14:solidFill>
                </w14:textFill>
              </w:rPr>
            </w:pPr>
            <w:r>
              <w:rPr>
                <w:rFonts w:hint="eastAsia" w:ascii="Times New Roman" w:hAnsi="Times New Roman" w:eastAsia="宋体" w:cs="宋体"/>
                <w:color w:val="000000" w:themeColor="text1"/>
                <w:sz w:val="20"/>
                <w:szCs w:val="20"/>
                <w14:textFill>
                  <w14:solidFill>
                    <w14:schemeClr w14:val="tx1"/>
                  </w14:solidFill>
                </w14:textFill>
              </w:rPr>
              <w:t>6</w:t>
            </w:r>
            <w:r>
              <w:rPr>
                <w:rFonts w:hint="eastAsia" w:ascii="宋体" w:hAnsi="宋体" w:eastAsia="宋体" w:cs="宋体"/>
                <w:color w:val="000000" w:themeColor="text1"/>
                <w:sz w:val="20"/>
                <w:szCs w:val="20"/>
                <w14:textFill>
                  <w14:solidFill>
                    <w14:schemeClr w14:val="tx1"/>
                  </w14:solidFill>
                </w14:textFill>
              </w:rPr>
              <w:t>.</w:t>
            </w:r>
            <w:r>
              <w:rPr>
                <w:rFonts w:hint="eastAsia" w:ascii="Times New Roman" w:hAnsi="Times New Roman" w:eastAsia="宋体" w:cs="宋体"/>
                <w:color w:val="000000" w:themeColor="text1"/>
                <w:sz w:val="20"/>
                <w:szCs w:val="20"/>
                <w14:textFill>
                  <w14:solidFill>
                    <w14:schemeClr w14:val="tx1"/>
                  </w14:solidFill>
                </w14:textFill>
              </w:rPr>
              <w:t>75</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lang w:bidi="ar"/>
                <w14:textFill>
                  <w14:solidFill>
                    <w14:schemeClr w14:val="tx1"/>
                  </w14:solidFill>
                </w14:textFill>
              </w:rPr>
              <w:t>—</w:t>
            </w:r>
          </w:p>
        </w:tc>
        <w:tc>
          <w:tcPr>
            <w:tcW w:w="1264"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0"/>
                <w:szCs w:val="20"/>
                <w14:textFill>
                  <w14:solidFill>
                    <w14:schemeClr w14:val="tx1"/>
                  </w14:solidFill>
                </w14:textFill>
              </w:rPr>
            </w:pPr>
            <w:r>
              <w:rPr>
                <w:rFonts w:hint="eastAsia" w:ascii="Times New Roman" w:hAnsi="Times New Roman" w:eastAsia="宋体" w:cs="宋体"/>
                <w:color w:val="000000" w:themeColor="text1"/>
                <w:sz w:val="20"/>
                <w:szCs w:val="20"/>
                <w:lang w:bidi="ar"/>
                <w14:textFill>
                  <w14:solidFill>
                    <w14:schemeClr w14:val="tx1"/>
                  </w14:solidFill>
                </w14:textFill>
              </w:rPr>
              <w:t>6</w:t>
            </w:r>
            <w:r>
              <w:rPr>
                <w:rFonts w:hint="eastAsia" w:ascii="宋体" w:hAnsi="宋体" w:eastAsia="宋体" w:cs="宋体"/>
                <w:color w:val="000000" w:themeColor="text1"/>
                <w:sz w:val="20"/>
                <w:szCs w:val="20"/>
                <w:lang w:bidi="ar"/>
                <w14:textFill>
                  <w14:solidFill>
                    <w14:schemeClr w14:val="tx1"/>
                  </w14:solidFill>
                </w14:textFill>
              </w:rPr>
              <w:t>.</w:t>
            </w:r>
            <w:r>
              <w:rPr>
                <w:rFonts w:hint="eastAsia" w:ascii="Times New Roman" w:hAnsi="Times New Roman" w:eastAsia="宋体" w:cs="宋体"/>
                <w:color w:val="000000" w:themeColor="text1"/>
                <w:sz w:val="20"/>
                <w:szCs w:val="20"/>
                <w:lang w:bidi="ar"/>
                <w14:textFill>
                  <w14:solidFill>
                    <w14:schemeClr w14:val="tx1"/>
                  </w14:solidFill>
                </w14:textFill>
              </w:rPr>
              <w:t>5</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lang w:bidi="ar"/>
                <w14:textFill>
                  <w14:solidFill>
                    <w14:schemeClr w14:val="tx1"/>
                  </w14:solidFill>
                </w14:textFill>
              </w:rPr>
              <w:t>预期性</w:t>
            </w:r>
          </w:p>
        </w:tc>
      </w:tr>
      <w:tr>
        <w:tblPrEx>
          <w:tblCellMar>
            <w:top w:w="0" w:type="dxa"/>
            <w:left w:w="108" w:type="dxa"/>
            <w:bottom w:w="0" w:type="dxa"/>
            <w:right w:w="108" w:type="dxa"/>
          </w:tblCellMar>
        </w:tblPrEx>
        <w:trPr>
          <w:trHeight w:val="680" w:hRule="atLeast"/>
          <w:jc w:val="center"/>
        </w:trPr>
        <w:tc>
          <w:tcPr>
            <w:tcW w:w="46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2"/>
                <w14:textFill>
                  <w14:solidFill>
                    <w14:schemeClr w14:val="tx1"/>
                  </w14:solidFill>
                </w14:textFill>
              </w:rPr>
            </w:pPr>
            <w:r>
              <w:rPr>
                <w:rFonts w:hint="eastAsia" w:ascii="Times New Roman" w:hAnsi="Times New Roman" w:eastAsia="宋体" w:cs="宋体"/>
                <w:color w:val="000000" w:themeColor="text1"/>
                <w:sz w:val="22"/>
                <w:lang w:bidi="ar"/>
                <w14:textFill>
                  <w14:solidFill>
                    <w14:schemeClr w14:val="tx1"/>
                  </w14:solidFill>
                </w14:textFill>
              </w:rPr>
              <w:t>9</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300" w:lineRule="exact"/>
              <w:textAlignment w:val="top"/>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lang w:bidi="ar"/>
                <w14:textFill>
                  <w14:solidFill>
                    <w14:schemeClr w14:val="tx1"/>
                  </w14:solidFill>
                </w14:textFill>
              </w:rPr>
              <w:t>每千人拥有执业助理医师数（人）</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0"/>
                <w:szCs w:val="20"/>
                <w14:textFill>
                  <w14:solidFill>
                    <w14:schemeClr w14:val="tx1"/>
                  </w14:solidFill>
                </w14:textFill>
              </w:rPr>
            </w:pPr>
            <w:r>
              <w:rPr>
                <w:rFonts w:hint="eastAsia" w:ascii="Times New Roman" w:hAnsi="Times New Roman" w:eastAsia="宋体" w:cs="宋体"/>
                <w:color w:val="000000" w:themeColor="text1"/>
                <w:sz w:val="20"/>
                <w:szCs w:val="20"/>
                <w:lang w:bidi="ar"/>
                <w14:textFill>
                  <w14:solidFill>
                    <w14:schemeClr w14:val="tx1"/>
                  </w14:solidFill>
                </w14:textFill>
              </w:rPr>
              <w:t>3</w:t>
            </w:r>
          </w:p>
        </w:tc>
        <w:tc>
          <w:tcPr>
            <w:tcW w:w="1194"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lang w:bidi="ar"/>
                <w14:textFill>
                  <w14:solidFill>
                    <w14:schemeClr w14:val="tx1"/>
                  </w14:solidFill>
                </w14:textFill>
              </w:rPr>
              <w:t>—</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0"/>
                <w:szCs w:val="20"/>
                <w14:textFill>
                  <w14:solidFill>
                    <w14:schemeClr w14:val="tx1"/>
                  </w14:solidFill>
                </w14:textFill>
              </w:rPr>
            </w:pPr>
            <w:r>
              <w:rPr>
                <w:rFonts w:hint="eastAsia" w:ascii="Times New Roman" w:hAnsi="Times New Roman" w:eastAsia="宋体" w:cs="宋体"/>
                <w:color w:val="000000" w:themeColor="text1"/>
                <w:sz w:val="20"/>
                <w:szCs w:val="20"/>
                <w:lang w:bidi="ar"/>
                <w14:textFill>
                  <w14:solidFill>
                    <w14:schemeClr w14:val="tx1"/>
                  </w14:solidFill>
                </w14:textFill>
              </w:rPr>
              <w:t>3</w:t>
            </w:r>
            <w:r>
              <w:rPr>
                <w:rFonts w:hint="eastAsia" w:ascii="宋体" w:hAnsi="宋体" w:eastAsia="宋体" w:cs="宋体"/>
                <w:color w:val="000000" w:themeColor="text1"/>
                <w:sz w:val="20"/>
                <w:szCs w:val="20"/>
                <w:lang w:bidi="ar"/>
                <w14:textFill>
                  <w14:solidFill>
                    <w14:schemeClr w14:val="tx1"/>
                  </w14:solidFill>
                </w14:textFill>
              </w:rPr>
              <w:t>.</w:t>
            </w:r>
            <w:r>
              <w:rPr>
                <w:rFonts w:hint="eastAsia" w:ascii="Times New Roman" w:hAnsi="Times New Roman" w:eastAsia="宋体" w:cs="宋体"/>
                <w:color w:val="000000" w:themeColor="text1"/>
                <w:sz w:val="20"/>
                <w:szCs w:val="20"/>
                <w:lang w:bidi="ar"/>
                <w14:textFill>
                  <w14:solidFill>
                    <w14:schemeClr w14:val="tx1"/>
                  </w14:solidFill>
                </w14:textFill>
              </w:rPr>
              <w:t>2</w:t>
            </w:r>
          </w:p>
        </w:tc>
        <w:tc>
          <w:tcPr>
            <w:tcW w:w="1264"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lang w:bidi="ar"/>
                <w14:textFill>
                  <w14:solidFill>
                    <w14:schemeClr w14:val="tx1"/>
                  </w14:solidFill>
                </w14:textFill>
              </w:rPr>
              <w:t>—</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lang w:bidi="ar"/>
                <w14:textFill>
                  <w14:solidFill>
                    <w14:schemeClr w14:val="tx1"/>
                  </w14:solidFill>
                </w14:textFill>
              </w:rPr>
              <w:t>预期性</w:t>
            </w:r>
          </w:p>
        </w:tc>
      </w:tr>
      <w:tr>
        <w:tblPrEx>
          <w:tblCellMar>
            <w:top w:w="0" w:type="dxa"/>
            <w:left w:w="108" w:type="dxa"/>
            <w:bottom w:w="0" w:type="dxa"/>
            <w:right w:w="108" w:type="dxa"/>
          </w:tblCellMar>
        </w:tblPrEx>
        <w:trPr>
          <w:trHeight w:val="680" w:hRule="atLeast"/>
          <w:jc w:val="center"/>
        </w:trPr>
        <w:tc>
          <w:tcPr>
            <w:tcW w:w="46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2"/>
                <w14:textFill>
                  <w14:solidFill>
                    <w14:schemeClr w14:val="tx1"/>
                  </w14:solidFill>
                </w14:textFill>
              </w:rPr>
            </w:pPr>
            <w:r>
              <w:rPr>
                <w:rFonts w:hint="eastAsia" w:ascii="Times New Roman" w:hAnsi="Times New Roman" w:eastAsia="宋体" w:cs="宋体"/>
                <w:color w:val="000000" w:themeColor="text1"/>
                <w:sz w:val="22"/>
                <w:lang w:bidi="ar"/>
                <w14:textFill>
                  <w14:solidFill>
                    <w14:schemeClr w14:val="tx1"/>
                  </w14:solidFill>
                </w14:textFill>
              </w:rPr>
              <w:t>10</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300" w:lineRule="exact"/>
              <w:textAlignment w:val="top"/>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lang w:bidi="ar"/>
                <w14:textFill>
                  <w14:solidFill>
                    <w14:schemeClr w14:val="tx1"/>
                  </w14:solidFill>
                </w14:textFill>
              </w:rPr>
              <w:t>基本养老保险参保率（%）</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2"/>
                <w14:textFill>
                  <w14:solidFill>
                    <w14:schemeClr w14:val="tx1"/>
                  </w14:solidFill>
                </w14:textFill>
              </w:rPr>
            </w:pPr>
            <w:r>
              <w:rPr>
                <w:rFonts w:hint="eastAsia" w:ascii="Times New Roman" w:hAnsi="Times New Roman" w:eastAsia="宋体" w:cs="宋体"/>
                <w:color w:val="000000" w:themeColor="text1"/>
                <w:sz w:val="22"/>
                <w:lang w:bidi="ar"/>
                <w14:textFill>
                  <w14:solidFill>
                    <w14:schemeClr w14:val="tx1"/>
                  </w14:solidFill>
                </w14:textFill>
              </w:rPr>
              <w:t>100</w:t>
            </w:r>
          </w:p>
        </w:tc>
        <w:tc>
          <w:tcPr>
            <w:tcW w:w="1194"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lang w:bidi="ar"/>
                <w14:textFill>
                  <w14:solidFill>
                    <w14:schemeClr w14:val="tx1"/>
                  </w14:solidFill>
                </w14:textFill>
              </w:rPr>
              <w:t>—</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2"/>
                <w14:textFill>
                  <w14:solidFill>
                    <w14:schemeClr w14:val="tx1"/>
                  </w14:solidFill>
                </w14:textFill>
              </w:rPr>
            </w:pPr>
            <w:r>
              <w:rPr>
                <w:rFonts w:hint="eastAsia" w:ascii="Times New Roman" w:hAnsi="Times New Roman" w:eastAsia="宋体" w:cs="宋体"/>
                <w:color w:val="000000" w:themeColor="text1"/>
                <w:sz w:val="22"/>
                <w:lang w:bidi="ar"/>
                <w14:textFill>
                  <w14:solidFill>
                    <w14:schemeClr w14:val="tx1"/>
                  </w14:solidFill>
                </w14:textFill>
              </w:rPr>
              <w:t>100</w:t>
            </w:r>
          </w:p>
        </w:tc>
        <w:tc>
          <w:tcPr>
            <w:tcW w:w="1264"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lang w:bidi="ar"/>
                <w14:textFill>
                  <w14:solidFill>
                    <w14:schemeClr w14:val="tx1"/>
                  </w14:solidFill>
                </w14:textFill>
              </w:rPr>
              <w:t>—</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lang w:bidi="ar"/>
                <w14:textFill>
                  <w14:solidFill>
                    <w14:schemeClr w14:val="tx1"/>
                  </w14:solidFill>
                </w14:textFill>
              </w:rPr>
              <w:t>预期性</w:t>
            </w:r>
          </w:p>
        </w:tc>
      </w:tr>
      <w:tr>
        <w:tblPrEx>
          <w:tblCellMar>
            <w:top w:w="0" w:type="dxa"/>
            <w:left w:w="108" w:type="dxa"/>
            <w:bottom w:w="0" w:type="dxa"/>
            <w:right w:w="108" w:type="dxa"/>
          </w:tblCellMar>
        </w:tblPrEx>
        <w:trPr>
          <w:trHeight w:val="680" w:hRule="atLeast"/>
          <w:jc w:val="center"/>
        </w:trPr>
        <w:tc>
          <w:tcPr>
            <w:tcW w:w="46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2"/>
                <w14:textFill>
                  <w14:solidFill>
                    <w14:schemeClr w14:val="tx1"/>
                  </w14:solidFill>
                </w14:textFill>
              </w:rPr>
            </w:pPr>
            <w:r>
              <w:rPr>
                <w:rFonts w:hint="eastAsia" w:ascii="Times New Roman" w:hAnsi="Times New Roman" w:eastAsia="宋体" w:cs="宋体"/>
                <w:color w:val="000000" w:themeColor="text1"/>
                <w:sz w:val="22"/>
                <w:lang w:bidi="ar"/>
                <w14:textFill>
                  <w14:solidFill>
                    <w14:schemeClr w14:val="tx1"/>
                  </w14:solidFill>
                </w14:textFill>
              </w:rPr>
              <w:t>11</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300" w:lineRule="exact"/>
              <w:textAlignment w:val="top"/>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lang w:bidi="ar"/>
                <w14:textFill>
                  <w14:solidFill>
                    <w14:schemeClr w14:val="tx1"/>
                  </w14:solidFill>
                </w14:textFill>
              </w:rPr>
              <w:t>人均预期寿命(岁）</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0"/>
                <w:szCs w:val="20"/>
                <w14:textFill>
                  <w14:solidFill>
                    <w14:schemeClr w14:val="tx1"/>
                  </w14:solidFill>
                </w14:textFill>
              </w:rPr>
            </w:pPr>
            <w:r>
              <w:rPr>
                <w:rFonts w:hint="eastAsia" w:ascii="Times New Roman" w:hAnsi="Times New Roman" w:eastAsia="宋体" w:cs="宋体"/>
                <w:color w:val="000000" w:themeColor="text1"/>
                <w:sz w:val="20"/>
                <w:szCs w:val="20"/>
                <w14:textFill>
                  <w14:solidFill>
                    <w14:schemeClr w14:val="tx1"/>
                  </w14:solidFill>
                </w14:textFill>
              </w:rPr>
              <w:t>77</w:t>
            </w:r>
            <w:r>
              <w:rPr>
                <w:rFonts w:hint="eastAsia" w:ascii="宋体" w:hAnsi="宋体" w:eastAsia="宋体" w:cs="宋体"/>
                <w:color w:val="000000" w:themeColor="text1"/>
                <w:sz w:val="20"/>
                <w:szCs w:val="20"/>
                <w14:textFill>
                  <w14:solidFill>
                    <w14:schemeClr w14:val="tx1"/>
                  </w14:solidFill>
                </w14:textFill>
              </w:rPr>
              <w:t>.</w:t>
            </w:r>
            <w:r>
              <w:rPr>
                <w:rFonts w:hint="eastAsia" w:ascii="Times New Roman" w:hAnsi="Times New Roman" w:eastAsia="宋体" w:cs="宋体"/>
                <w:color w:val="000000" w:themeColor="text1"/>
                <w:sz w:val="20"/>
                <w:szCs w:val="20"/>
                <w14:textFill>
                  <w14:solidFill>
                    <w14:schemeClr w14:val="tx1"/>
                  </w14:solidFill>
                </w14:textFill>
              </w:rPr>
              <w:t>5</w:t>
            </w:r>
          </w:p>
        </w:tc>
        <w:tc>
          <w:tcPr>
            <w:tcW w:w="1194"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lang w:bidi="ar"/>
                <w14:textFill>
                  <w14:solidFill>
                    <w14:schemeClr w14:val="tx1"/>
                  </w14:solidFill>
                </w14:textFill>
              </w:rPr>
              <w:t>—</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lang w:bidi="ar"/>
                <w14:textFill>
                  <w14:solidFill>
                    <w14:schemeClr w14:val="tx1"/>
                  </w14:solidFill>
                </w14:textFill>
              </w:rPr>
              <w:t>—</w:t>
            </w:r>
          </w:p>
        </w:tc>
        <w:tc>
          <w:tcPr>
            <w:tcW w:w="1264"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lang w:bidi="ar"/>
                <w14:textFill>
                  <w14:solidFill>
                    <w14:schemeClr w14:val="tx1"/>
                  </w14:solidFill>
                </w14:textFill>
              </w:rPr>
              <w:t>[</w:t>
            </w:r>
            <w:r>
              <w:rPr>
                <w:rFonts w:hint="eastAsia" w:ascii="Times New Roman" w:hAnsi="Times New Roman" w:eastAsia="宋体" w:cs="宋体"/>
                <w:color w:val="000000" w:themeColor="text1"/>
                <w:sz w:val="20"/>
                <w:szCs w:val="20"/>
                <w:lang w:bidi="ar"/>
                <w14:textFill>
                  <w14:solidFill>
                    <w14:schemeClr w14:val="tx1"/>
                  </w14:solidFill>
                </w14:textFill>
              </w:rPr>
              <w:t>1</w:t>
            </w:r>
            <w:r>
              <w:rPr>
                <w:rFonts w:hint="eastAsia" w:ascii="宋体" w:hAnsi="宋体" w:eastAsia="宋体" w:cs="宋体"/>
                <w:color w:val="000000" w:themeColor="text1"/>
                <w:sz w:val="20"/>
                <w:szCs w:val="20"/>
                <w:lang w:bidi="ar"/>
                <w14:textFill>
                  <w14:solidFill>
                    <w14:schemeClr w14:val="tx1"/>
                  </w14:solidFill>
                </w14:textFill>
              </w:rPr>
              <w:t>]</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lang w:bidi="ar"/>
                <w14:textFill>
                  <w14:solidFill>
                    <w14:schemeClr w14:val="tx1"/>
                  </w14:solidFill>
                </w14:textFill>
              </w:rPr>
              <w:t>预期性</w:t>
            </w:r>
          </w:p>
        </w:tc>
      </w:tr>
      <w:tr>
        <w:tblPrEx>
          <w:tblCellMar>
            <w:top w:w="0" w:type="dxa"/>
            <w:left w:w="108" w:type="dxa"/>
            <w:bottom w:w="0" w:type="dxa"/>
            <w:right w:w="108" w:type="dxa"/>
          </w:tblCellMar>
        </w:tblPrEx>
        <w:trPr>
          <w:trHeight w:val="680" w:hRule="atLeast"/>
          <w:jc w:val="center"/>
        </w:trPr>
        <w:tc>
          <w:tcPr>
            <w:tcW w:w="8760" w:type="dxa"/>
            <w:gridSpan w:val="7"/>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300" w:lineRule="exact"/>
              <w:textAlignment w:val="top"/>
              <w:rPr>
                <w:rFonts w:ascii="宋体" w:hAnsi="宋体" w:eastAsia="宋体" w:cs="宋体"/>
                <w:b/>
                <w:color w:val="000000" w:themeColor="text1"/>
                <w:sz w:val="20"/>
                <w:szCs w:val="20"/>
                <w14:textFill>
                  <w14:solidFill>
                    <w14:schemeClr w14:val="tx1"/>
                  </w14:solidFill>
                </w14:textFill>
              </w:rPr>
            </w:pPr>
            <w:r>
              <w:rPr>
                <w:rFonts w:hint="eastAsia" w:ascii="宋体" w:hAnsi="宋体" w:eastAsia="宋体" w:cs="宋体"/>
                <w:b/>
                <w:color w:val="000000" w:themeColor="text1"/>
                <w:sz w:val="20"/>
                <w:szCs w:val="20"/>
                <w:lang w:bidi="ar"/>
                <w14:textFill>
                  <w14:solidFill>
                    <w14:schemeClr w14:val="tx1"/>
                  </w14:solidFill>
                </w14:textFill>
              </w:rPr>
              <w:t>四、绿色生态</w:t>
            </w:r>
          </w:p>
        </w:tc>
      </w:tr>
      <w:tr>
        <w:tblPrEx>
          <w:tblCellMar>
            <w:top w:w="0" w:type="dxa"/>
            <w:left w:w="108" w:type="dxa"/>
            <w:bottom w:w="0" w:type="dxa"/>
            <w:right w:w="108" w:type="dxa"/>
          </w:tblCellMar>
        </w:tblPrEx>
        <w:trPr>
          <w:trHeight w:val="680" w:hRule="atLeast"/>
          <w:jc w:val="center"/>
        </w:trPr>
        <w:tc>
          <w:tcPr>
            <w:tcW w:w="46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2"/>
                <w14:textFill>
                  <w14:solidFill>
                    <w14:schemeClr w14:val="tx1"/>
                  </w14:solidFill>
                </w14:textFill>
              </w:rPr>
            </w:pPr>
            <w:r>
              <w:rPr>
                <w:rFonts w:hint="eastAsia" w:ascii="Times New Roman" w:hAnsi="Times New Roman" w:eastAsia="宋体" w:cs="宋体"/>
                <w:color w:val="000000" w:themeColor="text1"/>
                <w:sz w:val="22"/>
                <w:lang w:bidi="ar"/>
                <w14:textFill>
                  <w14:solidFill>
                    <w14:schemeClr w14:val="tx1"/>
                  </w14:solidFill>
                </w14:textFill>
              </w:rPr>
              <w:t>12</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300" w:lineRule="exact"/>
              <w:textAlignment w:val="top"/>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lang w:bidi="ar"/>
                <w14:textFill>
                  <w14:solidFill>
                    <w14:schemeClr w14:val="tx1"/>
                  </w14:solidFill>
                </w14:textFill>
              </w:rPr>
              <w:t>单位GDP能源消耗降幅（%）</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lang w:bidi="ar"/>
                <w14:textFill>
                  <w14:solidFill>
                    <w14:schemeClr w14:val="tx1"/>
                  </w14:solidFill>
                </w14:textFill>
              </w:rPr>
              <w:t>—</w:t>
            </w:r>
          </w:p>
        </w:tc>
        <w:tc>
          <w:tcPr>
            <w:tcW w:w="1194"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lang w:bidi="ar"/>
                <w14:textFill>
                  <w14:solidFill>
                    <w14:schemeClr w14:val="tx1"/>
                  </w14:solidFill>
                </w14:textFill>
              </w:rPr>
              <w:t>[</w:t>
            </w:r>
            <w:r>
              <w:rPr>
                <w:rFonts w:hint="eastAsia" w:ascii="Times New Roman" w:hAnsi="Times New Roman" w:eastAsia="宋体" w:cs="宋体"/>
                <w:color w:val="000000" w:themeColor="text1"/>
                <w:sz w:val="20"/>
                <w:szCs w:val="20"/>
                <w:lang w:bidi="ar"/>
                <w14:textFill>
                  <w14:solidFill>
                    <w14:schemeClr w14:val="tx1"/>
                  </w14:solidFill>
                </w14:textFill>
              </w:rPr>
              <w:t>25</w:t>
            </w:r>
            <w:r>
              <w:rPr>
                <w:rFonts w:hint="eastAsia" w:ascii="宋体" w:hAnsi="宋体" w:eastAsia="宋体" w:cs="宋体"/>
                <w:color w:val="000000" w:themeColor="text1"/>
                <w:sz w:val="20"/>
                <w:szCs w:val="20"/>
                <w:lang w:bidi="ar"/>
                <w14:textFill>
                  <w14:solidFill>
                    <w14:schemeClr w14:val="tx1"/>
                  </w14:solidFill>
                </w14:textFill>
              </w:rPr>
              <w:t>]</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lang w:bidi="ar"/>
                <w14:textFill>
                  <w14:solidFill>
                    <w14:schemeClr w14:val="tx1"/>
                  </w14:solidFill>
                </w14:textFill>
              </w:rPr>
              <w:t>—</w:t>
            </w:r>
          </w:p>
        </w:tc>
        <w:tc>
          <w:tcPr>
            <w:tcW w:w="1264"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lang w:bidi="ar"/>
                <w14:textFill>
                  <w14:solidFill>
                    <w14:schemeClr w14:val="tx1"/>
                  </w14:solidFill>
                </w14:textFill>
              </w:rPr>
              <w:t>控制在市目标内</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lang w:bidi="ar"/>
                <w14:textFill>
                  <w14:solidFill>
                    <w14:schemeClr w14:val="tx1"/>
                  </w14:solidFill>
                </w14:textFill>
              </w:rPr>
              <w:t>约束性</w:t>
            </w:r>
          </w:p>
        </w:tc>
      </w:tr>
      <w:tr>
        <w:tblPrEx>
          <w:tblCellMar>
            <w:top w:w="0" w:type="dxa"/>
            <w:left w:w="108" w:type="dxa"/>
            <w:bottom w:w="0" w:type="dxa"/>
            <w:right w:w="108" w:type="dxa"/>
          </w:tblCellMar>
        </w:tblPrEx>
        <w:trPr>
          <w:trHeight w:val="680" w:hRule="atLeast"/>
          <w:jc w:val="center"/>
        </w:trPr>
        <w:tc>
          <w:tcPr>
            <w:tcW w:w="46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2"/>
                <w14:textFill>
                  <w14:solidFill>
                    <w14:schemeClr w14:val="tx1"/>
                  </w14:solidFill>
                </w14:textFill>
              </w:rPr>
            </w:pPr>
            <w:r>
              <w:rPr>
                <w:rFonts w:hint="eastAsia" w:ascii="Times New Roman" w:hAnsi="Times New Roman" w:eastAsia="宋体" w:cs="宋体"/>
                <w:color w:val="000000" w:themeColor="text1"/>
                <w:sz w:val="22"/>
                <w:lang w:bidi="ar"/>
                <w14:textFill>
                  <w14:solidFill>
                    <w14:schemeClr w14:val="tx1"/>
                  </w14:solidFill>
                </w14:textFill>
              </w:rPr>
              <w:t>13</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300" w:lineRule="exact"/>
              <w:textAlignment w:val="top"/>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lang w:bidi="ar"/>
                <w14:textFill>
                  <w14:solidFill>
                    <w14:schemeClr w14:val="tx1"/>
                  </w14:solidFill>
                </w14:textFill>
              </w:rPr>
              <w:t>单位GDP二氧化碳排放量降低（%）</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lang w:bidi="ar"/>
                <w14:textFill>
                  <w14:solidFill>
                    <w14:schemeClr w14:val="tx1"/>
                  </w14:solidFill>
                </w14:textFill>
              </w:rPr>
              <w:t>—</w:t>
            </w:r>
          </w:p>
        </w:tc>
        <w:tc>
          <w:tcPr>
            <w:tcW w:w="1194"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lang w:bidi="ar"/>
                <w14:textFill>
                  <w14:solidFill>
                    <w14:schemeClr w14:val="tx1"/>
                  </w14:solidFill>
                </w14:textFill>
              </w:rPr>
              <w:t>待定</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lang w:bidi="ar"/>
                <w14:textFill>
                  <w14:solidFill>
                    <w14:schemeClr w14:val="tx1"/>
                  </w14:solidFill>
                </w14:textFill>
              </w:rPr>
              <w:t>—</w:t>
            </w:r>
          </w:p>
        </w:tc>
        <w:tc>
          <w:tcPr>
            <w:tcW w:w="1264"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lang w:bidi="ar"/>
                <w14:textFill>
                  <w14:solidFill>
                    <w14:schemeClr w14:val="tx1"/>
                  </w14:solidFill>
                </w14:textFill>
              </w:rPr>
              <w:t>控制在市目标内</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lang w:bidi="ar"/>
                <w14:textFill>
                  <w14:solidFill>
                    <w14:schemeClr w14:val="tx1"/>
                  </w14:solidFill>
                </w14:textFill>
              </w:rPr>
              <w:t>约束性</w:t>
            </w:r>
          </w:p>
        </w:tc>
      </w:tr>
      <w:tr>
        <w:tblPrEx>
          <w:tblCellMar>
            <w:top w:w="0" w:type="dxa"/>
            <w:left w:w="108" w:type="dxa"/>
            <w:bottom w:w="0" w:type="dxa"/>
            <w:right w:w="108" w:type="dxa"/>
          </w:tblCellMar>
        </w:tblPrEx>
        <w:trPr>
          <w:trHeight w:val="680" w:hRule="atLeast"/>
          <w:jc w:val="center"/>
        </w:trPr>
        <w:tc>
          <w:tcPr>
            <w:tcW w:w="46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2"/>
                <w14:textFill>
                  <w14:solidFill>
                    <w14:schemeClr w14:val="tx1"/>
                  </w14:solidFill>
                </w14:textFill>
              </w:rPr>
            </w:pPr>
            <w:r>
              <w:rPr>
                <w:rFonts w:hint="eastAsia" w:ascii="Times New Roman" w:hAnsi="Times New Roman" w:eastAsia="宋体" w:cs="宋体"/>
                <w:color w:val="000000" w:themeColor="text1"/>
                <w:sz w:val="22"/>
                <w:lang w:bidi="ar"/>
                <w14:textFill>
                  <w14:solidFill>
                    <w14:schemeClr w14:val="tx1"/>
                  </w14:solidFill>
                </w14:textFill>
              </w:rPr>
              <w:t>14</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300" w:lineRule="exact"/>
              <w:textAlignment w:val="top"/>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lang w:bidi="ar"/>
                <w14:textFill>
                  <w14:solidFill>
                    <w14:schemeClr w14:val="tx1"/>
                  </w14:solidFill>
                </w14:textFill>
              </w:rPr>
              <w:t>城市空气优良天数比率（%）</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0"/>
                <w:szCs w:val="20"/>
                <w14:textFill>
                  <w14:solidFill>
                    <w14:schemeClr w14:val="tx1"/>
                  </w14:solidFill>
                </w14:textFill>
              </w:rPr>
            </w:pPr>
            <w:r>
              <w:rPr>
                <w:rFonts w:hint="eastAsia" w:ascii="Times New Roman" w:hAnsi="Times New Roman" w:eastAsia="宋体" w:cs="宋体"/>
                <w:color w:val="000000" w:themeColor="text1"/>
                <w:sz w:val="20"/>
                <w:szCs w:val="20"/>
                <w:lang w:bidi="ar"/>
                <w14:textFill>
                  <w14:solidFill>
                    <w14:schemeClr w14:val="tx1"/>
                  </w14:solidFill>
                </w14:textFill>
              </w:rPr>
              <w:t>71</w:t>
            </w:r>
            <w:r>
              <w:rPr>
                <w:rFonts w:hint="eastAsia" w:ascii="宋体" w:hAnsi="宋体" w:eastAsia="宋体" w:cs="宋体"/>
                <w:color w:val="000000" w:themeColor="text1"/>
                <w:sz w:val="20"/>
                <w:szCs w:val="20"/>
                <w:lang w:bidi="ar"/>
                <w14:textFill>
                  <w14:solidFill>
                    <w14:schemeClr w14:val="tx1"/>
                  </w14:solidFill>
                </w14:textFill>
              </w:rPr>
              <w:t>.</w:t>
            </w:r>
            <w:r>
              <w:rPr>
                <w:rFonts w:hint="eastAsia" w:ascii="Times New Roman" w:hAnsi="Times New Roman" w:eastAsia="宋体" w:cs="宋体"/>
                <w:color w:val="000000" w:themeColor="text1"/>
                <w:sz w:val="20"/>
                <w:szCs w:val="20"/>
                <w:lang w:bidi="ar"/>
                <w14:textFill>
                  <w14:solidFill>
                    <w14:schemeClr w14:val="tx1"/>
                  </w14:solidFill>
                </w14:textFill>
              </w:rPr>
              <w:t>23</w:t>
            </w:r>
          </w:p>
        </w:tc>
        <w:tc>
          <w:tcPr>
            <w:tcW w:w="1194"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lang w:bidi="ar"/>
                <w14:textFill>
                  <w14:solidFill>
                    <w14:schemeClr w14:val="tx1"/>
                  </w14:solidFill>
                </w14:textFill>
              </w:rPr>
              <w:t>—</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lang w:bidi="ar"/>
                <w14:textFill>
                  <w14:solidFill>
                    <w14:schemeClr w14:val="tx1"/>
                  </w14:solidFill>
                </w14:textFill>
              </w:rPr>
              <w:t>控制在市目标内</w:t>
            </w:r>
          </w:p>
        </w:tc>
        <w:tc>
          <w:tcPr>
            <w:tcW w:w="1264"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lang w:bidi="ar"/>
                <w14:textFill>
                  <w14:solidFill>
                    <w14:schemeClr w14:val="tx1"/>
                  </w14:solidFill>
                </w14:textFill>
              </w:rPr>
              <w:t>—</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lang w:bidi="ar"/>
                <w14:textFill>
                  <w14:solidFill>
                    <w14:schemeClr w14:val="tx1"/>
                  </w14:solidFill>
                </w14:textFill>
              </w:rPr>
              <w:t>约束性</w:t>
            </w:r>
          </w:p>
        </w:tc>
      </w:tr>
      <w:tr>
        <w:tblPrEx>
          <w:tblCellMar>
            <w:top w:w="0" w:type="dxa"/>
            <w:left w:w="108" w:type="dxa"/>
            <w:bottom w:w="0" w:type="dxa"/>
            <w:right w:w="108" w:type="dxa"/>
          </w:tblCellMar>
        </w:tblPrEx>
        <w:trPr>
          <w:trHeight w:val="680" w:hRule="atLeast"/>
          <w:jc w:val="center"/>
        </w:trPr>
        <w:tc>
          <w:tcPr>
            <w:tcW w:w="46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2"/>
                <w14:textFill>
                  <w14:solidFill>
                    <w14:schemeClr w14:val="tx1"/>
                  </w14:solidFill>
                </w14:textFill>
              </w:rPr>
            </w:pPr>
            <w:r>
              <w:rPr>
                <w:rFonts w:hint="eastAsia" w:ascii="Times New Roman" w:hAnsi="Times New Roman" w:eastAsia="宋体" w:cs="宋体"/>
                <w:color w:val="000000" w:themeColor="text1"/>
                <w:sz w:val="22"/>
                <w:lang w:bidi="ar"/>
                <w14:textFill>
                  <w14:solidFill>
                    <w14:schemeClr w14:val="tx1"/>
                  </w14:solidFill>
                </w14:textFill>
              </w:rPr>
              <w:t>15</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300" w:lineRule="exact"/>
              <w:textAlignment w:val="top"/>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lang w:bidi="ar"/>
                <w14:textFill>
                  <w14:solidFill>
                    <w14:schemeClr w14:val="tx1"/>
                  </w14:solidFill>
                </w14:textFill>
              </w:rPr>
              <w:t>达到或好于|||类水体占地表水比例（%）</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0"/>
                <w:szCs w:val="20"/>
                <w14:textFill>
                  <w14:solidFill>
                    <w14:schemeClr w14:val="tx1"/>
                  </w14:solidFill>
                </w14:textFill>
              </w:rPr>
            </w:pPr>
            <w:r>
              <w:rPr>
                <w:rFonts w:hint="eastAsia" w:ascii="Times New Roman" w:hAnsi="Times New Roman" w:eastAsia="宋体" w:cs="宋体"/>
                <w:color w:val="000000" w:themeColor="text1"/>
                <w:sz w:val="20"/>
                <w:szCs w:val="20"/>
                <w:lang w:bidi="ar"/>
                <w14:textFill>
                  <w14:solidFill>
                    <w14:schemeClr w14:val="tx1"/>
                  </w14:solidFill>
                </w14:textFill>
              </w:rPr>
              <w:t>100</w:t>
            </w:r>
          </w:p>
        </w:tc>
        <w:tc>
          <w:tcPr>
            <w:tcW w:w="1194"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lang w:bidi="ar"/>
                <w14:textFill>
                  <w14:solidFill>
                    <w14:schemeClr w14:val="tx1"/>
                  </w14:solidFill>
                </w14:textFill>
              </w:rPr>
              <w:t>—</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lang w:bidi="ar"/>
                <w14:textFill>
                  <w14:solidFill>
                    <w14:schemeClr w14:val="tx1"/>
                  </w14:solidFill>
                </w14:textFill>
              </w:rPr>
              <w:t>控制在市目标内</w:t>
            </w:r>
          </w:p>
        </w:tc>
        <w:tc>
          <w:tcPr>
            <w:tcW w:w="1264"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lang w:bidi="ar"/>
                <w14:textFill>
                  <w14:solidFill>
                    <w14:schemeClr w14:val="tx1"/>
                  </w14:solidFill>
                </w14:textFill>
              </w:rPr>
              <w:t>—</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lang w:bidi="ar"/>
                <w14:textFill>
                  <w14:solidFill>
                    <w14:schemeClr w14:val="tx1"/>
                  </w14:solidFill>
                </w14:textFill>
              </w:rPr>
              <w:t>约束性</w:t>
            </w:r>
          </w:p>
        </w:tc>
      </w:tr>
      <w:tr>
        <w:tblPrEx>
          <w:tblCellMar>
            <w:top w:w="0" w:type="dxa"/>
            <w:left w:w="108" w:type="dxa"/>
            <w:bottom w:w="0" w:type="dxa"/>
            <w:right w:w="108" w:type="dxa"/>
          </w:tblCellMar>
        </w:tblPrEx>
        <w:trPr>
          <w:trHeight w:val="680" w:hRule="atLeast"/>
          <w:jc w:val="center"/>
        </w:trPr>
        <w:tc>
          <w:tcPr>
            <w:tcW w:w="46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2"/>
                <w14:textFill>
                  <w14:solidFill>
                    <w14:schemeClr w14:val="tx1"/>
                  </w14:solidFill>
                </w14:textFill>
              </w:rPr>
            </w:pPr>
            <w:r>
              <w:rPr>
                <w:rFonts w:hint="eastAsia" w:ascii="Times New Roman" w:hAnsi="Times New Roman" w:eastAsia="宋体" w:cs="宋体"/>
                <w:color w:val="000000" w:themeColor="text1"/>
                <w:sz w:val="22"/>
                <w:lang w:bidi="ar"/>
                <w14:textFill>
                  <w14:solidFill>
                    <w14:schemeClr w14:val="tx1"/>
                  </w14:solidFill>
                </w14:textFill>
              </w:rPr>
              <w:t>16</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300" w:lineRule="exact"/>
              <w:textAlignment w:val="top"/>
              <w:rPr>
                <w:rFonts w:ascii="宋体" w:hAnsi="宋体" w:eastAsia="宋体" w:cs="宋体"/>
                <w:color w:val="000000" w:themeColor="text1"/>
                <w:sz w:val="22"/>
                <w:lang w:bidi="ar"/>
                <w14:textFill>
                  <w14:solidFill>
                    <w14:schemeClr w14:val="tx1"/>
                  </w14:solidFill>
                </w14:textFill>
              </w:rPr>
            </w:pPr>
            <w:r>
              <w:rPr>
                <w:rFonts w:hint="eastAsia" w:ascii="宋体" w:hAnsi="宋体" w:eastAsia="宋体" w:cs="宋体"/>
                <w:color w:val="000000" w:themeColor="text1"/>
                <w:sz w:val="22"/>
                <w:lang w:bidi="ar"/>
                <w14:textFill>
                  <w14:solidFill>
                    <w14:schemeClr w14:val="tx1"/>
                  </w14:solidFill>
                </w14:textFill>
              </w:rPr>
              <w:t>森林覆盖率（%）</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2"/>
                <w14:textFill>
                  <w14:solidFill>
                    <w14:schemeClr w14:val="tx1"/>
                  </w14:solidFill>
                </w14:textFill>
              </w:rPr>
            </w:pPr>
            <w:r>
              <w:rPr>
                <w:rFonts w:hint="eastAsia" w:ascii="Times New Roman" w:hAnsi="Times New Roman" w:eastAsia="宋体" w:cs="宋体"/>
                <w:color w:val="000000" w:themeColor="text1"/>
                <w:sz w:val="22"/>
                <w:lang w:bidi="ar"/>
                <w14:textFill>
                  <w14:solidFill>
                    <w14:schemeClr w14:val="tx1"/>
                  </w14:solidFill>
                </w14:textFill>
              </w:rPr>
              <w:t>41</w:t>
            </w:r>
            <w:r>
              <w:rPr>
                <w:rFonts w:hint="eastAsia" w:ascii="宋体" w:hAnsi="宋体" w:eastAsia="宋体" w:cs="宋体"/>
                <w:color w:val="000000" w:themeColor="text1"/>
                <w:sz w:val="22"/>
                <w:lang w:bidi="ar"/>
                <w14:textFill>
                  <w14:solidFill>
                    <w14:schemeClr w14:val="tx1"/>
                  </w14:solidFill>
                </w14:textFill>
              </w:rPr>
              <w:t>.</w:t>
            </w:r>
            <w:r>
              <w:rPr>
                <w:rFonts w:hint="eastAsia" w:ascii="Times New Roman" w:hAnsi="Times New Roman" w:eastAsia="宋体" w:cs="宋体"/>
                <w:color w:val="000000" w:themeColor="text1"/>
                <w:sz w:val="22"/>
                <w:lang w:bidi="ar"/>
                <w14:textFill>
                  <w14:solidFill>
                    <w14:schemeClr w14:val="tx1"/>
                  </w14:solidFill>
                </w14:textFill>
              </w:rPr>
              <w:t>26</w:t>
            </w:r>
          </w:p>
        </w:tc>
        <w:tc>
          <w:tcPr>
            <w:tcW w:w="1194"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lang w:bidi="ar"/>
                <w14:textFill>
                  <w14:solidFill>
                    <w14:schemeClr w14:val="tx1"/>
                  </w14:solidFill>
                </w14:textFill>
              </w:rPr>
              <w:t>—</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lang w:bidi="ar"/>
                <w14:textFill>
                  <w14:solidFill>
                    <w14:schemeClr w14:val="tx1"/>
                  </w14:solidFill>
                </w14:textFill>
              </w:rPr>
              <w:t>按市下达目标</w:t>
            </w:r>
          </w:p>
        </w:tc>
        <w:tc>
          <w:tcPr>
            <w:tcW w:w="1264"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lang w:bidi="ar"/>
                <w14:textFill>
                  <w14:solidFill>
                    <w14:schemeClr w14:val="tx1"/>
                  </w14:solidFill>
                </w14:textFill>
              </w:rPr>
              <w:t>—</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lang w:bidi="ar"/>
                <w14:textFill>
                  <w14:solidFill>
                    <w14:schemeClr w14:val="tx1"/>
                  </w14:solidFill>
                </w14:textFill>
              </w:rPr>
              <w:t>约束性</w:t>
            </w:r>
          </w:p>
        </w:tc>
      </w:tr>
      <w:tr>
        <w:tblPrEx>
          <w:tblCellMar>
            <w:top w:w="0" w:type="dxa"/>
            <w:left w:w="108" w:type="dxa"/>
            <w:bottom w:w="0" w:type="dxa"/>
            <w:right w:w="108" w:type="dxa"/>
          </w:tblCellMar>
        </w:tblPrEx>
        <w:trPr>
          <w:trHeight w:val="680" w:hRule="atLeast"/>
          <w:jc w:val="center"/>
        </w:trPr>
        <w:tc>
          <w:tcPr>
            <w:tcW w:w="8760" w:type="dxa"/>
            <w:gridSpan w:val="7"/>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after="0" w:line="400" w:lineRule="exact"/>
              <w:jc w:val="center"/>
              <w:textAlignment w:val="top"/>
              <w:rPr>
                <w:rFonts w:ascii="Times New Roman" w:hAnsi="Times New Roman" w:eastAsia="仿宋_GB2312"/>
                <w:color w:val="000000" w:themeColor="text1"/>
                <w:sz w:val="22"/>
                <w14:textFill>
                  <w14:solidFill>
                    <w14:schemeClr w14:val="tx1"/>
                  </w14:solidFill>
                </w14:textFill>
              </w:rPr>
            </w:pPr>
            <w:r>
              <w:rPr>
                <w:rFonts w:ascii="Times New Roman" w:hAnsi="Times New Roman" w:eastAsia="仿宋_GB2312"/>
                <w:b/>
                <w:bCs/>
                <w:color w:val="000000" w:themeColor="text1"/>
                <w:sz w:val="22"/>
                <w:lang w:bidi="ar"/>
                <w14:textFill>
                  <w14:solidFill>
                    <w14:schemeClr w14:val="tx1"/>
                  </w14:solidFill>
                </w14:textFill>
              </w:rPr>
              <w:t>注</w:t>
            </w:r>
            <w:r>
              <w:rPr>
                <w:rFonts w:ascii="Times New Roman" w:hAnsi="Times New Roman" w:eastAsia="仿宋_GB2312"/>
                <w:color w:val="000000" w:themeColor="text1"/>
                <w:sz w:val="22"/>
                <w:lang w:bidi="ar"/>
                <w14:textFill>
                  <w14:solidFill>
                    <w14:schemeClr w14:val="tx1"/>
                  </w14:solidFill>
                </w14:textFill>
              </w:rPr>
              <w:t>：1.地区生产总值年均增速为扣除价格因素的实际增长速度。2.[ ]为五年累计数。</w:t>
            </w:r>
          </w:p>
        </w:tc>
      </w:tr>
    </w:tbl>
    <w:p>
      <w:pPr>
        <w:pStyle w:val="5"/>
        <w:keepNext w:val="0"/>
        <w:keepLines w:val="0"/>
        <w:widowControl w:val="0"/>
        <w:adjustRightInd w:val="0"/>
        <w:snapToGrid w:val="0"/>
        <w:spacing w:before="297" w:beforeLines="50" w:after="297" w:afterLines="50" w:line="560" w:lineRule="exact"/>
        <w:ind w:firstLine="680"/>
      </w:pPr>
      <w:bookmarkStart w:id="30" w:name="_Toc7309"/>
      <w:bookmarkStart w:id="31" w:name="_Toc13903"/>
      <w:r>
        <w:t>第五节  二〇三五年的远景目标</w:t>
      </w:r>
      <w:bookmarkEnd w:id="30"/>
      <w:bookmarkEnd w:id="31"/>
    </w:p>
    <w:p>
      <w:pPr>
        <w:widowControl w:val="0"/>
        <w:adjustRightInd w:val="0"/>
        <w:snapToGrid w:val="0"/>
        <w:spacing w:after="0" w:line="564" w:lineRule="exact"/>
        <w:ind w:firstLine="704" w:firstLineChars="200"/>
        <w:jc w:val="both"/>
        <w:rPr>
          <w:rFonts w:ascii="Times New Roman" w:hAnsi="Times New Roman" w:eastAsia="仿宋_GB2312"/>
          <w:color w:val="000000" w:themeColor="text1"/>
          <w:szCs w:val="32"/>
          <w14:textFill>
            <w14:solidFill>
              <w14:schemeClr w14:val="tx1"/>
            </w14:solidFill>
          </w14:textFill>
        </w:rPr>
      </w:pPr>
      <w:r>
        <w:rPr>
          <w:rFonts w:ascii="Times New Roman" w:hAnsi="Times New Roman" w:eastAsia="仿宋_GB2312"/>
          <w:color w:val="000000" w:themeColor="text1"/>
          <w:spacing w:val="6"/>
          <w:szCs w:val="32"/>
          <w14:textFill>
            <w14:solidFill>
              <w14:schemeClr w14:val="tx1"/>
            </w14:solidFill>
          </w14:textFill>
        </w:rPr>
        <w:t>对标国家、河南省和许昌市二〇三五年远景目标，到</w:t>
      </w:r>
      <w:r>
        <w:rPr>
          <w:rFonts w:ascii="Times New Roman" w:hAnsi="Times New Roman" w:eastAsia="仿宋_GB2312"/>
          <w:color w:val="000000" w:themeColor="text1"/>
          <w:szCs w:val="32"/>
          <w14:textFill>
            <w14:solidFill>
              <w14:schemeClr w14:val="tx1"/>
            </w14:solidFill>
          </w14:textFill>
        </w:rPr>
        <w:t>二〇三五年魏都区基本实现社会主义现代化，基本建成更加富强、民主、文明、和谐、美丽的现代化魏都。经济实力、创新能力大幅提升，发展质量和效益大幅提升，进入全省创新型强区之列。基本实现新型工业化、信息化、城镇化和农业农村现代化，建成现代化经济体系。乡村振兴全面推进，城乡发展差距进一步缩小。基本实现治理体系和治理能力现代化，人民平等参与、平等发展权利得到充分保障，基本建成法治魏都。生态环境更加宜居，广泛形成绿色生产生活方式，基本实现人与自然和谐共生的现代化。安全发展体制机制更加健全，政治安全、社会安定、人民安宁全面实现。建成现代化公共卫生防控体系和医疗卫生服务体系，居民健康指标优于全市平均水平。人民群众的素质和社会文明程度达到新高度，文化软实力显著增强。城乡居民人均收入迈上新台阶，中、高等收入群体显着扩大，基本公共服务实现均等化，人的全面发展、全区人民共同富裕取得更为明显的实质性进展。</w:t>
      </w:r>
    </w:p>
    <w:p>
      <w:pPr>
        <w:pStyle w:val="5"/>
        <w:keepNext w:val="0"/>
        <w:keepLines w:val="0"/>
        <w:widowControl w:val="0"/>
        <w:adjustRightInd w:val="0"/>
        <w:snapToGrid w:val="0"/>
        <w:spacing w:before="297" w:beforeLines="50" w:after="297" w:afterLines="50" w:line="566" w:lineRule="exact"/>
        <w:ind w:firstLine="0" w:firstLineChars="0"/>
      </w:pPr>
      <w:bookmarkStart w:id="32" w:name="_Toc23903"/>
      <w:bookmarkStart w:id="33" w:name="_Toc18309"/>
      <w:r>
        <w:t>第六节  战略导向</w:t>
      </w:r>
      <w:bookmarkEnd w:id="32"/>
      <w:bookmarkEnd w:id="33"/>
    </w:p>
    <w:p>
      <w:pPr>
        <w:widowControl w:val="0"/>
        <w:adjustRightInd w:val="0"/>
        <w:snapToGrid w:val="0"/>
        <w:spacing w:after="0" w:line="566" w:lineRule="exact"/>
        <w:ind w:firstLine="680" w:firstLineChars="200"/>
        <w:jc w:val="both"/>
        <w:rPr>
          <w:rFonts w:ascii="Times New Roman" w:hAnsi="Times New Roman" w:eastAsia="仿宋_GB2312"/>
          <w:color w:val="000000" w:themeColor="text1"/>
          <w:szCs w:val="32"/>
          <w14:textFill>
            <w14:solidFill>
              <w14:schemeClr w14:val="tx1"/>
            </w14:solidFill>
          </w14:textFill>
        </w:rPr>
      </w:pPr>
      <w:r>
        <w:rPr>
          <w:rFonts w:ascii="Times New Roman" w:hAnsi="Times New Roman" w:eastAsia="仿宋_GB2312"/>
          <w:color w:val="000000" w:themeColor="text1"/>
          <w:szCs w:val="32"/>
          <w14:textFill>
            <w14:solidFill>
              <w14:schemeClr w14:val="tx1"/>
            </w14:solidFill>
          </w14:textFill>
        </w:rPr>
        <w:t>实现</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十四五</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发展目标，必须突出战略重点，着眼解决制约经济社会持续健康发展的全局性、根本性、长远性问题，紧紧围绕加快</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kern w:val="2"/>
          <w:szCs w:val="32"/>
          <w14:textFill>
            <w14:solidFill>
              <w14:schemeClr w14:val="tx1"/>
            </w14:solidFill>
          </w14:textFill>
        </w:rPr>
        <w:t>产业兴区、创新强区、富民安区</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建设，突出六大战略导向。</w:t>
      </w:r>
    </w:p>
    <w:p>
      <w:pPr>
        <w:widowControl w:val="0"/>
        <w:adjustRightInd w:val="0"/>
        <w:snapToGrid w:val="0"/>
        <w:spacing w:after="0" w:line="566" w:lineRule="exact"/>
        <w:ind w:firstLine="680" w:firstLineChars="200"/>
        <w:rPr>
          <w:rFonts w:ascii="Times New Roman" w:hAnsi="Times New Roman" w:eastAsia="仿宋_GB2312"/>
          <w:color w:val="000000" w:themeColor="text1"/>
          <w:szCs w:val="32"/>
          <w14:textFill>
            <w14:solidFill>
              <w14:schemeClr w14:val="tx1"/>
            </w14:solidFill>
          </w14:textFill>
        </w:rPr>
      </w:pPr>
      <w:r>
        <w:rPr>
          <w:rFonts w:hint="eastAsia" w:ascii="楷体_GB2312" w:hAnsi="楷体_GB2312" w:eastAsia="楷体_GB2312" w:cs="楷体_GB2312"/>
          <w:b/>
          <w:bCs/>
          <w:color w:val="000000" w:themeColor="text1"/>
          <w:szCs w:val="32"/>
          <w14:textFill>
            <w14:solidFill>
              <w14:schemeClr w14:val="tx1"/>
            </w14:solidFill>
          </w14:textFill>
        </w:rPr>
        <w:t>——</w:t>
      </w:r>
      <w:r>
        <w:rPr>
          <w:rFonts w:hint="eastAsia" w:ascii="楷体_GB2312" w:hAnsi="楷体_GB2312" w:eastAsia="楷体_GB2312" w:cs="楷体_GB2312"/>
          <w:b/>
          <w:bCs/>
          <w:color w:val="000000" w:themeColor="text1"/>
          <w14:textFill>
            <w14:solidFill>
              <w14:schemeClr w14:val="tx1"/>
            </w14:solidFill>
          </w14:textFill>
        </w:rPr>
        <w:t>突出产业培育。</w:t>
      </w:r>
      <w:r>
        <w:rPr>
          <w:rFonts w:ascii="Times New Roman" w:hAnsi="Times New Roman" w:eastAsia="仿宋_GB2312"/>
          <w:color w:val="000000" w:themeColor="text1"/>
          <w:szCs w:val="32"/>
          <w14:textFill>
            <w14:solidFill>
              <w14:schemeClr w14:val="tx1"/>
            </w14:solidFill>
          </w14:textFill>
        </w:rPr>
        <w:t>制定出台产业兴区优惠奖励扶持政策，成立产业发展基金，依托5大园区主平台，做优做强高端制造、新材料、节能环保三大主导产业，升级改造传统产业，做精做特新兴产业，集聚一批</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旗舰型</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骨干企业，稳定供应链、优化产业链、提升价值链。顺应和把握消费升级大趋势，引进和发展时尚、旅游、文化、体育、健康、养老和教育新业态新品牌，大力提升科技服务、检测检验、工业设计、信息服务、装备租赁等与制造业紧密相关的生产性服务业发展水平，以消费环境改善和市场秩序规范释放新空间，以扩大有效供给和品质提升满足新需求，促进我区服务业向便捷化、精细化和高品质转变。</w:t>
      </w:r>
    </w:p>
    <w:p>
      <w:pPr>
        <w:widowControl w:val="0"/>
        <w:adjustRightInd w:val="0"/>
        <w:snapToGrid w:val="0"/>
        <w:spacing w:after="0" w:line="566" w:lineRule="exact"/>
        <w:ind w:firstLine="680" w:firstLineChars="200"/>
        <w:rPr>
          <w:rFonts w:ascii="Times New Roman" w:hAnsi="Times New Roman" w:eastAsia="仿宋_GB2312"/>
          <w:color w:val="000000" w:themeColor="text1"/>
          <w:szCs w:val="32"/>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——突出创新驱动。</w:t>
      </w:r>
      <w:r>
        <w:rPr>
          <w:rFonts w:ascii="Times New Roman" w:hAnsi="Times New Roman" w:eastAsia="仿宋_GB2312"/>
          <w:color w:val="000000" w:themeColor="text1"/>
          <w:szCs w:val="32"/>
          <w14:textFill>
            <w14:solidFill>
              <w14:schemeClr w14:val="tx1"/>
            </w14:solidFill>
          </w14:textFill>
        </w:rPr>
        <w:t>把创新摆在发展全局的突出位置，培育经济高质量发展新动能。瞄准高端制造、新材料、节能环保，以及数字经济和信息化产业领域，实施一批具有前瞻性、战略性的重大科技项目，建设一批智能化工业技术创新与转化平台。积极争取国家和省重大科学中心、综合性产业创新中心等落地布局，着力打造集产业创新服务综合体、众创空间、科技孵化器于一体的创新平台。强化企业创新主体地位，大力培育科技小巨人企业。完善科技创新体制机制，优化人才引进的服务保障体系，激发人才创新活力。完善新型企业培育机制，实施更大力度的企业研发投入财政奖补政策，推动科技创新全区覆盖，促进新技术产业化规模化应用。</w:t>
      </w:r>
    </w:p>
    <w:p>
      <w:pPr>
        <w:pStyle w:val="3"/>
        <w:widowControl w:val="0"/>
        <w:adjustRightInd w:val="0"/>
        <w:snapToGrid w:val="0"/>
        <w:spacing w:after="0" w:line="566" w:lineRule="exact"/>
        <w:ind w:firstLine="683"/>
        <w:rPr>
          <w:color w:val="000000" w:themeColor="text1"/>
          <w:szCs w:val="32"/>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——突出开放带动。</w:t>
      </w:r>
      <w:r>
        <w:rPr>
          <w:snapToGrid w:val="0"/>
          <w:color w:val="000000" w:themeColor="text1"/>
          <w:szCs w:val="32"/>
          <w14:textFill>
            <w14:solidFill>
              <w14:schemeClr w14:val="tx1"/>
            </w14:solidFill>
          </w14:textFill>
        </w:rPr>
        <w:t>积极探索和运用网上招商、代理招商、委托招商、以商招商等多种形式，紧紧围绕主导产业、龙头企业、重点项目，积极参加省内外招商活动，着力提高招商实效。</w:t>
      </w:r>
      <w:r>
        <w:rPr>
          <w:color w:val="000000" w:themeColor="text1"/>
          <w:szCs w:val="32"/>
          <w14:textFill>
            <w14:solidFill>
              <w14:schemeClr w14:val="tx1"/>
            </w14:solidFill>
          </w14:textFill>
        </w:rPr>
        <w:t>把握国家支持中部地区承接东部沿海和国外产业转移机遇，依托工业5大园区主平台吸引优质项目落地。持续寻求与国内外高端研发机构协作，搭建公共卫生、数字经济、绿色发展、</w:t>
      </w:r>
      <w:r>
        <w:rPr>
          <w:color w:val="000000" w:themeColor="text1"/>
          <w:spacing w:val="6"/>
          <w:szCs w:val="32"/>
          <w14:textFill>
            <w14:solidFill>
              <w14:schemeClr w14:val="tx1"/>
            </w14:solidFill>
          </w14:textFill>
        </w:rPr>
        <w:t>科技教育常态化交流合作机制平台，积极开创开放发展新格</w:t>
      </w:r>
      <w:r>
        <w:rPr>
          <w:color w:val="000000" w:themeColor="text1"/>
          <w:szCs w:val="32"/>
          <w14:textFill>
            <w14:solidFill>
              <w14:schemeClr w14:val="tx1"/>
            </w14:solidFill>
          </w14:textFill>
        </w:rPr>
        <w:t>局。</w:t>
      </w:r>
    </w:p>
    <w:p>
      <w:pPr>
        <w:pStyle w:val="3"/>
        <w:widowControl w:val="0"/>
        <w:adjustRightInd w:val="0"/>
        <w:snapToGrid w:val="0"/>
        <w:spacing w:after="0" w:line="566" w:lineRule="exact"/>
        <w:ind w:firstLine="683"/>
        <w:rPr>
          <w:color w:val="000000" w:themeColor="text1"/>
          <w:szCs w:val="32"/>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——突出资本运作。</w:t>
      </w:r>
      <w:r>
        <w:rPr>
          <w:color w:val="000000" w:themeColor="text1"/>
          <w:szCs w:val="32"/>
          <w14:textFill>
            <w14:solidFill>
              <w14:schemeClr w14:val="tx1"/>
            </w14:solidFill>
          </w14:textFill>
        </w:rPr>
        <w:t>依托魏都投资总公司，进一步做大做强政府融资平台，整合更多资源纳入平台公司资产包，鼓励政府平台公司以合作入股等方式与优质项目进行合作，通过资本运作助力产业快速发展。紧抓国家证券注册制改革机遇，精心挑选一批发展前景好、市场潜力大的</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专精特新</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小巨人企业、</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隐形冠军企业</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和高新技术企业，壮大上市后备企业储备库，强化企业上市服务指导，推动上市企业进一步扩大规模，整体提升魏都区地域品牌和企业知名度。</w:t>
      </w:r>
    </w:p>
    <w:p>
      <w:pPr>
        <w:pStyle w:val="3"/>
        <w:widowControl w:val="0"/>
        <w:adjustRightInd w:val="0"/>
        <w:snapToGrid w:val="0"/>
        <w:spacing w:after="0" w:line="566" w:lineRule="exact"/>
        <w:ind w:firstLine="683"/>
        <w:rPr>
          <w:color w:val="000000" w:themeColor="text1"/>
          <w:szCs w:val="32"/>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——突出绿色发展。</w:t>
      </w:r>
      <w:r>
        <w:rPr>
          <w:color w:val="000000" w:themeColor="text1"/>
          <w:szCs w:val="32"/>
          <w14:textFill>
            <w14:solidFill>
              <w14:schemeClr w14:val="tx1"/>
            </w14:solidFill>
          </w14:textFill>
        </w:rPr>
        <w:t>坚持</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绿水青山就是金山银山</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发展理念，促进经济社会发展全面绿色转型。结合静脉产业园建设完善垃圾分类收集处置体系，实现资源循环化、智能化回收处理，推进</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无废城市</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建设。持续抓好污染防治，推进工业、建筑、交通等重点领域节能减排，推进清洁生产，推动空气质量持续好转。开展绿色生产、绿色包装、绿色采购，推广清洁利用技术和绿色建筑，提倡装配式、可循环利用的建筑方式。倡导绿色生活方式，形成全区生态共建、环境共治、成果共享的良好格局，为经济社会高质量发展提供坚实的环境支撑。</w:t>
      </w:r>
    </w:p>
    <w:p>
      <w:pPr>
        <w:pStyle w:val="3"/>
        <w:widowControl w:val="0"/>
        <w:adjustRightInd w:val="0"/>
        <w:snapToGrid w:val="0"/>
        <w:spacing w:after="0" w:line="566" w:lineRule="exact"/>
        <w:ind w:firstLine="683"/>
        <w:rPr>
          <w:color w:val="000000" w:themeColor="text1"/>
          <w:szCs w:val="32"/>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——突出治理创新。</w:t>
      </w:r>
      <w:r>
        <w:rPr>
          <w:color w:val="000000" w:themeColor="text1"/>
          <w:szCs w:val="32"/>
          <w14:textFill>
            <w14:solidFill>
              <w14:schemeClr w14:val="tx1"/>
            </w14:solidFill>
          </w14:textFill>
        </w:rPr>
        <w:t>健全党建引领下的自治、法治、德治相结合的基层治理体系，实现政府治理同社会调节、居民自治良性互动。发挥群团组织和社会组织在社会治理中的作用，畅通和规范市场主体、新社会阶层、社会工作者和志愿者等参与社会治理的途径，构建网格化管理、精细化服务、信息化支撑、开放共享的基层管理服务平台。坚持和发展新时代</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枫桥经验</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，畅通和规范群众诉求表达、利益协调、权益保障通道。完善各类调解联动工作体系，构建源头防控、排查梳理、纠纷化解、应急处置的社会矛盾综合治理机制。</w:t>
      </w:r>
    </w:p>
    <w:p>
      <w:pPr>
        <w:pStyle w:val="4"/>
        <w:keepNext w:val="0"/>
        <w:keepLines w:val="0"/>
        <w:widowControl w:val="0"/>
        <w:adjustRightInd w:val="0"/>
        <w:snapToGrid w:val="0"/>
        <w:spacing w:after="0" w:line="600" w:lineRule="exact"/>
      </w:pPr>
      <w:bookmarkStart w:id="34" w:name="_Toc29362"/>
      <w:bookmarkStart w:id="35" w:name="_Toc14290"/>
      <w:bookmarkStart w:id="36" w:name="_Toc2758"/>
      <w:r>
        <w:t xml:space="preserve">第三章 </w:t>
      </w:r>
      <w:r>
        <w:rPr>
          <w:rFonts w:hint="eastAsia"/>
        </w:rPr>
        <w:t xml:space="preserve"> </w:t>
      </w:r>
      <w:r>
        <w:t>强化创新驱动，培育经济高质量</w:t>
      </w:r>
      <w:bookmarkEnd w:id="34"/>
    </w:p>
    <w:p>
      <w:pPr>
        <w:pStyle w:val="4"/>
        <w:keepNext w:val="0"/>
        <w:keepLines w:val="0"/>
        <w:widowControl w:val="0"/>
        <w:adjustRightInd w:val="0"/>
        <w:snapToGrid w:val="0"/>
        <w:spacing w:after="0" w:line="600" w:lineRule="exact"/>
      </w:pPr>
      <w:bookmarkStart w:id="37" w:name="_Toc22700"/>
      <w:r>
        <w:t>发展新动能</w:t>
      </w:r>
      <w:bookmarkEnd w:id="35"/>
      <w:bookmarkEnd w:id="36"/>
      <w:bookmarkEnd w:id="37"/>
    </w:p>
    <w:p>
      <w:pPr>
        <w:widowControl w:val="0"/>
        <w:adjustRightInd w:val="0"/>
        <w:snapToGrid w:val="0"/>
        <w:spacing w:after="0" w:line="560" w:lineRule="exact"/>
        <w:ind w:firstLine="680" w:firstLineChars="200"/>
        <w:rPr>
          <w:rFonts w:ascii="Times New Roman" w:hAnsi="Times New Roman" w:eastAsia="仿宋_GB2312"/>
          <w:color w:val="000000" w:themeColor="text1"/>
          <w:szCs w:val="32"/>
          <w14:textFill>
            <w14:solidFill>
              <w14:schemeClr w14:val="tx1"/>
            </w14:solidFill>
          </w14:textFill>
        </w:rPr>
      </w:pPr>
      <w:bookmarkStart w:id="38" w:name="_Toc52578174"/>
    </w:p>
    <w:p>
      <w:pPr>
        <w:widowControl w:val="0"/>
        <w:adjustRightInd w:val="0"/>
        <w:snapToGrid w:val="0"/>
        <w:spacing w:after="0" w:line="560" w:lineRule="exact"/>
        <w:ind w:firstLine="680" w:firstLineChars="200"/>
        <w:rPr>
          <w:rFonts w:ascii="Times New Roman" w:hAnsi="Times New Roman" w:eastAsia="仿宋_GB2312"/>
          <w:color w:val="000000" w:themeColor="text1"/>
          <w:szCs w:val="32"/>
          <w14:textFill>
            <w14:solidFill>
              <w14:schemeClr w14:val="tx1"/>
            </w14:solidFill>
          </w14:textFill>
        </w:rPr>
      </w:pPr>
      <w:r>
        <w:rPr>
          <w:rFonts w:ascii="Times New Roman" w:hAnsi="Times New Roman" w:eastAsia="仿宋_GB2312"/>
          <w:color w:val="000000" w:themeColor="text1"/>
          <w:szCs w:val="32"/>
          <w14:textFill>
            <w14:solidFill>
              <w14:schemeClr w14:val="tx1"/>
            </w14:solidFill>
          </w14:textFill>
        </w:rPr>
        <w:t>加快完善综合创新生态体系，增强自主创新能力，激发全社会的创新活力和创造潜能，提升魏都区在全市创新体系中的地位，打造在全省有重要影响力的创新强区。</w:t>
      </w:r>
    </w:p>
    <w:bookmarkEnd w:id="38"/>
    <w:p>
      <w:pPr>
        <w:pStyle w:val="5"/>
        <w:keepNext w:val="0"/>
        <w:keepLines w:val="0"/>
        <w:widowControl w:val="0"/>
        <w:adjustRightInd w:val="0"/>
        <w:snapToGrid w:val="0"/>
        <w:spacing w:before="297" w:beforeLines="50" w:after="297" w:afterLines="50" w:line="560" w:lineRule="exact"/>
        <w:ind w:firstLine="0" w:firstLineChars="0"/>
      </w:pPr>
      <w:bookmarkStart w:id="39" w:name="_Toc26991"/>
      <w:bookmarkStart w:id="40" w:name="_Toc9328"/>
      <w:r>
        <w:t>第一节   提升自主创新能力</w:t>
      </w:r>
      <w:bookmarkEnd w:id="39"/>
      <w:bookmarkEnd w:id="40"/>
    </w:p>
    <w:p>
      <w:pPr>
        <w:widowControl w:val="0"/>
        <w:adjustRightInd w:val="0"/>
        <w:snapToGrid w:val="0"/>
        <w:spacing w:after="0" w:line="560" w:lineRule="exact"/>
        <w:ind w:firstLine="641"/>
        <w:jc w:val="both"/>
        <w:rPr>
          <w:rFonts w:ascii="Times New Roman" w:hAnsi="Times New Roman" w:eastAsia="仿宋_GB2312"/>
          <w:color w:val="000000" w:themeColor="text1"/>
          <w:szCs w:val="32"/>
          <w14:textFill>
            <w14:solidFill>
              <w14:schemeClr w14:val="tx1"/>
            </w14:solidFill>
          </w14:textFill>
        </w:rPr>
      </w:pPr>
      <w:r>
        <w:rPr>
          <w:rFonts w:ascii="Times New Roman" w:hAnsi="Times New Roman" w:eastAsia="仿宋_GB2312"/>
          <w:color w:val="000000" w:themeColor="text1"/>
          <w:szCs w:val="32"/>
          <w14:textFill>
            <w14:solidFill>
              <w14:schemeClr w14:val="tx1"/>
            </w14:solidFill>
          </w14:textFill>
        </w:rPr>
        <w:t>强化企业创新主体地位，促进各类创新要素向企业集聚，以市场为导向，推进创新链与产业链深度融合，加大统筹利用创新资源力度，提升企业原始创新、集成创新和引进消化吸收再创新能力。</w:t>
      </w:r>
    </w:p>
    <w:p>
      <w:pPr>
        <w:widowControl w:val="0"/>
        <w:adjustRightInd w:val="0"/>
        <w:snapToGrid w:val="0"/>
        <w:spacing w:after="0" w:line="560" w:lineRule="exact"/>
        <w:ind w:firstLine="680" w:firstLineChars="200"/>
        <w:rPr>
          <w:rFonts w:ascii="Times New Roman" w:hAnsi="Times New Roman" w:eastAsia="仿宋_GB2312"/>
          <w:color w:val="000000" w:themeColor="text1"/>
          <w:szCs w:val="32"/>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加强创新型企业培育。</w:t>
      </w:r>
      <w:r>
        <w:rPr>
          <w:rFonts w:ascii="Times New Roman" w:hAnsi="Times New Roman" w:eastAsia="仿宋_GB2312"/>
          <w:color w:val="000000" w:themeColor="text1"/>
          <w:szCs w:val="32"/>
          <w14:textFill>
            <w14:solidFill>
              <w14:schemeClr w14:val="tx1"/>
            </w14:solidFill>
          </w14:textFill>
        </w:rPr>
        <w:t>加大前沿科技、战略性新兴产业等支持力度，支持企业基础研究平台发展，大力提升企业技术创新主体地位。全面落实高新技术企业所得税优惠、研发费用加计扣除等普惠性政策，实施更大力度的企业研发投入财政奖补政策，推动科技创新政策全覆盖，引导企业加大研发投入。大力培育创新龙头企业、</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瞪羚</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企业（科技小巨人企业），构建高新技术企业培育机制，建立高新技术企业认定后备库，实现高新技术企业和科技型中小企业数量倍增，壮大以高新技术企业为主体的创新型企业集群。</w:t>
      </w:r>
    </w:p>
    <w:p>
      <w:pPr>
        <w:widowControl w:val="0"/>
        <w:adjustRightInd w:val="0"/>
        <w:snapToGrid w:val="0"/>
        <w:spacing w:after="0" w:line="560" w:lineRule="exact"/>
        <w:ind w:firstLine="680" w:firstLineChars="200"/>
        <w:rPr>
          <w:rFonts w:ascii="Times New Roman" w:hAnsi="Times New Roman" w:eastAsia="仿宋_GB2312"/>
          <w:color w:val="000000" w:themeColor="text1"/>
          <w:szCs w:val="32"/>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推动产业链融通创新。</w:t>
      </w:r>
      <w:r>
        <w:rPr>
          <w:rFonts w:ascii="Times New Roman" w:hAnsi="Times New Roman" w:eastAsia="仿宋_GB2312"/>
          <w:color w:val="000000" w:themeColor="text1"/>
          <w:szCs w:val="32"/>
          <w14:textFill>
            <w14:solidFill>
              <w14:schemeClr w14:val="tx1"/>
            </w14:solidFill>
          </w14:textFill>
        </w:rPr>
        <w:t>发挥大企业引领支撑作用，开展主导产业</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龙头企业创新转型试点，支持纪年科技、河南爱彼爱和、恩诺格、许昌远方工贸等行业骨干企业建设国家级重点实验室、企业技术中心、工业设计中心等重大创新平台，加强共性技术平台建设，推动产业链上中下游、大中小企业融通创新，支持创新型中小微企业成长为创新重要发源地。</w:t>
      </w:r>
    </w:p>
    <w:p>
      <w:pPr>
        <w:widowControl w:val="0"/>
        <w:adjustRightInd w:val="0"/>
        <w:snapToGrid w:val="0"/>
        <w:spacing w:after="0" w:line="560" w:lineRule="exact"/>
        <w:ind w:firstLine="680" w:firstLineChars="200"/>
        <w:rPr>
          <w:rFonts w:ascii="Times New Roman" w:hAnsi="Times New Roman" w:eastAsia="仿宋_GB2312"/>
          <w:color w:val="000000" w:themeColor="text1"/>
          <w:szCs w:val="32"/>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组建创新联合体。</w:t>
      </w:r>
      <w:r>
        <w:rPr>
          <w:rFonts w:ascii="Times New Roman" w:hAnsi="Times New Roman" w:eastAsia="仿宋_GB2312"/>
          <w:color w:val="000000" w:themeColor="text1"/>
          <w:szCs w:val="32"/>
          <w14:textFill>
            <w14:solidFill>
              <w14:schemeClr w14:val="tx1"/>
            </w14:solidFill>
          </w14:textFill>
        </w:rPr>
        <w:t>支持龙头企业牵头组建创新联合体，以实体平台和具体项目为纽带推进产学研深度融合。瞄准先进制造业、新材料、节能环保、数字经济等领域，实施一批具有前瞻性、战略性的重大科技项目，争取国家级重点研发计划项目、省、市、区联动实施</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十百千</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转型升级创新专项，开展关键技术攻关，推进创新示范应用。鼓励企业运用网络平台集聚</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对接社会创新资源，建立首席技师、工匠工作室等机制，带动职工投入制造环节创新，提高新产品开发能力，提升产品品质。</w:t>
      </w:r>
    </w:p>
    <w:p>
      <w:pPr>
        <w:pStyle w:val="5"/>
        <w:keepNext w:val="0"/>
        <w:keepLines w:val="0"/>
        <w:widowControl w:val="0"/>
        <w:adjustRightInd w:val="0"/>
        <w:snapToGrid w:val="0"/>
        <w:spacing w:before="297" w:beforeLines="50" w:after="297" w:afterLines="50" w:line="560" w:lineRule="exact"/>
        <w:ind w:firstLine="0" w:firstLineChars="0"/>
      </w:pPr>
      <w:bookmarkStart w:id="41" w:name="_Toc27518"/>
      <w:bookmarkStart w:id="42" w:name="_Toc13702"/>
      <w:r>
        <w:t>第二节  搭建创新创业平台</w:t>
      </w:r>
      <w:bookmarkEnd w:id="41"/>
      <w:bookmarkEnd w:id="42"/>
    </w:p>
    <w:p>
      <w:pPr>
        <w:widowControl w:val="0"/>
        <w:adjustRightInd w:val="0"/>
        <w:snapToGrid w:val="0"/>
        <w:spacing w:after="0" w:line="560" w:lineRule="exact"/>
        <w:ind w:firstLine="680" w:firstLineChars="200"/>
        <w:rPr>
          <w:rFonts w:ascii="Times New Roman" w:hAnsi="Times New Roman" w:eastAsia="仿宋_GB2312"/>
          <w:color w:val="000000" w:themeColor="text1"/>
          <w:szCs w:val="32"/>
          <w14:textFill>
            <w14:solidFill>
              <w14:schemeClr w14:val="tx1"/>
            </w14:solidFill>
          </w14:textFill>
        </w:rPr>
      </w:pPr>
      <w:r>
        <w:rPr>
          <w:rFonts w:ascii="Times New Roman" w:hAnsi="Times New Roman" w:eastAsia="仿宋_GB2312"/>
          <w:color w:val="000000" w:themeColor="text1"/>
          <w:szCs w:val="32"/>
          <w14:textFill>
            <w14:solidFill>
              <w14:schemeClr w14:val="tx1"/>
            </w14:solidFill>
          </w14:textFill>
        </w:rPr>
        <w:t>充分发挥各类创新创业综合体带动作用，汇聚各类创新要素，形成集群创新效应，引领创新驱动发展。</w:t>
      </w:r>
    </w:p>
    <w:p>
      <w:pPr>
        <w:widowControl w:val="0"/>
        <w:adjustRightInd w:val="0"/>
        <w:snapToGrid w:val="0"/>
        <w:spacing w:after="0" w:line="560" w:lineRule="exact"/>
        <w:ind w:firstLine="680" w:firstLineChars="200"/>
        <w:rPr>
          <w:rFonts w:ascii="Times New Roman" w:hAnsi="Times New Roman" w:eastAsia="仿宋_GB2312"/>
          <w:color w:val="000000" w:themeColor="text1"/>
          <w:szCs w:val="32"/>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构建综合创新服务平台</w:t>
      </w:r>
      <w:r>
        <w:rPr>
          <w:rFonts w:ascii="Times New Roman" w:hAnsi="Times New Roman" w:eastAsia="仿宋_GB2312"/>
          <w:b/>
          <w:bCs/>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高标准推进魏都区</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市民之家</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创新创业综合体建设，加快双创基地、专业化众创空间、科技企业孵化器、星创天地等各类创新创业孵化平台建设，构建集</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互联网+</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技术信息、交易、转让、融资、孵化等为一体的综合服务平台，建成科技成果交易转化中心。</w:t>
      </w:r>
    </w:p>
    <w:p>
      <w:pPr>
        <w:widowControl w:val="0"/>
        <w:adjustRightInd w:val="0"/>
        <w:snapToGrid w:val="0"/>
        <w:spacing w:after="0" w:line="560" w:lineRule="exact"/>
        <w:ind w:firstLine="680" w:firstLineChars="200"/>
        <w:rPr>
          <w:rFonts w:ascii="Times New Roman" w:hAnsi="Times New Roman" w:eastAsia="仿宋_GB2312"/>
          <w:color w:val="000000" w:themeColor="text1"/>
          <w:szCs w:val="32"/>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推进产业创新中心建设。</w:t>
      </w:r>
      <w:r>
        <w:rPr>
          <w:rFonts w:ascii="Times New Roman" w:hAnsi="Times New Roman" w:eastAsia="仿宋_GB2312"/>
          <w:color w:val="000000" w:themeColor="text1"/>
          <w:szCs w:val="32"/>
          <w14:textFill>
            <w14:solidFill>
              <w14:schemeClr w14:val="tx1"/>
            </w14:solidFill>
          </w14:textFill>
        </w:rPr>
        <w:t>鼓励龙头企业牵头，聚焦主导产业，联合高等院校、科研院所，以产学研合作形式设立产业技术研发机构，依托北理工两个分中心，积极争取国家和省重大科学中心、综合性产业创新中心等落地布局。鼓励国家重点（工程）实验室、国家工程（技术）研究中心、企业技术中心等各类创新平台开展应用示范，举办好全国阻燃学术年会和国际阻燃峰会高峰论坛，开放共享创新资源。</w:t>
      </w:r>
    </w:p>
    <w:p>
      <w:pPr>
        <w:widowControl w:val="0"/>
        <w:adjustRightInd w:val="0"/>
        <w:snapToGrid w:val="0"/>
        <w:spacing w:after="0" w:line="560" w:lineRule="exact"/>
        <w:ind w:firstLine="680" w:firstLineChars="200"/>
        <w:rPr>
          <w:rFonts w:ascii="Times New Roman" w:hAnsi="Times New Roman" w:eastAsia="仿宋_GB2312"/>
          <w:color w:val="000000" w:themeColor="text1"/>
          <w:szCs w:val="32"/>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建设创新型平台机构。</w:t>
      </w:r>
      <w:r>
        <w:rPr>
          <w:rFonts w:ascii="Times New Roman" w:hAnsi="Times New Roman" w:eastAsia="仿宋_GB2312"/>
          <w:color w:val="000000" w:themeColor="text1"/>
          <w:szCs w:val="32"/>
          <w14:textFill>
            <w14:solidFill>
              <w14:schemeClr w14:val="tx1"/>
            </w14:solidFill>
          </w14:textFill>
        </w:rPr>
        <w:t>加快建设一批创新设计、公共监测、科技信息和专业技术平台。引导支持有条件的企业组建中原学者工作站。支持国内外一流科研院所、高等院校、科技研发平台、大型企业以及研发机构等设立或共建新型研发机构。充分挖掘创新创业资源，分层次布局建设科技企业孵化器、众创空间、</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双创</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基地等创新创业孵化平台。加强科技企业孵化器从业人员和管理人员培训，全面提升创新创业孵化平台的服务能力与水平。</w:t>
      </w:r>
    </w:p>
    <w:p>
      <w:pPr>
        <w:widowControl w:val="0"/>
        <w:adjustRightInd w:val="0"/>
        <w:snapToGrid w:val="0"/>
        <w:spacing w:after="0" w:line="560" w:lineRule="exact"/>
        <w:ind w:firstLine="680" w:firstLineChars="200"/>
        <w:rPr>
          <w:rFonts w:ascii="Times New Roman" w:hAnsi="Times New Roman" w:eastAsia="仿宋_GB2312"/>
          <w:color w:val="000000" w:themeColor="text1"/>
          <w:szCs w:val="32"/>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深化军民融合协同创新。</w:t>
      </w:r>
      <w:r>
        <w:rPr>
          <w:rFonts w:ascii="Times New Roman" w:hAnsi="Times New Roman" w:eastAsia="仿宋_GB2312"/>
          <w:color w:val="000000" w:themeColor="text1"/>
          <w:szCs w:val="32"/>
          <w14:textFill>
            <w14:solidFill>
              <w14:schemeClr w14:val="tx1"/>
            </w14:solidFill>
          </w14:textFill>
        </w:rPr>
        <w:t>统筹军地科技创新资源，积极推进魏都区军民融合企业加快发展，鼓励</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军转民</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民参军</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，强化国防科技关键技术</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卡脖子</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攻关，推进共性关键技术转化为生产力。</w:t>
      </w:r>
      <w:bookmarkStart w:id="43" w:name="_Toc764"/>
    </w:p>
    <w:p>
      <w:pPr>
        <w:pStyle w:val="5"/>
        <w:keepNext w:val="0"/>
        <w:keepLines w:val="0"/>
        <w:widowControl w:val="0"/>
        <w:adjustRightInd w:val="0"/>
        <w:snapToGrid w:val="0"/>
        <w:spacing w:before="297" w:beforeLines="50" w:after="297" w:afterLines="50" w:line="560" w:lineRule="exact"/>
        <w:ind w:firstLine="0" w:firstLineChars="0"/>
      </w:pPr>
      <w:bookmarkStart w:id="44" w:name="_Toc27893"/>
      <w:r>
        <w:t>第三节  构筑人才集聚高地</w:t>
      </w:r>
      <w:bookmarkEnd w:id="43"/>
      <w:bookmarkEnd w:id="44"/>
    </w:p>
    <w:p>
      <w:pPr>
        <w:widowControl w:val="0"/>
        <w:adjustRightInd w:val="0"/>
        <w:snapToGrid w:val="0"/>
        <w:spacing w:after="0" w:line="560" w:lineRule="exact"/>
        <w:ind w:firstLine="680" w:firstLineChars="200"/>
        <w:rPr>
          <w:rFonts w:ascii="Times New Roman" w:hAnsi="Times New Roman" w:eastAsia="仿宋_GB2312"/>
          <w:color w:val="000000" w:themeColor="text1"/>
          <w:szCs w:val="32"/>
          <w14:textFill>
            <w14:solidFill>
              <w14:schemeClr w14:val="tx1"/>
            </w14:solidFill>
          </w14:textFill>
        </w:rPr>
      </w:pPr>
      <w:r>
        <w:rPr>
          <w:rFonts w:ascii="Times New Roman" w:hAnsi="Times New Roman" w:eastAsia="仿宋_GB2312"/>
          <w:color w:val="000000" w:themeColor="text1"/>
          <w:szCs w:val="32"/>
          <w14:textFill>
            <w14:solidFill>
              <w14:schemeClr w14:val="tx1"/>
            </w14:solidFill>
          </w14:textFill>
        </w:rPr>
        <w:t>深入实施人才强区战略，实行更加积极、更加开放、更加有效的人才政策，深化人才发展体制机制改革，全方位培养、引进、用好人才，加强科技人才队伍和创新团队建设。</w:t>
      </w:r>
    </w:p>
    <w:p>
      <w:pPr>
        <w:widowControl w:val="0"/>
        <w:adjustRightInd w:val="0"/>
        <w:snapToGrid w:val="0"/>
        <w:spacing w:after="0" w:line="560" w:lineRule="exact"/>
        <w:ind w:firstLine="680" w:firstLineChars="200"/>
        <w:rPr>
          <w:rFonts w:ascii="Times New Roman" w:hAnsi="Times New Roman" w:eastAsia="仿宋_GB2312"/>
          <w:color w:val="000000" w:themeColor="text1"/>
          <w:szCs w:val="32"/>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完善多元化人才引育机制。</w:t>
      </w:r>
      <w:r>
        <w:rPr>
          <w:rFonts w:ascii="Times New Roman" w:hAnsi="Times New Roman" w:eastAsia="仿宋_GB2312"/>
          <w:color w:val="000000" w:themeColor="text1"/>
          <w:szCs w:val="32"/>
          <w14:textFill>
            <w14:solidFill>
              <w14:schemeClr w14:val="tx1"/>
            </w14:solidFill>
          </w14:textFill>
        </w:rPr>
        <w:t>深入实施</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许昌英才计划</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，大力引进一批</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高精尖缺</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的战略科技人才、科技领军人才和创新团队，推动河南籍人才特别是科技型人才回许昌创业创新。发展壮大重点产业人才队伍，加快引进和培育专业拔尖、掌握核心技术的产业领军人才。加强技能人才队伍建设，完善现代技工教育和职业培训体系，推动校企合作办学和新型学徒制人才培养，实施劳动者技能素质提升工程，多渠道有针对性地培养高技能人才。加强职业教育教学专家、学术技术带头人选拔培养等，加强专业技术人才队伍建设。加大本地科技人才培养支持力度，争取进入国家、省科技创新人才计划。</w:t>
      </w:r>
    </w:p>
    <w:p>
      <w:pPr>
        <w:widowControl w:val="0"/>
        <w:adjustRightInd w:val="0"/>
        <w:snapToGrid w:val="0"/>
        <w:spacing w:after="0" w:line="560" w:lineRule="exact"/>
        <w:ind w:firstLine="680" w:firstLineChars="200"/>
        <w:rPr>
          <w:rFonts w:ascii="Times New Roman" w:hAnsi="Times New Roman" w:eastAsia="仿宋_GB2312"/>
          <w:color w:val="000000" w:themeColor="text1"/>
          <w:szCs w:val="32"/>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健全创新人才激励和保障机制。</w:t>
      </w:r>
      <w:r>
        <w:rPr>
          <w:rFonts w:ascii="Times New Roman" w:hAnsi="Times New Roman" w:eastAsia="仿宋_GB2312"/>
          <w:color w:val="000000" w:themeColor="text1"/>
          <w:szCs w:val="32"/>
          <w14:textFill>
            <w14:solidFill>
              <w14:schemeClr w14:val="tx1"/>
            </w14:solidFill>
          </w14:textFill>
        </w:rPr>
        <w:t>建立以创新能力、质量、实效、贡献为导向的科技人才评价体系。构建充分体现知识、技术等创新要素价值的收益分配机制，完善科研人员职务发明成果权益分享机制。强化科研成果激励机制，加大对作出重大科技贡献的优秀创新团队和人才的奖励，激发人才创新创业活力。加强创新型、应用型、技能型人才培养，实施知识更新工程、技能提升行动，壮大高水平工程师、高技能人才和高层次跨专业实干型人才队伍。实施人才安居工程，优化高层次人才安居政策，高标准建设一批人才社区、人才公寓。进一步促进事业单位优化岗位设置，完善聘用管理办法，深入推进职称制度改革。</w:t>
      </w:r>
    </w:p>
    <w:p>
      <w:pPr>
        <w:pStyle w:val="5"/>
        <w:keepNext w:val="0"/>
        <w:keepLines w:val="0"/>
        <w:widowControl w:val="0"/>
        <w:adjustRightInd w:val="0"/>
        <w:snapToGrid w:val="0"/>
        <w:spacing w:before="297" w:beforeLines="50" w:after="297" w:afterLines="50" w:line="560" w:lineRule="exact"/>
        <w:ind w:firstLine="0" w:firstLineChars="0"/>
      </w:pPr>
      <w:bookmarkStart w:id="45" w:name="_Toc1944"/>
      <w:bookmarkStart w:id="46" w:name="_Toc9113"/>
      <w:r>
        <w:t>第四节  完善创新体制机制</w:t>
      </w:r>
      <w:bookmarkEnd w:id="45"/>
      <w:bookmarkEnd w:id="46"/>
    </w:p>
    <w:p>
      <w:pPr>
        <w:widowControl w:val="0"/>
        <w:adjustRightInd w:val="0"/>
        <w:snapToGrid w:val="0"/>
        <w:spacing w:after="0" w:line="560" w:lineRule="exact"/>
        <w:ind w:firstLine="680" w:firstLineChars="200"/>
        <w:rPr>
          <w:rFonts w:ascii="Times New Roman" w:hAnsi="Times New Roman" w:eastAsia="仿宋_GB2312"/>
          <w:color w:val="000000" w:themeColor="text1"/>
          <w:szCs w:val="32"/>
          <w14:textFill>
            <w14:solidFill>
              <w14:schemeClr w14:val="tx1"/>
            </w14:solidFill>
          </w14:textFill>
        </w:rPr>
      </w:pPr>
      <w:r>
        <w:rPr>
          <w:rFonts w:ascii="Times New Roman" w:hAnsi="Times New Roman" w:eastAsia="仿宋_GB2312"/>
          <w:color w:val="000000" w:themeColor="text1"/>
          <w:szCs w:val="32"/>
          <w14:textFill>
            <w14:solidFill>
              <w14:schemeClr w14:val="tx1"/>
            </w14:solidFill>
          </w14:textFill>
        </w:rPr>
        <w:t>深入推进科技体制改革，完善科技治理体系，优化科技规划体系和运行机制，推动重点领域项目、基地、人才、资金一体化配置。</w:t>
      </w:r>
    </w:p>
    <w:p>
      <w:pPr>
        <w:widowControl w:val="0"/>
        <w:adjustRightInd w:val="0"/>
        <w:snapToGrid w:val="0"/>
        <w:spacing w:after="0" w:line="560" w:lineRule="exact"/>
        <w:ind w:firstLine="680" w:firstLineChars="200"/>
        <w:rPr>
          <w:rFonts w:ascii="Times New Roman" w:hAnsi="Times New Roman" w:eastAsia="仿宋_GB2312"/>
          <w:color w:val="000000" w:themeColor="text1"/>
          <w:szCs w:val="32"/>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改进科技项目组织管理方式。</w:t>
      </w:r>
      <w:r>
        <w:rPr>
          <w:rFonts w:ascii="Times New Roman" w:hAnsi="Times New Roman" w:eastAsia="仿宋_GB2312"/>
          <w:color w:val="000000" w:themeColor="text1"/>
          <w:szCs w:val="32"/>
          <w14:textFill>
            <w14:solidFill>
              <w14:schemeClr w14:val="tx1"/>
            </w14:solidFill>
          </w14:textFill>
        </w:rPr>
        <w:t>建立市场导向的技术创新项目立项和组织方式，实行重大创新需求公开征集定期发布制度，实施</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揭榜挂帅</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、定向委托、择优委托等形式。探索科研项目经理人制度，推动赋予科研人员更大的人财物支配权和技术路线决策权。健全科学分类、合理多元的科研绩效评价机制，提高科技攻关效率。</w:t>
      </w:r>
    </w:p>
    <w:p>
      <w:pPr>
        <w:widowControl w:val="0"/>
        <w:adjustRightInd w:val="0"/>
        <w:snapToGrid w:val="0"/>
        <w:spacing w:after="0" w:line="560" w:lineRule="exact"/>
        <w:ind w:firstLine="680" w:firstLineChars="200"/>
        <w:rPr>
          <w:rFonts w:ascii="Times New Roman" w:hAnsi="Times New Roman" w:eastAsia="仿宋_GB2312"/>
          <w:color w:val="000000" w:themeColor="text1"/>
          <w:szCs w:val="32"/>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加大技术创新投入力度。</w:t>
      </w:r>
      <w:r>
        <w:rPr>
          <w:rFonts w:ascii="Times New Roman" w:hAnsi="Times New Roman" w:eastAsia="仿宋_GB2312"/>
          <w:color w:val="000000" w:themeColor="text1"/>
          <w:szCs w:val="32"/>
          <w14:textFill>
            <w14:solidFill>
              <w14:schemeClr w14:val="tx1"/>
            </w14:solidFill>
          </w14:textFill>
        </w:rPr>
        <w:t>健全政府投入、社会多渠道投入机制。持续稳定财政科技投入增长，优化投入方向和重点，加大基础研究和前沿科技研发支持力度，加强重大创新平台运行保障，同等条件下政府优先采购创新产品。更多运用财政后补助、间接投入等方式带动社会资本投入。完善金融支持创新体系，创新投贷联动、股债结合、知识产权质押、专利保险等产品和服务，实行更有效率的政府基金管理运营机制，完善科技融资担保风险补偿政策，加快发展创业投资和产业投资基金。构建</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基础研究+技术攻关+成果产业化+科技金融</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的全过程科技创新生态链，建立金融大数据库，打通政府、金融机构、企业信息通道。</w:t>
      </w:r>
    </w:p>
    <w:p>
      <w:pPr>
        <w:widowControl w:val="0"/>
        <w:adjustRightInd w:val="0"/>
        <w:snapToGrid w:val="0"/>
        <w:spacing w:after="0" w:line="560" w:lineRule="exact"/>
        <w:ind w:firstLine="680" w:firstLineChars="200"/>
        <w:rPr>
          <w:rFonts w:ascii="Times New Roman" w:hAnsi="Times New Roman" w:eastAsia="仿宋_GB2312"/>
          <w:color w:val="000000" w:themeColor="text1"/>
          <w:szCs w:val="32"/>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加快科技成果转移转化。</w:t>
      </w:r>
      <w:r>
        <w:rPr>
          <w:rFonts w:ascii="Times New Roman" w:hAnsi="Times New Roman" w:eastAsia="仿宋_GB2312"/>
          <w:color w:val="000000" w:themeColor="text1"/>
          <w:szCs w:val="32"/>
          <w14:textFill>
            <w14:solidFill>
              <w14:schemeClr w14:val="tx1"/>
            </w14:solidFill>
          </w14:textFill>
        </w:rPr>
        <w:t>加强知识产权保护、应用和服务，建立健全知识产权行政执法、纠纷解决等机制，探索引入侵权惩罚性赔偿制度，大幅提高科技成果转移转化成效。推动科学发现、技术发明和产业一体化发展，组织实施技术成果应用示范计划，大力推进高技术产业化工程，促进产业核心技术和关键技术的应用推广和成果转化。鼓励使用首台（套）重大技术装备，加大创新产品和服务采购力度，带动</w:t>
      </w:r>
      <w:r>
        <w:rPr>
          <w:rFonts w:ascii="Times New Roman" w:hAnsi="Times New Roman" w:eastAsia="仿宋_GB2312"/>
          <w:color w:val="000000" w:themeColor="text1"/>
          <w:spacing w:val="-6"/>
          <w:szCs w:val="32"/>
          <w14:textFill>
            <w14:solidFill>
              <w14:schemeClr w14:val="tx1"/>
            </w14:solidFill>
          </w14:textFill>
        </w:rPr>
        <w:t>创新产品规模化应用。积极发展技术交易服务市场，鼓励社会资本进入科技成果转化服务领域，增强科技成果转化综合服务功能，提供信息交流、价值评价、技术交易等</w:t>
      </w:r>
      <w:r>
        <w:rPr>
          <w:rFonts w:hint="eastAsia" w:ascii="Times New Roman" w:hAnsi="Times New Roman" w:eastAsia="仿宋_GB2312"/>
          <w:color w:val="000000" w:themeColor="text1"/>
          <w:spacing w:val="-6"/>
          <w:szCs w:val="32"/>
          <w14:textFill>
            <w14:solidFill>
              <w14:schemeClr w14:val="tx1"/>
            </w14:solidFill>
          </w14:textFill>
        </w:rPr>
        <w:t>“</w:t>
      </w:r>
      <w:r>
        <w:rPr>
          <w:rFonts w:ascii="Times New Roman" w:hAnsi="Times New Roman" w:eastAsia="仿宋_GB2312"/>
          <w:color w:val="000000" w:themeColor="text1"/>
          <w:spacing w:val="-6"/>
          <w:szCs w:val="32"/>
          <w14:textFill>
            <w14:solidFill>
              <w14:schemeClr w14:val="tx1"/>
            </w14:solidFill>
          </w14:textFill>
        </w:rPr>
        <w:t>一站式</w:t>
      </w:r>
      <w:r>
        <w:rPr>
          <w:rFonts w:hint="eastAsia" w:ascii="Times New Roman" w:hAnsi="Times New Roman" w:eastAsia="仿宋_GB2312"/>
          <w:color w:val="000000" w:themeColor="text1"/>
          <w:spacing w:val="-6"/>
          <w:szCs w:val="32"/>
          <w14:textFill>
            <w14:solidFill>
              <w14:schemeClr w14:val="tx1"/>
            </w14:solidFill>
          </w14:textFill>
        </w:rPr>
        <w:t>”</w:t>
      </w:r>
      <w:r>
        <w:rPr>
          <w:rFonts w:ascii="Times New Roman" w:hAnsi="Times New Roman" w:eastAsia="仿宋_GB2312"/>
          <w:color w:val="000000" w:themeColor="text1"/>
          <w:spacing w:val="-6"/>
          <w:szCs w:val="32"/>
          <w14:textFill>
            <w14:solidFill>
              <w14:schemeClr w14:val="tx1"/>
            </w14:solidFill>
          </w14:textFill>
        </w:rPr>
        <w:t>服务</w:t>
      </w:r>
      <w:r>
        <w:rPr>
          <w:rFonts w:ascii="Times New Roman" w:hAnsi="Times New Roman" w:eastAsia="仿宋_GB2312"/>
          <w:color w:val="000000" w:themeColor="text1"/>
          <w:szCs w:val="32"/>
          <w14:textFill>
            <w14:solidFill>
              <w14:schemeClr w14:val="tx1"/>
            </w14:solidFill>
          </w14:textFill>
        </w:rPr>
        <w:t>。</w:t>
      </w:r>
    </w:p>
    <w:p>
      <w:pPr>
        <w:widowControl w:val="0"/>
        <w:adjustRightInd w:val="0"/>
        <w:snapToGrid w:val="0"/>
        <w:spacing w:after="0" w:line="560" w:lineRule="exact"/>
        <w:ind w:firstLine="680" w:firstLineChars="200"/>
        <w:rPr>
          <w:rFonts w:ascii="Times New Roman" w:hAnsi="Times New Roman" w:eastAsia="仿宋_GB2312"/>
          <w:color w:val="000000" w:themeColor="text1"/>
          <w:szCs w:val="32"/>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营造崇尚创新良好氛围。</w:t>
      </w:r>
      <w:r>
        <w:rPr>
          <w:rFonts w:ascii="Times New Roman" w:hAnsi="Times New Roman" w:eastAsia="仿宋_GB2312"/>
          <w:color w:val="000000" w:themeColor="text1"/>
          <w:szCs w:val="32"/>
          <w14:textFill>
            <w14:solidFill>
              <w14:schemeClr w14:val="tx1"/>
            </w14:solidFill>
          </w14:textFill>
        </w:rPr>
        <w:t>弘扬科学精神和工匠精神，加强科研诚信建设，加强科普工作。给予企业家更多的包容和鼓励，实施</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企业家队伍培养十百千行动计划</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围绕现代企业管理、宏观经济形势、产业发展形势、科技发展前沿等内容对企业家开展培训。促进大众创业万众创新和新经济蓬勃发展，组织开展创新创业大赛，举办投资路演、创业训练营等各类创新创业活动，全面激发科技人员创业热情，审慎包容监管新技术</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新业态</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新模式。宣传创新文化，树立创新先进人物，总结创新有益做法，大力营造敢于创新、宽容失败的社会氛围。</w:t>
      </w:r>
      <w:bookmarkStart w:id="47" w:name="_Toc9265"/>
    </w:p>
    <w:p>
      <w:pPr>
        <w:pStyle w:val="2"/>
        <w:widowControl w:val="0"/>
        <w:adjustRightInd w:val="0"/>
        <w:snapToGrid w:val="0"/>
        <w:spacing w:after="0" w:line="590" w:lineRule="exact"/>
        <w:ind w:firstLine="340"/>
      </w:pPr>
    </w:p>
    <w:p>
      <w:pPr>
        <w:pStyle w:val="2"/>
        <w:widowControl w:val="0"/>
        <w:adjustRightInd w:val="0"/>
        <w:snapToGrid w:val="0"/>
        <w:spacing w:after="0" w:line="590" w:lineRule="exact"/>
        <w:ind w:firstLine="340"/>
      </w:pPr>
    </w:p>
    <w:p>
      <w:pPr>
        <w:pStyle w:val="2"/>
        <w:widowControl w:val="0"/>
        <w:adjustRightInd w:val="0"/>
        <w:snapToGrid w:val="0"/>
        <w:spacing w:after="0" w:line="590" w:lineRule="exact"/>
        <w:ind w:firstLine="340"/>
      </w:pPr>
    </w:p>
    <w:p>
      <w:pPr>
        <w:pStyle w:val="2"/>
        <w:widowControl w:val="0"/>
        <w:adjustRightInd w:val="0"/>
        <w:snapToGrid w:val="0"/>
        <w:spacing w:after="0" w:line="590" w:lineRule="exact"/>
        <w:ind w:firstLine="340"/>
      </w:pPr>
    </w:p>
    <w:p>
      <w:pPr>
        <w:pStyle w:val="2"/>
        <w:widowControl w:val="0"/>
        <w:adjustRightInd w:val="0"/>
        <w:snapToGrid w:val="0"/>
        <w:spacing w:after="0" w:line="590" w:lineRule="exact"/>
        <w:ind w:firstLine="340"/>
      </w:pPr>
    </w:p>
    <w:p>
      <w:pPr>
        <w:pStyle w:val="2"/>
        <w:widowControl w:val="0"/>
        <w:adjustRightInd w:val="0"/>
        <w:snapToGrid w:val="0"/>
        <w:spacing w:after="0" w:line="590" w:lineRule="exact"/>
        <w:ind w:firstLine="340"/>
      </w:pPr>
    </w:p>
    <w:p>
      <w:pPr>
        <w:pStyle w:val="2"/>
        <w:widowControl w:val="0"/>
        <w:adjustRightInd w:val="0"/>
        <w:snapToGrid w:val="0"/>
        <w:spacing w:after="0" w:line="590" w:lineRule="exact"/>
        <w:ind w:firstLine="340"/>
      </w:pPr>
    </w:p>
    <w:p>
      <w:pPr>
        <w:pStyle w:val="2"/>
        <w:widowControl w:val="0"/>
        <w:adjustRightInd w:val="0"/>
        <w:snapToGrid w:val="0"/>
        <w:spacing w:after="0" w:line="590" w:lineRule="exact"/>
        <w:ind w:firstLine="340"/>
      </w:pPr>
    </w:p>
    <w:p>
      <w:pPr>
        <w:pStyle w:val="2"/>
        <w:widowControl w:val="0"/>
        <w:adjustRightInd w:val="0"/>
        <w:snapToGrid w:val="0"/>
        <w:spacing w:after="0" w:line="590" w:lineRule="exact"/>
        <w:ind w:firstLine="340"/>
      </w:pPr>
    </w:p>
    <w:p>
      <w:pPr>
        <w:pStyle w:val="2"/>
        <w:widowControl w:val="0"/>
        <w:adjustRightInd w:val="0"/>
        <w:snapToGrid w:val="0"/>
        <w:spacing w:after="0" w:line="590" w:lineRule="exact"/>
        <w:ind w:firstLine="340"/>
      </w:pPr>
    </w:p>
    <w:p>
      <w:pPr>
        <w:pStyle w:val="2"/>
        <w:widowControl w:val="0"/>
        <w:adjustRightInd w:val="0"/>
        <w:snapToGrid w:val="0"/>
        <w:spacing w:after="0" w:line="590" w:lineRule="exact"/>
        <w:ind w:firstLine="340"/>
      </w:pPr>
    </w:p>
    <w:p>
      <w:pPr>
        <w:pStyle w:val="2"/>
        <w:widowControl w:val="0"/>
        <w:adjustRightInd w:val="0"/>
        <w:snapToGrid w:val="0"/>
        <w:spacing w:after="0" w:line="590" w:lineRule="exact"/>
        <w:ind w:firstLine="340"/>
      </w:pPr>
    </w:p>
    <w:p>
      <w:pPr>
        <w:pStyle w:val="2"/>
        <w:widowControl w:val="0"/>
        <w:adjustRightInd w:val="0"/>
        <w:snapToGrid w:val="0"/>
        <w:spacing w:after="0" w:line="590" w:lineRule="exact"/>
        <w:ind w:firstLine="340"/>
      </w:pPr>
    </w:p>
    <w:p>
      <w:pPr>
        <w:pStyle w:val="4"/>
        <w:keepNext w:val="0"/>
        <w:keepLines w:val="0"/>
        <w:widowControl w:val="0"/>
        <w:adjustRightInd w:val="0"/>
        <w:snapToGrid w:val="0"/>
        <w:spacing w:after="0" w:line="600" w:lineRule="exact"/>
      </w:pPr>
      <w:bookmarkStart w:id="48" w:name="_Toc27702"/>
      <w:bookmarkStart w:id="49" w:name="_Toc20934"/>
      <w:r>
        <w:t xml:space="preserve">第四章  </w:t>
      </w:r>
      <w:bookmarkEnd w:id="47"/>
      <w:r>
        <w:t>加快制造业转型升级，</w:t>
      </w:r>
      <w:bookmarkEnd w:id="48"/>
      <w:bookmarkEnd w:id="49"/>
      <w:bookmarkStart w:id="50" w:name="_Toc1887"/>
      <w:r>
        <w:t>构建现代化制造业新体系</w:t>
      </w:r>
      <w:bookmarkEnd w:id="50"/>
      <w:r>
        <w:t xml:space="preserve"> </w:t>
      </w:r>
    </w:p>
    <w:p>
      <w:pPr>
        <w:widowControl w:val="0"/>
        <w:adjustRightInd w:val="0"/>
        <w:snapToGrid w:val="0"/>
        <w:spacing w:after="0" w:line="560" w:lineRule="exact"/>
        <w:ind w:firstLine="680" w:firstLineChars="200"/>
        <w:rPr>
          <w:rFonts w:ascii="Times New Roman" w:hAnsi="Times New Roman" w:eastAsia="仿宋"/>
          <w:color w:val="000000" w:themeColor="text1"/>
          <w:szCs w:val="32"/>
          <w14:textFill>
            <w14:solidFill>
              <w14:schemeClr w14:val="tx1"/>
            </w14:solidFill>
          </w14:textFill>
        </w:rPr>
      </w:pPr>
      <w:bookmarkStart w:id="51" w:name="_Toc31416"/>
    </w:p>
    <w:p>
      <w:pPr>
        <w:widowControl w:val="0"/>
        <w:adjustRightInd w:val="0"/>
        <w:snapToGrid w:val="0"/>
        <w:spacing w:after="0" w:line="560" w:lineRule="exact"/>
        <w:ind w:firstLine="680" w:firstLineChars="200"/>
        <w:rPr>
          <w:rFonts w:ascii="Times New Roman" w:hAnsi="Times New Roman" w:eastAsia="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坚持把经济发展的主要着力点放在制造业上，大力实施工业“</w:t>
      </w:r>
      <w:r>
        <w:rPr>
          <w:rFonts w:hint="eastAsia" w:ascii="Times New Roman" w:hAnsi="Times New Roman" w:eastAsia="仿宋_GB2312" w:cs="仿宋_GB2312"/>
          <w:color w:val="000000" w:themeColor="text1"/>
          <w:szCs w:val="32"/>
          <w14:textFill>
            <w14:solidFill>
              <w14:schemeClr w14:val="tx1"/>
            </w14:solidFill>
          </w14:textFill>
        </w:rPr>
        <w:t>1355</w:t>
      </w:r>
      <w:r>
        <w:rPr>
          <w:rFonts w:hint="eastAsia" w:ascii="仿宋_GB2312" w:hAnsi="仿宋_GB2312" w:eastAsia="仿宋_GB2312" w:cs="仿宋_GB2312"/>
          <w:color w:val="000000" w:themeColor="text1"/>
          <w:szCs w:val="32"/>
          <w14:textFill>
            <w14:solidFill>
              <w14:schemeClr w14:val="tx1"/>
            </w14:solidFill>
          </w14:textFill>
        </w:rPr>
        <w:t>”行动计划，加快制造业转型升级</w:t>
      </w:r>
      <w:r>
        <w:rPr>
          <w:rFonts w:ascii="Times New Roman" w:hAnsi="Times New Roman" w:eastAsia="仿宋_GB2312"/>
          <w:color w:val="000000" w:themeColor="text1"/>
          <w:szCs w:val="32"/>
          <w14:textFill>
            <w14:solidFill>
              <w14:schemeClr w14:val="tx1"/>
            </w14:solidFill>
          </w14:textFill>
        </w:rPr>
        <w:t>，厚植实体经济优势，增强制造业的核心竞争力。</w:t>
      </w:r>
    </w:p>
    <w:p>
      <w:pPr>
        <w:pStyle w:val="5"/>
        <w:keepNext w:val="0"/>
        <w:keepLines w:val="0"/>
        <w:widowControl w:val="0"/>
        <w:adjustRightInd w:val="0"/>
        <w:snapToGrid w:val="0"/>
        <w:spacing w:before="297" w:beforeLines="50" w:after="297" w:afterLines="50" w:line="560" w:lineRule="exact"/>
        <w:ind w:firstLine="0" w:firstLineChars="0"/>
      </w:pPr>
      <w:bookmarkStart w:id="52" w:name="_Toc17126"/>
      <w:r>
        <w:t xml:space="preserve">第一节 </w:t>
      </w:r>
      <w:r>
        <w:rPr>
          <w:rFonts w:hint="eastAsia"/>
        </w:rPr>
        <w:t xml:space="preserve"> </w:t>
      </w:r>
      <w:r>
        <w:t>锚定高质量发展方向</w:t>
      </w:r>
      <w:bookmarkEnd w:id="51"/>
      <w:bookmarkEnd w:id="52"/>
    </w:p>
    <w:p>
      <w:pPr>
        <w:widowControl w:val="0"/>
        <w:adjustRightInd w:val="0"/>
        <w:snapToGrid w:val="0"/>
        <w:spacing w:after="0" w:line="560" w:lineRule="exact"/>
        <w:ind w:firstLine="680" w:firstLineChars="200"/>
        <w:jc w:val="both"/>
        <w:rPr>
          <w:rFonts w:ascii="Times New Roman" w:hAnsi="Times New Roman" w:eastAsia="仿宋_GB2312"/>
          <w:color w:val="000000" w:themeColor="text1"/>
          <w:szCs w:val="32"/>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实施产业基础再造工程。</w:t>
      </w:r>
      <w:r>
        <w:rPr>
          <w:rFonts w:ascii="Times New Roman" w:hAnsi="Times New Roman" w:eastAsia="仿宋_GB2312"/>
          <w:color w:val="000000" w:themeColor="text1"/>
          <w:szCs w:val="32"/>
          <w14:textFill>
            <w14:solidFill>
              <w14:schemeClr w14:val="tx1"/>
            </w14:solidFill>
          </w14:textFill>
        </w:rPr>
        <w:t>大力实施</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三大改造</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，深入推进</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两业融合</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，引导一批企业完成两化融合对标、贯标工作，提升产业基础能力和产业链现代化水平，推进产业基础高级化。坚持数字经济赋能制造业发展，重点抢抓</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5G</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技术应用带来的新机遇，依托纪年科技、万里交科等重点企业和重大项目，高标准建设</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5G+工业互联网</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平台。推进企业</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上云用数赋智</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全覆盖，加快云计算、区块链、物联网、大数据、人工智能等新一代信息技术在制造业领域内的嵌入和应用，打造数字化转型企业标杆和典型应用场景，引领带动全区制造业新旧动能转换，抢占未来发展的制高点。</w:t>
      </w:r>
    </w:p>
    <w:p>
      <w:pPr>
        <w:widowControl w:val="0"/>
        <w:adjustRightInd w:val="0"/>
        <w:snapToGrid w:val="0"/>
        <w:spacing w:after="0" w:line="560" w:lineRule="exact"/>
        <w:ind w:firstLine="680" w:firstLineChars="200"/>
        <w:rPr>
          <w:rFonts w:ascii="Times New Roman" w:hAnsi="Times New Roman" w:eastAsia="仿宋_GB2312"/>
          <w:color w:val="000000" w:themeColor="text1"/>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培育</w:t>
      </w:r>
      <w:r>
        <w:rPr>
          <w:rFonts w:hint="eastAsia" w:ascii="楷体_GB2312" w:hAnsi="楷体_GB2312" w:eastAsia="楷体_GB2312" w:cs="楷体_GB2312"/>
          <w:b/>
          <w:bCs/>
          <w:color w:val="000000" w:themeColor="text1"/>
          <w:szCs w:val="32"/>
          <w14:textFill>
            <w14:solidFill>
              <w14:schemeClr w14:val="tx1"/>
            </w14:solidFill>
          </w14:textFill>
        </w:rPr>
        <w:t>“</w:t>
      </w:r>
      <w:r>
        <w:rPr>
          <w:rFonts w:ascii="楷体_GB2312" w:hAnsi="楷体_GB2312" w:eastAsia="楷体_GB2312" w:cs="楷体_GB2312"/>
          <w:b/>
          <w:bCs/>
          <w:color w:val="000000" w:themeColor="text1"/>
          <w:szCs w:val="32"/>
          <w14:textFill>
            <w14:solidFill>
              <w14:schemeClr w14:val="tx1"/>
            </w14:solidFill>
          </w14:textFill>
        </w:rPr>
        <w:t>魏都质量</w:t>
      </w:r>
      <w:r>
        <w:rPr>
          <w:rFonts w:hint="eastAsia" w:ascii="楷体_GB2312" w:hAnsi="楷体_GB2312" w:eastAsia="楷体_GB2312" w:cs="楷体_GB2312"/>
          <w:b/>
          <w:bCs/>
          <w:color w:val="000000" w:themeColor="text1"/>
          <w:szCs w:val="32"/>
          <w14:textFill>
            <w14:solidFill>
              <w14:schemeClr w14:val="tx1"/>
            </w14:solidFill>
          </w14:textFill>
        </w:rPr>
        <w:t>”</w:t>
      </w:r>
      <w:r>
        <w:rPr>
          <w:rFonts w:ascii="楷体_GB2312" w:hAnsi="楷体_GB2312" w:eastAsia="楷体_GB2312" w:cs="楷体_GB2312"/>
          <w:b/>
          <w:bCs/>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支持我区龙头企业主导或参与地方标准、行业标准的制定、修订，掌握产业技术标准话语权。开展质量标杆和领先企业示范活动，加强强制性标准管理，支持企业制定实施严于国家标准的企业标准，引导中小微企业贯标达标。完善企业质量档案和产品质量信用信息记录，实施企业质量信用分级分类监管，完善质量信用评价体系。探索建立企业质量信用信息公示制度，鼓励企业主动发布质量信用报告，严格实施产品</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三包</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、召回等制度。</w:t>
      </w:r>
    </w:p>
    <w:p>
      <w:pPr>
        <w:widowControl w:val="0"/>
        <w:adjustRightInd w:val="0"/>
        <w:snapToGrid w:val="0"/>
        <w:spacing w:after="0" w:line="560" w:lineRule="exact"/>
        <w:ind w:firstLine="680" w:firstLineChars="200"/>
        <w:rPr>
          <w:rFonts w:ascii="Times New Roman" w:hAnsi="Times New Roman" w:eastAsia="仿宋_GB2312"/>
          <w:color w:val="000000" w:themeColor="text1"/>
          <w:szCs w:val="32"/>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叫响</w:t>
      </w:r>
      <w:r>
        <w:rPr>
          <w:rFonts w:hint="eastAsia" w:ascii="楷体_GB2312" w:hAnsi="楷体_GB2312" w:eastAsia="楷体_GB2312" w:cs="楷体_GB2312"/>
          <w:b/>
          <w:bCs/>
          <w:color w:val="000000" w:themeColor="text1"/>
          <w:szCs w:val="32"/>
          <w14:textFill>
            <w14:solidFill>
              <w14:schemeClr w14:val="tx1"/>
            </w14:solidFill>
          </w14:textFill>
        </w:rPr>
        <w:t>“</w:t>
      </w:r>
      <w:r>
        <w:rPr>
          <w:rFonts w:ascii="楷体_GB2312" w:hAnsi="楷体_GB2312" w:eastAsia="楷体_GB2312" w:cs="楷体_GB2312"/>
          <w:b/>
          <w:bCs/>
          <w:color w:val="000000" w:themeColor="text1"/>
          <w:szCs w:val="32"/>
          <w14:textFill>
            <w14:solidFill>
              <w14:schemeClr w14:val="tx1"/>
            </w14:solidFill>
          </w14:textFill>
        </w:rPr>
        <w:t>魏都品牌</w:t>
      </w:r>
      <w:r>
        <w:rPr>
          <w:rFonts w:hint="eastAsia" w:ascii="楷体_GB2312" w:hAnsi="楷体_GB2312" w:eastAsia="楷体_GB2312" w:cs="楷体_GB2312"/>
          <w:b/>
          <w:bCs/>
          <w:color w:val="000000" w:themeColor="text1"/>
          <w:szCs w:val="32"/>
          <w14:textFill>
            <w14:solidFill>
              <w14:schemeClr w14:val="tx1"/>
            </w14:solidFill>
          </w14:textFill>
        </w:rPr>
        <w:t>”</w:t>
      </w:r>
      <w:r>
        <w:rPr>
          <w:rFonts w:ascii="楷体_GB2312" w:hAnsi="楷体_GB2312" w:eastAsia="楷体_GB2312" w:cs="楷体_GB2312"/>
          <w:b/>
          <w:bCs/>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依托我区企业现有品牌资源，围绕研发创新、生产制造、质量管理和营销服务全过程，挖掘优势，培育我区制造业品牌体系。鼓励龙头企业利用自己拥有的品牌、技术、资本和人才等优势，采取输出管理，输出技术等方式，加快品牌扩张和延伸，鼓励中小企业加入行业骨干企业和品牌产品的产业链，形成名牌产品的专业化协作配套体系，培育造就更多的强势企业和名牌产品，叫响</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魏都制造</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品牌。</w:t>
      </w:r>
    </w:p>
    <w:p>
      <w:pPr>
        <w:pStyle w:val="5"/>
        <w:keepNext w:val="0"/>
        <w:keepLines w:val="0"/>
        <w:widowControl w:val="0"/>
        <w:adjustRightInd w:val="0"/>
        <w:snapToGrid w:val="0"/>
        <w:spacing w:before="297" w:beforeLines="50" w:after="297" w:afterLines="50" w:line="560" w:lineRule="exact"/>
        <w:ind w:firstLine="0" w:firstLineChars="0"/>
      </w:pPr>
      <w:bookmarkStart w:id="53" w:name="_Toc7948"/>
      <w:bookmarkStart w:id="54" w:name="_Toc25933"/>
      <w:r>
        <w:t>第二节  壮大现代制造业发展梯队</w:t>
      </w:r>
      <w:bookmarkEnd w:id="53"/>
      <w:bookmarkEnd w:id="54"/>
    </w:p>
    <w:p>
      <w:pPr>
        <w:widowControl w:val="0"/>
        <w:adjustRightInd w:val="0"/>
        <w:snapToGrid w:val="0"/>
        <w:spacing w:after="0" w:line="560" w:lineRule="exact"/>
        <w:ind w:firstLine="680" w:firstLineChars="200"/>
        <w:jc w:val="both"/>
        <w:rPr>
          <w:rFonts w:ascii="Times New Roman" w:hAnsi="Times New Roman" w:eastAsia="仿宋_GB2312"/>
          <w:color w:val="000000" w:themeColor="text1"/>
          <w:szCs w:val="32"/>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优先壮大三大主导产业。</w:t>
      </w:r>
      <w:r>
        <w:rPr>
          <w:rFonts w:ascii="Times New Roman" w:hAnsi="Times New Roman" w:eastAsia="仿宋_GB2312"/>
          <w:color w:val="000000" w:themeColor="text1"/>
          <w:szCs w:val="32"/>
          <w14:textFill>
            <w14:solidFill>
              <w14:schemeClr w14:val="tx1"/>
            </w14:solidFill>
          </w14:textFill>
        </w:rPr>
        <w:t>进一步培育壮大高端制造、新材料、环保科技三大主导产业，</w:t>
      </w:r>
      <w:r>
        <w:rPr>
          <w:rFonts w:ascii="Times New Roman" w:hAnsi="Times New Roman" w:eastAsia="仿宋_GB2312"/>
          <w:color w:val="000000" w:themeColor="text1"/>
          <w:kern w:val="2"/>
          <w:szCs w:val="32"/>
          <w14:textFill>
            <w14:solidFill>
              <w14:schemeClr w14:val="tx1"/>
            </w14:solidFill>
          </w14:textFill>
        </w:rPr>
        <w:t>以纪年科技、德通振动、</w:t>
      </w:r>
      <w:r>
        <w:rPr>
          <w:rFonts w:ascii="Times New Roman" w:hAnsi="Times New Roman" w:eastAsia="仿宋_GB2312"/>
          <w:color w:val="000000" w:themeColor="text1"/>
          <w:szCs w:val="32"/>
          <w14:textFill>
            <w14:solidFill>
              <w14:schemeClr w14:val="tx1"/>
            </w14:solidFill>
          </w14:textFill>
        </w:rPr>
        <w:t>爱彼爱和、恩诺格</w:t>
      </w:r>
      <w:r>
        <w:rPr>
          <w:rFonts w:ascii="Times New Roman" w:hAnsi="Times New Roman" w:eastAsia="仿宋_GB2312"/>
          <w:color w:val="000000" w:themeColor="text1"/>
          <w:kern w:val="2"/>
          <w:szCs w:val="32"/>
          <w14:textFill>
            <w14:solidFill>
              <w14:schemeClr w14:val="tx1"/>
            </w14:solidFill>
          </w14:textFill>
        </w:rPr>
        <w:t>等重点企业为龙头，提升企业核心竞争力、高端产品市场占有率和协作配套水平，促进企业向产业链两端延伸，形成具有核心竞争力的现代化产业集群。</w:t>
      </w:r>
      <w:r>
        <w:rPr>
          <w:rFonts w:ascii="Times New Roman" w:hAnsi="Times New Roman" w:eastAsia="仿宋_GB2312"/>
          <w:color w:val="000000" w:themeColor="text1"/>
          <w:szCs w:val="32"/>
          <w14:textFill>
            <w14:solidFill>
              <w14:schemeClr w14:val="tx1"/>
            </w14:solidFill>
          </w14:textFill>
        </w:rPr>
        <w:t>加强和创新集群治理机制，构建集决策、管理、咨询功能为一体的新</w:t>
      </w:r>
      <w:r>
        <w:rPr>
          <w:rFonts w:ascii="Times New Roman" w:hAnsi="Times New Roman" w:eastAsia="仿宋_GB2312"/>
          <w:color w:val="000000" w:themeColor="text1"/>
          <w:spacing w:val="6"/>
          <w:szCs w:val="32"/>
          <w14:textFill>
            <w14:solidFill>
              <w14:schemeClr w14:val="tx1"/>
            </w14:solidFill>
          </w14:textFill>
        </w:rPr>
        <w:t>型集群发展促进机构。推动建设一批产业集群公共服务综合</w:t>
      </w:r>
      <w:r>
        <w:rPr>
          <w:rFonts w:ascii="Times New Roman" w:hAnsi="Times New Roman" w:eastAsia="仿宋_GB2312"/>
          <w:color w:val="000000" w:themeColor="text1"/>
          <w:szCs w:val="32"/>
          <w14:textFill>
            <w14:solidFill>
              <w14:schemeClr w14:val="tx1"/>
            </w14:solidFill>
          </w14:textFill>
        </w:rPr>
        <w:t>体。</w:t>
      </w:r>
    </w:p>
    <w:p>
      <w:pPr>
        <w:widowControl w:val="0"/>
        <w:adjustRightInd w:val="0"/>
        <w:snapToGrid w:val="0"/>
        <w:spacing w:after="0" w:line="560" w:lineRule="exact"/>
        <w:ind w:firstLine="641"/>
        <w:rPr>
          <w:rFonts w:ascii="Times New Roman" w:hAnsi="Times New Roman" w:eastAsia="仿宋_GB2312"/>
          <w:bCs/>
          <w:color w:val="000000" w:themeColor="text1"/>
          <w:szCs w:val="32"/>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加快培育上市企业。</w:t>
      </w:r>
      <w:r>
        <w:rPr>
          <w:rFonts w:ascii="Times New Roman" w:hAnsi="Times New Roman" w:eastAsia="仿宋_GB2312"/>
          <w:bCs/>
          <w:color w:val="000000" w:themeColor="text1"/>
          <w:szCs w:val="32"/>
          <w14:textFill>
            <w14:solidFill>
              <w14:schemeClr w14:val="tx1"/>
            </w14:solidFill>
          </w14:textFill>
        </w:rPr>
        <w:t>抓住国家加快发展私募股权基金的机遇，积极吸引私募股权基金投资魏都区科技创新企业。支持中联即送、纪年科技、爱彼爱和、德通振动、兵锋软件等企业做精做强，在产业链重要节点形成一批</w:t>
      </w:r>
      <w:r>
        <w:rPr>
          <w:rFonts w:hint="eastAsia" w:ascii="Times New Roman" w:hAnsi="Times New Roman" w:eastAsia="仿宋_GB2312"/>
          <w:bCs/>
          <w:color w:val="000000" w:themeColor="text1"/>
          <w:szCs w:val="32"/>
          <w14:textFill>
            <w14:solidFill>
              <w14:schemeClr w14:val="tx1"/>
            </w14:solidFill>
          </w14:textFill>
        </w:rPr>
        <w:t>“</w:t>
      </w:r>
      <w:r>
        <w:rPr>
          <w:rFonts w:ascii="Times New Roman" w:hAnsi="Times New Roman" w:eastAsia="仿宋_GB2312"/>
          <w:bCs/>
          <w:color w:val="000000" w:themeColor="text1"/>
          <w:szCs w:val="32"/>
          <w14:textFill>
            <w14:solidFill>
              <w14:schemeClr w14:val="tx1"/>
            </w14:solidFill>
          </w14:textFill>
        </w:rPr>
        <w:t>专精特新</w:t>
      </w:r>
      <w:r>
        <w:rPr>
          <w:rFonts w:hint="eastAsia" w:ascii="Times New Roman" w:hAnsi="Times New Roman" w:eastAsia="仿宋_GB2312"/>
          <w:bCs/>
          <w:color w:val="000000" w:themeColor="text1"/>
          <w:szCs w:val="32"/>
          <w14:textFill>
            <w14:solidFill>
              <w14:schemeClr w14:val="tx1"/>
            </w14:solidFill>
          </w14:textFill>
        </w:rPr>
        <w:t>”</w:t>
      </w:r>
      <w:r>
        <w:rPr>
          <w:rFonts w:ascii="Times New Roman" w:hAnsi="Times New Roman" w:eastAsia="仿宋_GB2312"/>
          <w:bCs/>
          <w:color w:val="000000" w:themeColor="text1"/>
          <w:szCs w:val="32"/>
          <w14:textFill>
            <w14:solidFill>
              <w14:schemeClr w14:val="tx1"/>
            </w14:solidFill>
          </w14:textFill>
        </w:rPr>
        <w:t>小巨人企业和制造业单项冠军企业，并通过服务指导推进企业在科创板或创业板上市。推动已上市企业进一步提高质量，夯实直接融资发展基石，更好发挥创新领跑者的示范作用，引领更多企业利用直接融资实现高质量发展。</w:t>
      </w:r>
      <w:r>
        <w:rPr>
          <w:rFonts w:ascii="Times New Roman" w:hAnsi="Times New Roman" w:eastAsia="仿宋_GB2312"/>
          <w:color w:val="000000" w:themeColor="text1"/>
          <w:szCs w:val="32"/>
          <w14:textFill>
            <w14:solidFill>
              <w14:schemeClr w14:val="tx1"/>
            </w14:solidFill>
          </w14:textFill>
        </w:rPr>
        <w:t>建立企业上市推进长效机制，培育一批上市后备企业，到2025年力争5家以上企业成功上市。</w:t>
      </w:r>
    </w:p>
    <w:p>
      <w:pPr>
        <w:widowControl w:val="0"/>
        <w:adjustRightInd w:val="0"/>
        <w:snapToGrid w:val="0"/>
        <w:spacing w:after="0" w:line="560" w:lineRule="exact"/>
        <w:ind w:firstLine="680" w:firstLineChars="200"/>
        <w:rPr>
          <w:rFonts w:ascii="Times New Roman" w:hAnsi="Times New Roman" w:eastAsia="仿宋_GB2312"/>
          <w:color w:val="000000" w:themeColor="text1"/>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积极实施小微企业成长计划。</w:t>
      </w:r>
      <w:r>
        <w:rPr>
          <w:rFonts w:ascii="Times New Roman" w:hAnsi="Times New Roman" w:eastAsia="仿宋_GB2312"/>
          <w:color w:val="000000" w:themeColor="text1"/>
          <w:kern w:val="2"/>
          <w:szCs w:val="32"/>
          <w14:textFill>
            <w14:solidFill>
              <w14:schemeClr w14:val="tx1"/>
            </w14:solidFill>
          </w14:textFill>
        </w:rPr>
        <w:t>大力实施科技型</w:t>
      </w:r>
      <w:r>
        <w:rPr>
          <w:rFonts w:hint="eastAsia" w:ascii="Times New Roman" w:hAnsi="Times New Roman" w:eastAsia="仿宋_GB2312"/>
          <w:color w:val="000000" w:themeColor="text1"/>
          <w:kern w:val="2"/>
          <w:szCs w:val="32"/>
          <w14:textFill>
            <w14:solidFill>
              <w14:schemeClr w14:val="tx1"/>
            </w14:solidFill>
          </w14:textFill>
        </w:rPr>
        <w:t>“</w:t>
      </w:r>
      <w:r>
        <w:rPr>
          <w:rFonts w:ascii="Times New Roman" w:hAnsi="Times New Roman" w:eastAsia="仿宋_GB2312"/>
          <w:color w:val="000000" w:themeColor="text1"/>
          <w:kern w:val="2"/>
          <w:szCs w:val="32"/>
          <w14:textFill>
            <w14:solidFill>
              <w14:schemeClr w14:val="tx1"/>
            </w14:solidFill>
          </w14:textFill>
        </w:rPr>
        <w:t>中小企业培育计划</w:t>
      </w:r>
      <w:r>
        <w:rPr>
          <w:rFonts w:hint="eastAsia" w:ascii="Times New Roman" w:hAnsi="Times New Roman" w:eastAsia="仿宋_GB2312"/>
          <w:color w:val="000000" w:themeColor="text1"/>
          <w:kern w:val="2"/>
          <w:szCs w:val="32"/>
          <w14:textFill>
            <w14:solidFill>
              <w14:schemeClr w14:val="tx1"/>
            </w14:solidFill>
          </w14:textFill>
        </w:rPr>
        <w:t>”</w:t>
      </w:r>
      <w:r>
        <w:rPr>
          <w:rFonts w:ascii="Times New Roman" w:hAnsi="Times New Roman" w:eastAsia="仿宋_GB2312"/>
          <w:color w:val="000000" w:themeColor="text1"/>
          <w:kern w:val="2"/>
          <w:szCs w:val="32"/>
          <w14:textFill>
            <w14:solidFill>
              <w14:schemeClr w14:val="tx1"/>
            </w14:solidFill>
          </w14:textFill>
        </w:rPr>
        <w:t>，完善科技型中小企业培育孵化体系，</w:t>
      </w:r>
      <w:r>
        <w:rPr>
          <w:rFonts w:ascii="Times New Roman" w:hAnsi="Times New Roman" w:eastAsia="仿宋_GB2312"/>
          <w:color w:val="000000" w:themeColor="text1"/>
          <w:szCs w:val="32"/>
          <w14:textFill>
            <w14:solidFill>
              <w14:schemeClr w14:val="tx1"/>
            </w14:solidFill>
          </w14:textFill>
        </w:rPr>
        <w:t>促进小微企业集聚、集约发展，推动全区中小微企业总量持续扩大、效益持续提升、贡献持续增强，形成</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微成长、小升高、高变强</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发展态势。</w:t>
      </w:r>
      <w:r>
        <w:rPr>
          <w:rFonts w:ascii="Times New Roman" w:hAnsi="Times New Roman" w:eastAsia="仿宋_GB2312"/>
          <w:color w:val="000000" w:themeColor="text1"/>
          <w:kern w:val="2"/>
          <w:szCs w:val="32"/>
          <w14:textFill>
            <w14:solidFill>
              <w14:schemeClr w14:val="tx1"/>
            </w14:solidFill>
          </w14:textFill>
        </w:rPr>
        <w:t>培育</w:t>
      </w:r>
      <w:r>
        <w:rPr>
          <w:rFonts w:ascii="Times New Roman" w:hAnsi="Times New Roman" w:eastAsia="仿宋_GB2312"/>
          <w:color w:val="000000" w:themeColor="text1"/>
          <w:szCs w:val="32"/>
          <w14:textFill>
            <w14:solidFill>
              <w14:schemeClr w14:val="tx1"/>
            </w14:solidFill>
          </w14:textFill>
        </w:rPr>
        <w:t>一批隐形冠军企业、一批</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专精特新</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企业，</w:t>
      </w:r>
      <w:r>
        <w:rPr>
          <w:rFonts w:ascii="Times New Roman" w:hAnsi="Times New Roman" w:eastAsia="仿宋_GB2312"/>
          <w:color w:val="000000" w:themeColor="text1"/>
          <w14:textFill>
            <w14:solidFill>
              <w14:schemeClr w14:val="tx1"/>
            </w14:solidFill>
          </w14:textFill>
        </w:rPr>
        <w:t>聚焦突破关键核心技术，</w:t>
      </w:r>
      <w:r>
        <w:rPr>
          <w:rFonts w:ascii="Times New Roman" w:hAnsi="Times New Roman" w:eastAsia="仿宋_GB2312"/>
          <w:color w:val="000000" w:themeColor="text1"/>
          <w:kern w:val="2"/>
          <w:szCs w:val="32"/>
          <w14:textFill>
            <w14:solidFill>
              <w14:schemeClr w14:val="tx1"/>
            </w14:solidFill>
          </w14:textFill>
        </w:rPr>
        <w:t>增强新兴产业和科技型中小企业产业链的配套能力。</w:t>
      </w:r>
    </w:p>
    <w:p>
      <w:pPr>
        <w:pStyle w:val="3"/>
        <w:widowControl w:val="0"/>
        <w:adjustRightInd w:val="0"/>
        <w:snapToGrid w:val="0"/>
        <w:spacing w:after="0"/>
        <w:ind w:firstLine="683"/>
        <w:rPr>
          <w:color w:val="000000" w:themeColor="text1"/>
          <w:szCs w:val="32"/>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推动传统产业智能化改造。</w:t>
      </w:r>
      <w:r>
        <w:rPr>
          <w:color w:val="000000" w:themeColor="text1"/>
          <w:szCs w:val="32"/>
          <w14:textFill>
            <w14:solidFill>
              <w14:schemeClr w14:val="tx1"/>
            </w14:solidFill>
          </w14:textFill>
        </w:rPr>
        <w:t>坚持</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绿色、减量、提质、增效</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的发展理念，应用先进制造技术、信息技术加快纸制品、纺织、发制品等传统产业转型升级步伐，推进高端化、智能化、绿色化发展，不断优化产业结构，延伸产业链条，塑造产业新优势。</w:t>
      </w:r>
      <w:r>
        <w:rPr>
          <w:color w:val="000000" w:themeColor="text1"/>
          <w14:textFill>
            <w14:solidFill>
              <w14:schemeClr w14:val="tx1"/>
            </w14:solidFill>
          </w14:textFill>
        </w:rPr>
        <w:t>按照产业集中布局原则，统筹推进各类传统产业园区的并、迁、转、关和项目引进，</w:t>
      </w:r>
      <w:r>
        <w:rPr>
          <w:color w:val="000000" w:themeColor="text1"/>
          <w:szCs w:val="32"/>
          <w14:textFill>
            <w14:solidFill>
              <w14:schemeClr w14:val="tx1"/>
            </w14:solidFill>
          </w14:textFill>
        </w:rPr>
        <w:t>通过企业兼并重组等多种方式，加快淘汰落后产能，有序出清僵尸企业。</w:t>
      </w:r>
    </w:p>
    <w:p>
      <w:pPr>
        <w:pStyle w:val="5"/>
        <w:keepNext w:val="0"/>
        <w:keepLines w:val="0"/>
        <w:widowControl w:val="0"/>
        <w:adjustRightInd w:val="0"/>
        <w:snapToGrid w:val="0"/>
        <w:spacing w:before="297" w:beforeLines="50" w:after="297" w:afterLines="50" w:line="560" w:lineRule="exact"/>
        <w:ind w:firstLine="0" w:firstLineChars="0"/>
      </w:pPr>
      <w:bookmarkStart w:id="55" w:name="_Toc29617"/>
      <w:bookmarkStart w:id="56" w:name="_Toc343"/>
      <w:r>
        <w:t xml:space="preserve">第三节 </w:t>
      </w:r>
      <w:r>
        <w:rPr>
          <w:rFonts w:hint="eastAsia"/>
        </w:rPr>
        <w:t xml:space="preserve"> </w:t>
      </w:r>
      <w:r>
        <w:t>打造空间核心增长极</w:t>
      </w:r>
      <w:bookmarkEnd w:id="55"/>
      <w:bookmarkEnd w:id="56"/>
    </w:p>
    <w:p>
      <w:pPr>
        <w:widowControl w:val="0"/>
        <w:adjustRightInd w:val="0"/>
        <w:snapToGrid w:val="0"/>
        <w:spacing w:after="0" w:line="560" w:lineRule="exact"/>
        <w:ind w:firstLine="680" w:firstLineChars="200"/>
        <w:rPr>
          <w:rFonts w:ascii="Times New Roman" w:hAnsi="Times New Roman"/>
          <w:color w:val="000000" w:themeColor="text1"/>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建设</w:t>
      </w:r>
      <w:r>
        <w:rPr>
          <w:rFonts w:hint="eastAsia" w:ascii="楷体_GB2312" w:hAnsi="楷体_GB2312" w:eastAsia="楷体_GB2312" w:cs="楷体_GB2312"/>
          <w:b/>
          <w:bCs/>
          <w:color w:val="000000" w:themeColor="text1"/>
          <w:szCs w:val="32"/>
          <w14:textFill>
            <w14:solidFill>
              <w14:schemeClr w14:val="tx1"/>
            </w14:solidFill>
          </w14:textFill>
        </w:rPr>
        <w:t>“</w:t>
      </w:r>
      <w:r>
        <w:rPr>
          <w:rFonts w:ascii="楷体_GB2312" w:hAnsi="楷体_GB2312" w:eastAsia="楷体_GB2312" w:cs="楷体_GB2312"/>
          <w:b/>
          <w:bCs/>
          <w:color w:val="000000" w:themeColor="text1"/>
          <w:szCs w:val="32"/>
          <w14:textFill>
            <w14:solidFill>
              <w14:schemeClr w14:val="tx1"/>
            </w14:solidFill>
          </w14:textFill>
        </w:rPr>
        <w:t>五大园区</w:t>
      </w:r>
      <w:r>
        <w:rPr>
          <w:rFonts w:hint="eastAsia" w:ascii="楷体_GB2312" w:hAnsi="楷体_GB2312" w:eastAsia="楷体_GB2312" w:cs="楷体_GB2312"/>
          <w:b/>
          <w:bCs/>
          <w:color w:val="000000" w:themeColor="text1"/>
          <w:szCs w:val="32"/>
          <w14:textFill>
            <w14:solidFill>
              <w14:schemeClr w14:val="tx1"/>
            </w14:solidFill>
          </w14:textFill>
        </w:rPr>
        <w:t>”</w:t>
      </w:r>
      <w:r>
        <w:rPr>
          <w:rFonts w:ascii="楷体_GB2312" w:hAnsi="楷体_GB2312" w:eastAsia="楷体_GB2312" w:cs="楷体_GB2312"/>
          <w:b/>
          <w:bCs/>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按照</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一区五园</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的发展模式，加快高新技术、高端装备、循环经济、静脉科技、北京怀柔五大园区建设。</w:t>
      </w:r>
      <w:r>
        <w:rPr>
          <w:rFonts w:ascii="Times New Roman" w:hAnsi="Times New Roman" w:eastAsia="仿宋_GB2312"/>
          <w:b/>
          <w:color w:val="000000" w:themeColor="text1"/>
          <w:szCs w:val="32"/>
          <w14:textFill>
            <w14:solidFill>
              <w14:schemeClr w14:val="tx1"/>
            </w14:solidFill>
          </w14:textFill>
        </w:rPr>
        <w:t>高新技术产业园</w:t>
      </w:r>
      <w:r>
        <w:rPr>
          <w:rFonts w:ascii="Times New Roman" w:hAnsi="Times New Roman" w:eastAsia="仿宋_GB2312"/>
          <w:color w:val="000000" w:themeColor="text1"/>
          <w:szCs w:val="32"/>
          <w14:textFill>
            <w14:solidFill>
              <w14:schemeClr w14:val="tx1"/>
            </w14:solidFill>
          </w14:textFill>
        </w:rPr>
        <w:t>以纪年科技、爱彼爱和为龙头，重点发展新材料、高新技术产业以及与之相配套的研发、生产、检验、检测、信息服务等创新产业，结合我市</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双创宜居示范区</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建设，打造产城融合的科技创新型产业集聚地。</w:t>
      </w:r>
      <w:r>
        <w:rPr>
          <w:rFonts w:ascii="Times New Roman" w:hAnsi="Times New Roman" w:eastAsia="仿宋_GB2312"/>
          <w:b/>
          <w:bCs/>
          <w:color w:val="000000" w:themeColor="text1"/>
          <w:szCs w:val="32"/>
          <w14:textFill>
            <w14:solidFill>
              <w14:schemeClr w14:val="tx1"/>
            </w14:solidFill>
          </w14:textFill>
        </w:rPr>
        <w:t>高端装备产业园</w:t>
      </w:r>
      <w:r>
        <w:rPr>
          <w:rFonts w:ascii="Times New Roman" w:hAnsi="Times New Roman" w:eastAsia="仿宋_GB2312"/>
          <w:color w:val="000000" w:themeColor="text1"/>
          <w:szCs w:val="32"/>
          <w14:textFill>
            <w14:solidFill>
              <w14:schemeClr w14:val="tx1"/>
            </w14:solidFill>
          </w14:textFill>
        </w:rPr>
        <w:t>以万里交科为龙头，拉动公路装备全产业链智能化生产。</w:t>
      </w:r>
      <w:r>
        <w:rPr>
          <w:rFonts w:ascii="Times New Roman" w:hAnsi="Times New Roman" w:eastAsia="仿宋_GB2312"/>
          <w:b/>
          <w:bCs/>
          <w:color w:val="000000" w:themeColor="text1"/>
          <w:szCs w:val="32"/>
          <w14:textFill>
            <w14:solidFill>
              <w14:schemeClr w14:val="tx1"/>
            </w14:solidFill>
          </w14:textFill>
        </w:rPr>
        <w:t>循环经济产业园</w:t>
      </w:r>
      <w:r>
        <w:rPr>
          <w:rFonts w:ascii="Times New Roman" w:hAnsi="Times New Roman" w:eastAsia="仿宋_GB2312"/>
          <w:color w:val="000000" w:themeColor="text1"/>
          <w:szCs w:val="32"/>
          <w14:textFill>
            <w14:solidFill>
              <w14:schemeClr w14:val="tx1"/>
            </w14:solidFill>
          </w14:textFill>
        </w:rPr>
        <w:t>以许昌晨鸣为龙头，打造集制浆、造纸、包装、印刷于一体的循环经济产业园区，打造传统产业升级样板。</w:t>
      </w:r>
      <w:r>
        <w:rPr>
          <w:rFonts w:ascii="Times New Roman" w:hAnsi="Times New Roman" w:eastAsia="仿宋_GB2312"/>
          <w:b/>
          <w:bCs/>
          <w:color w:val="000000" w:themeColor="text1"/>
          <w:szCs w:val="32"/>
          <w14:textFill>
            <w14:solidFill>
              <w14:schemeClr w14:val="tx1"/>
            </w14:solidFill>
          </w14:textFill>
        </w:rPr>
        <w:t>静脉科技产业园</w:t>
      </w:r>
      <w:r>
        <w:rPr>
          <w:rFonts w:ascii="Times New Roman" w:hAnsi="Times New Roman" w:eastAsia="仿宋_GB2312"/>
          <w:color w:val="000000" w:themeColor="text1"/>
          <w:szCs w:val="32"/>
          <w14:textFill>
            <w14:solidFill>
              <w14:schemeClr w14:val="tx1"/>
            </w14:solidFill>
          </w14:textFill>
        </w:rPr>
        <w:t>以旺能热电、万容科技为龙头，围绕固废转运物流、固废处理、再生资源利用、科技研发、装备制造等，着力打造固废处理全产业链，打造我市</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无废城市</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建设标志性产业基地。</w:t>
      </w:r>
      <w:r>
        <w:rPr>
          <w:rFonts w:ascii="Times New Roman" w:hAnsi="Times New Roman" w:eastAsia="仿宋_GB2312"/>
          <w:b/>
          <w:bCs/>
          <w:color w:val="000000" w:themeColor="text1"/>
          <w:szCs w:val="32"/>
          <w14:textFill>
            <w14:solidFill>
              <w14:schemeClr w14:val="tx1"/>
            </w14:solidFill>
          </w14:textFill>
        </w:rPr>
        <w:t>北京怀柔产业园</w:t>
      </w:r>
      <w:r>
        <w:rPr>
          <w:rFonts w:ascii="Times New Roman" w:hAnsi="Times New Roman" w:eastAsia="仿宋_GB2312"/>
          <w:color w:val="000000" w:themeColor="text1"/>
          <w:szCs w:val="32"/>
          <w14:textFill>
            <w14:solidFill>
              <w14:schemeClr w14:val="tx1"/>
            </w14:solidFill>
          </w14:textFill>
        </w:rPr>
        <w:t>主要承接北京怀柔科学城产业转移和双创宜居示范区优质企业外迁，打造先进制造业示范基地和中小企业孵化基地，力争十四五末入驻企业50家以上。</w:t>
      </w:r>
    </w:p>
    <w:p>
      <w:pPr>
        <w:pStyle w:val="3"/>
        <w:widowControl w:val="0"/>
        <w:adjustRightInd w:val="0"/>
        <w:snapToGrid w:val="0"/>
        <w:spacing w:after="0"/>
        <w:ind w:firstLine="683"/>
        <w:rPr>
          <w:color w:val="000000" w:themeColor="text1"/>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全面推进产业集聚区</w:t>
      </w:r>
      <w:r>
        <w:rPr>
          <w:rFonts w:hint="eastAsia" w:ascii="楷体_GB2312" w:hAnsi="楷体_GB2312" w:eastAsia="楷体_GB2312" w:cs="楷体_GB2312"/>
          <w:b/>
          <w:bCs/>
          <w:color w:val="000000" w:themeColor="text1"/>
          <w:szCs w:val="32"/>
          <w14:textFill>
            <w14:solidFill>
              <w14:schemeClr w14:val="tx1"/>
            </w14:solidFill>
          </w14:textFill>
        </w:rPr>
        <w:t>“</w:t>
      </w:r>
      <w:r>
        <w:rPr>
          <w:rFonts w:ascii="楷体_GB2312" w:hAnsi="楷体_GB2312" w:eastAsia="楷体_GB2312" w:cs="楷体_GB2312"/>
          <w:b/>
          <w:bCs/>
          <w:color w:val="000000" w:themeColor="text1"/>
          <w:szCs w:val="32"/>
          <w14:textFill>
            <w14:solidFill>
              <w14:schemeClr w14:val="tx1"/>
            </w14:solidFill>
          </w14:textFill>
        </w:rPr>
        <w:t>二次创业</w:t>
      </w:r>
      <w:r>
        <w:rPr>
          <w:rFonts w:hint="eastAsia" w:ascii="楷体_GB2312" w:hAnsi="楷体_GB2312" w:eastAsia="楷体_GB2312" w:cs="楷体_GB2312"/>
          <w:b/>
          <w:bCs/>
          <w:color w:val="000000" w:themeColor="text1"/>
          <w:szCs w:val="32"/>
          <w14:textFill>
            <w14:solidFill>
              <w14:schemeClr w14:val="tx1"/>
            </w14:solidFill>
          </w14:textFill>
        </w:rPr>
        <w:t>”</w:t>
      </w:r>
      <w:r>
        <w:rPr>
          <w:rFonts w:ascii="楷体_GB2312" w:hAnsi="楷体_GB2312" w:eastAsia="楷体_GB2312" w:cs="楷体_GB2312"/>
          <w:b/>
          <w:bCs/>
          <w:color w:val="000000" w:themeColor="text1"/>
          <w:szCs w:val="32"/>
          <w14:textFill>
            <w14:solidFill>
              <w14:schemeClr w14:val="tx1"/>
            </w14:solidFill>
          </w14:textFill>
        </w:rPr>
        <w:t>。</w:t>
      </w:r>
      <w:r>
        <w:rPr>
          <w:color w:val="000000" w:themeColor="text1"/>
          <w:szCs w:val="32"/>
          <w14:textFill>
            <w14:solidFill>
              <w14:schemeClr w14:val="tx1"/>
            </w14:solidFill>
          </w14:textFill>
        </w:rPr>
        <w:t>以</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三提</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两改</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为主要途径，全面推进产业集聚区二次创业，积极引导大产业、大企业、大项目布点落户。优化调整产业集聚区发展定位、主导产业、空间结构、功能布局；提高亩均产出效益，开展企业分类综合评价，实行差别化配套政策；开展低效用地整治提升行动，实施</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标准地</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出让和新型产业用地供应。探索产业集聚区（园区）</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管委会+公司</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改革和</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一区多园</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园中园</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发展模式，通过优化布局和推进产业发展质量变革、效率变革，建成许昌市工业高质量发展示范园区。</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2" w:type="dxa"/>
            <w:vAlign w:val="center"/>
          </w:tcPr>
          <w:p>
            <w:pPr>
              <w:widowControl w:val="0"/>
              <w:adjustRightInd w:val="0"/>
              <w:snapToGrid w:val="0"/>
              <w:spacing w:after="0" w:line="510" w:lineRule="exact"/>
              <w:jc w:val="center"/>
              <w:rPr>
                <w:rFonts w:ascii="黑体" w:hAnsi="黑体" w:eastAsia="黑体" w:cs="黑体"/>
                <w:bCs/>
                <w:color w:val="000000" w:themeColor="text1"/>
                <w:kern w:val="2"/>
                <w:sz w:val="28"/>
                <w:szCs w:val="28"/>
                <w14:textFill>
                  <w14:solidFill>
                    <w14:schemeClr w14:val="tx1"/>
                  </w14:solidFill>
                </w14:textFill>
              </w:rPr>
            </w:pPr>
            <w:r>
              <w:rPr>
                <w:rFonts w:hint="eastAsia" w:ascii="黑体" w:hAnsi="黑体" w:eastAsia="黑体" w:cs="黑体"/>
                <w:bCs/>
                <w:color w:val="000000" w:themeColor="text1"/>
                <w:kern w:val="2"/>
                <w:sz w:val="28"/>
                <w:szCs w:val="28"/>
                <w14:textFill>
                  <w14:solidFill>
                    <w14:schemeClr w14:val="tx1"/>
                  </w14:solidFill>
                </w14:textFill>
              </w:rPr>
              <w:t>专栏</w:t>
            </w:r>
            <w:r>
              <w:rPr>
                <w:rFonts w:hint="eastAsia" w:ascii="Times New Roman" w:hAnsi="Times New Roman" w:eastAsia="黑体" w:cs="黑体"/>
                <w:bCs/>
                <w:color w:val="000000" w:themeColor="text1"/>
                <w:kern w:val="2"/>
                <w:sz w:val="28"/>
                <w:szCs w:val="28"/>
                <w14:textFill>
                  <w14:solidFill>
                    <w14:schemeClr w14:val="tx1"/>
                  </w14:solidFill>
                </w14:textFill>
              </w:rPr>
              <w:t>1</w:t>
            </w:r>
            <w:r>
              <w:rPr>
                <w:rFonts w:hint="eastAsia" w:ascii="黑体" w:hAnsi="黑体" w:eastAsia="黑体" w:cs="黑体"/>
                <w:bCs/>
                <w:color w:val="000000" w:themeColor="text1"/>
                <w:kern w:val="2"/>
                <w:sz w:val="28"/>
                <w:szCs w:val="28"/>
                <w14:textFill>
                  <w14:solidFill>
                    <w14:schemeClr w14:val="tx1"/>
                  </w14:solidFill>
                </w14:textFill>
              </w:rPr>
              <w:t>：工业“</w:t>
            </w:r>
            <w:r>
              <w:rPr>
                <w:rFonts w:hint="eastAsia" w:ascii="Times New Roman" w:hAnsi="Times New Roman" w:eastAsia="黑体" w:cs="黑体"/>
                <w:bCs/>
                <w:color w:val="000000" w:themeColor="text1"/>
                <w:kern w:val="2"/>
                <w:sz w:val="28"/>
                <w:szCs w:val="28"/>
                <w14:textFill>
                  <w14:solidFill>
                    <w14:schemeClr w14:val="tx1"/>
                  </w14:solidFill>
                </w14:textFill>
              </w:rPr>
              <w:t>1355</w:t>
            </w:r>
            <w:r>
              <w:rPr>
                <w:rFonts w:hint="eastAsia" w:ascii="黑体" w:hAnsi="黑体" w:eastAsia="黑体" w:cs="黑体"/>
                <w:bCs/>
                <w:color w:val="000000" w:themeColor="text1"/>
                <w:kern w:val="2"/>
                <w:sz w:val="28"/>
                <w:szCs w:val="28"/>
                <w14:textFill>
                  <w14:solidFill>
                    <w14:schemeClr w14:val="tx1"/>
                  </w14:solidFill>
                </w14:textFill>
              </w:rPr>
              <w:t>”行动计划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pStyle w:val="2"/>
              <w:widowControl w:val="0"/>
              <w:adjustRightInd w:val="0"/>
              <w:snapToGrid w:val="0"/>
              <w:spacing w:after="0" w:line="600" w:lineRule="exact"/>
              <w:ind w:firstLine="600" w:firstLineChars="200"/>
              <w:rPr>
                <w:rFonts w:eastAsia="楷体_GB2312"/>
                <w:color w:val="000000" w:themeColor="text1"/>
                <w:sz w:val="28"/>
                <w:szCs w:val="28"/>
                <w14:textFill>
                  <w14:solidFill>
                    <w14:schemeClr w14:val="tx1"/>
                  </w14:solidFill>
                </w14:textFill>
              </w:rPr>
            </w:pPr>
            <w:r>
              <w:rPr>
                <w:rFonts w:hint="eastAsia" w:eastAsia="楷体_GB2312"/>
                <w:b/>
                <w:bCs/>
                <w:color w:val="000000" w:themeColor="text1"/>
                <w:sz w:val="28"/>
                <w:szCs w:val="28"/>
                <w14:textFill>
                  <w14:solidFill>
                    <w14:schemeClr w14:val="tx1"/>
                  </w14:solidFill>
                </w14:textFill>
              </w:rPr>
              <w:t>“</w:t>
            </w:r>
            <w:r>
              <w:rPr>
                <w:rFonts w:eastAsia="楷体_GB2312"/>
                <w:b/>
                <w:bCs/>
                <w:color w:val="000000" w:themeColor="text1"/>
                <w:sz w:val="28"/>
                <w:szCs w:val="28"/>
                <w14:textFill>
                  <w14:solidFill>
                    <w14:schemeClr w14:val="tx1"/>
                  </w14:solidFill>
                </w14:textFill>
              </w:rPr>
              <w:t>1</w:t>
            </w:r>
            <w:r>
              <w:rPr>
                <w:rFonts w:hint="eastAsia" w:eastAsia="楷体_GB2312"/>
                <w:b/>
                <w:bCs/>
                <w:color w:val="000000" w:themeColor="text1"/>
                <w:sz w:val="28"/>
                <w:szCs w:val="28"/>
                <w14:textFill>
                  <w14:solidFill>
                    <w14:schemeClr w14:val="tx1"/>
                  </w14:solidFill>
                </w14:textFill>
              </w:rPr>
              <w:t>”</w:t>
            </w:r>
            <w:r>
              <w:rPr>
                <w:rFonts w:eastAsia="楷体_GB2312"/>
                <w:color w:val="000000" w:themeColor="text1"/>
                <w:sz w:val="28"/>
                <w:szCs w:val="28"/>
                <w14:textFill>
                  <w14:solidFill>
                    <w14:schemeClr w14:val="tx1"/>
                  </w14:solidFill>
                </w14:textFill>
              </w:rPr>
              <w:t>即以转型升级高质量发展为主攻方向</w:t>
            </w:r>
          </w:p>
          <w:p>
            <w:pPr>
              <w:pStyle w:val="2"/>
              <w:widowControl w:val="0"/>
              <w:adjustRightInd w:val="0"/>
              <w:snapToGrid w:val="0"/>
              <w:spacing w:after="0" w:line="600" w:lineRule="exact"/>
              <w:ind w:firstLine="600" w:firstLineChars="200"/>
              <w:rPr>
                <w:rFonts w:eastAsia="楷体_GB2312"/>
                <w:color w:val="000000" w:themeColor="text1"/>
                <w:kern w:val="2"/>
                <w:sz w:val="28"/>
                <w:szCs w:val="28"/>
                <w14:textFill>
                  <w14:solidFill>
                    <w14:schemeClr w14:val="tx1"/>
                  </w14:solidFill>
                </w14:textFill>
              </w:rPr>
            </w:pPr>
            <w:r>
              <w:rPr>
                <w:rFonts w:hint="eastAsia" w:eastAsia="楷体_GB2312"/>
                <w:b/>
                <w:bCs/>
                <w:color w:val="000000" w:themeColor="text1"/>
                <w:sz w:val="28"/>
                <w:szCs w:val="28"/>
                <w14:textFill>
                  <w14:solidFill>
                    <w14:schemeClr w14:val="tx1"/>
                  </w14:solidFill>
                </w14:textFill>
              </w:rPr>
              <w:t>“</w:t>
            </w:r>
            <w:r>
              <w:rPr>
                <w:rFonts w:eastAsia="楷体_GB2312"/>
                <w:b/>
                <w:bCs/>
                <w:color w:val="000000" w:themeColor="text1"/>
                <w:sz w:val="28"/>
                <w:szCs w:val="28"/>
                <w14:textFill>
                  <w14:solidFill>
                    <w14:schemeClr w14:val="tx1"/>
                  </w14:solidFill>
                </w14:textFill>
              </w:rPr>
              <w:t>3</w:t>
            </w:r>
            <w:r>
              <w:rPr>
                <w:rFonts w:hint="eastAsia" w:eastAsia="楷体_GB2312"/>
                <w:b/>
                <w:bCs/>
                <w:color w:val="000000" w:themeColor="text1"/>
                <w:sz w:val="28"/>
                <w:szCs w:val="28"/>
                <w14:textFill>
                  <w14:solidFill>
                    <w14:schemeClr w14:val="tx1"/>
                  </w14:solidFill>
                </w14:textFill>
              </w:rPr>
              <w:t>”</w:t>
            </w:r>
            <w:r>
              <w:rPr>
                <w:rFonts w:eastAsia="楷体_GB2312"/>
                <w:color w:val="000000" w:themeColor="text1"/>
                <w:sz w:val="28"/>
                <w:szCs w:val="28"/>
                <w14:textFill>
                  <w14:solidFill>
                    <w14:schemeClr w14:val="tx1"/>
                  </w14:solidFill>
                </w14:textFill>
              </w:rPr>
              <w:t>即</w:t>
            </w:r>
            <w:r>
              <w:rPr>
                <w:rFonts w:eastAsia="楷体_GB2312"/>
                <w:color w:val="000000" w:themeColor="text1"/>
                <w:kern w:val="2"/>
                <w:sz w:val="28"/>
                <w:szCs w:val="28"/>
                <w14:textFill>
                  <w14:solidFill>
                    <w14:schemeClr w14:val="tx1"/>
                  </w14:solidFill>
                </w14:textFill>
              </w:rPr>
              <w:t>着力培育高端装备、新材料、节能环保</w:t>
            </w:r>
            <w:r>
              <w:rPr>
                <w:rFonts w:hint="eastAsia" w:eastAsia="楷体_GB2312"/>
                <w:color w:val="000000" w:themeColor="text1"/>
                <w:kern w:val="2"/>
                <w:sz w:val="28"/>
                <w:szCs w:val="28"/>
                <w14:textFill>
                  <w14:solidFill>
                    <w14:schemeClr w14:val="tx1"/>
                  </w14:solidFill>
                </w14:textFill>
              </w:rPr>
              <w:t>“</w:t>
            </w:r>
            <w:r>
              <w:rPr>
                <w:rFonts w:eastAsia="楷体_GB2312"/>
                <w:color w:val="000000" w:themeColor="text1"/>
                <w:kern w:val="2"/>
                <w:sz w:val="28"/>
                <w:szCs w:val="28"/>
                <w14:textFill>
                  <w14:solidFill>
                    <w14:schemeClr w14:val="tx1"/>
                  </w14:solidFill>
                </w14:textFill>
              </w:rPr>
              <w:t>3</w:t>
            </w:r>
            <w:r>
              <w:rPr>
                <w:rFonts w:hint="eastAsia" w:eastAsia="楷体_GB2312"/>
                <w:color w:val="000000" w:themeColor="text1"/>
                <w:kern w:val="2"/>
                <w:sz w:val="28"/>
                <w:szCs w:val="28"/>
                <w14:textFill>
                  <w14:solidFill>
                    <w14:schemeClr w14:val="tx1"/>
                  </w14:solidFill>
                </w14:textFill>
              </w:rPr>
              <w:t>”</w:t>
            </w:r>
            <w:r>
              <w:rPr>
                <w:rFonts w:eastAsia="楷体_GB2312"/>
                <w:color w:val="000000" w:themeColor="text1"/>
                <w:kern w:val="2"/>
                <w:sz w:val="28"/>
                <w:szCs w:val="28"/>
                <w14:textFill>
                  <w14:solidFill>
                    <w14:schemeClr w14:val="tx1"/>
                  </w14:solidFill>
                </w14:textFill>
              </w:rPr>
              <w:t>大工业主导产业</w:t>
            </w:r>
          </w:p>
          <w:p>
            <w:pPr>
              <w:pStyle w:val="2"/>
              <w:widowControl w:val="0"/>
              <w:adjustRightInd w:val="0"/>
              <w:snapToGrid w:val="0"/>
              <w:spacing w:after="0" w:line="600" w:lineRule="exact"/>
              <w:ind w:firstLine="600" w:firstLineChars="200"/>
              <w:rPr>
                <w:rFonts w:eastAsia="楷体_GB2312"/>
                <w:color w:val="000000" w:themeColor="text1"/>
                <w:kern w:val="2"/>
                <w:sz w:val="28"/>
                <w:szCs w:val="28"/>
                <w14:textFill>
                  <w14:solidFill>
                    <w14:schemeClr w14:val="tx1"/>
                  </w14:solidFill>
                </w14:textFill>
              </w:rPr>
            </w:pPr>
            <w:r>
              <w:rPr>
                <w:rFonts w:hint="eastAsia" w:eastAsia="楷体_GB2312"/>
                <w:b/>
                <w:bCs/>
                <w:color w:val="000000" w:themeColor="text1"/>
                <w:kern w:val="2"/>
                <w:sz w:val="28"/>
                <w:szCs w:val="28"/>
                <w14:textFill>
                  <w14:solidFill>
                    <w14:schemeClr w14:val="tx1"/>
                  </w14:solidFill>
                </w14:textFill>
              </w:rPr>
              <w:t>“</w:t>
            </w:r>
            <w:r>
              <w:rPr>
                <w:rFonts w:eastAsia="楷体_GB2312"/>
                <w:b/>
                <w:bCs/>
                <w:color w:val="000000" w:themeColor="text1"/>
                <w:kern w:val="2"/>
                <w:sz w:val="28"/>
                <w:szCs w:val="28"/>
                <w14:textFill>
                  <w14:solidFill>
                    <w14:schemeClr w14:val="tx1"/>
                  </w14:solidFill>
                </w14:textFill>
              </w:rPr>
              <w:t>5</w:t>
            </w:r>
            <w:r>
              <w:rPr>
                <w:rFonts w:hint="eastAsia" w:eastAsia="楷体_GB2312"/>
                <w:b/>
                <w:bCs/>
                <w:color w:val="000000" w:themeColor="text1"/>
                <w:kern w:val="2"/>
                <w:sz w:val="28"/>
                <w:szCs w:val="28"/>
                <w14:textFill>
                  <w14:solidFill>
                    <w14:schemeClr w14:val="tx1"/>
                  </w14:solidFill>
                </w14:textFill>
              </w:rPr>
              <w:t>”</w:t>
            </w:r>
            <w:r>
              <w:rPr>
                <w:rFonts w:eastAsia="楷体_GB2312"/>
                <w:color w:val="000000" w:themeColor="text1"/>
                <w:kern w:val="2"/>
                <w:sz w:val="28"/>
                <w:szCs w:val="28"/>
                <w14:textFill>
                  <w14:solidFill>
                    <w14:schemeClr w14:val="tx1"/>
                  </w14:solidFill>
                </w14:textFill>
              </w:rPr>
              <w:t>即持续抓好5大工业园区建设</w:t>
            </w:r>
          </w:p>
          <w:p>
            <w:pPr>
              <w:pStyle w:val="2"/>
              <w:widowControl w:val="0"/>
              <w:adjustRightInd w:val="0"/>
              <w:snapToGrid w:val="0"/>
              <w:spacing w:after="0" w:line="600" w:lineRule="exact"/>
              <w:ind w:firstLine="600" w:firstLineChars="200"/>
              <w:rPr>
                <w:rFonts w:eastAsia="楷体_GB2312"/>
                <w:color w:val="000000" w:themeColor="text1"/>
                <w:sz w:val="28"/>
                <w:szCs w:val="28"/>
                <w14:textFill>
                  <w14:solidFill>
                    <w14:schemeClr w14:val="tx1"/>
                  </w14:solidFill>
                </w14:textFill>
              </w:rPr>
            </w:pPr>
            <w:r>
              <w:rPr>
                <w:rFonts w:eastAsia="楷体_GB2312"/>
                <w:b/>
                <w:bCs/>
                <w:color w:val="000000" w:themeColor="text1"/>
                <w:sz w:val="28"/>
                <w:szCs w:val="28"/>
                <w14:textFill>
                  <w14:solidFill>
                    <w14:schemeClr w14:val="tx1"/>
                  </w14:solidFill>
                </w14:textFill>
              </w:rPr>
              <w:t>高新技术产业园：</w:t>
            </w:r>
            <w:r>
              <w:rPr>
                <w:rFonts w:eastAsia="楷体_GB2312"/>
                <w:color w:val="000000" w:themeColor="text1"/>
                <w:sz w:val="28"/>
                <w:szCs w:val="28"/>
                <w14:textFill>
                  <w14:solidFill>
                    <w14:schemeClr w14:val="tx1"/>
                  </w14:solidFill>
                </w14:textFill>
              </w:rPr>
              <w:t>以纪年科技、爱彼爱和为龙头</w:t>
            </w:r>
            <w:r>
              <w:rPr>
                <w:rFonts w:eastAsia="楷体_GB2312"/>
                <w:b/>
                <w:bCs/>
                <w:color w:val="000000" w:themeColor="text1"/>
                <w:sz w:val="28"/>
                <w:szCs w:val="28"/>
                <w14:textFill>
                  <w14:solidFill>
                    <w14:schemeClr w14:val="tx1"/>
                  </w14:solidFill>
                </w14:textFill>
              </w:rPr>
              <w:t>，</w:t>
            </w:r>
            <w:r>
              <w:rPr>
                <w:rFonts w:eastAsia="楷体_GB2312"/>
                <w:color w:val="000000" w:themeColor="text1"/>
                <w:sz w:val="28"/>
                <w:szCs w:val="28"/>
                <w14:textFill>
                  <w14:solidFill>
                    <w14:schemeClr w14:val="tx1"/>
                  </w14:solidFill>
                </w14:textFill>
              </w:rPr>
              <w:t>重点发展新材料、高新技术产业以及与之相配套的研发、生产、检验、检测、信息服务等创新产业，结合我市</w:t>
            </w:r>
            <w:r>
              <w:rPr>
                <w:rFonts w:hint="eastAsia" w:eastAsia="楷体_GB2312"/>
                <w:color w:val="000000" w:themeColor="text1"/>
                <w:sz w:val="28"/>
                <w:szCs w:val="28"/>
                <w14:textFill>
                  <w14:solidFill>
                    <w14:schemeClr w14:val="tx1"/>
                  </w14:solidFill>
                </w14:textFill>
              </w:rPr>
              <w:t>“</w:t>
            </w:r>
            <w:r>
              <w:rPr>
                <w:rFonts w:eastAsia="楷体_GB2312"/>
                <w:color w:val="000000" w:themeColor="text1"/>
                <w:sz w:val="28"/>
                <w:szCs w:val="28"/>
                <w14:textFill>
                  <w14:solidFill>
                    <w14:schemeClr w14:val="tx1"/>
                  </w14:solidFill>
                </w14:textFill>
              </w:rPr>
              <w:t>双创宜居示范区</w:t>
            </w:r>
            <w:r>
              <w:rPr>
                <w:rFonts w:hint="eastAsia" w:eastAsia="楷体_GB2312"/>
                <w:color w:val="000000" w:themeColor="text1"/>
                <w:sz w:val="28"/>
                <w:szCs w:val="28"/>
                <w14:textFill>
                  <w14:solidFill>
                    <w14:schemeClr w14:val="tx1"/>
                  </w14:solidFill>
                </w14:textFill>
              </w:rPr>
              <w:t>”</w:t>
            </w:r>
            <w:r>
              <w:rPr>
                <w:rFonts w:eastAsia="楷体_GB2312"/>
                <w:color w:val="000000" w:themeColor="text1"/>
                <w:sz w:val="28"/>
                <w:szCs w:val="28"/>
                <w14:textFill>
                  <w14:solidFill>
                    <w14:schemeClr w14:val="tx1"/>
                  </w14:solidFill>
                </w14:textFill>
              </w:rPr>
              <w:t>建设，打造产城融合的科技创新型产业集聚地。</w:t>
            </w:r>
          </w:p>
          <w:p>
            <w:pPr>
              <w:pStyle w:val="2"/>
              <w:widowControl w:val="0"/>
              <w:adjustRightInd w:val="0"/>
              <w:snapToGrid w:val="0"/>
              <w:spacing w:after="0" w:line="600" w:lineRule="exact"/>
              <w:ind w:firstLine="600" w:firstLineChars="200"/>
              <w:rPr>
                <w:rFonts w:eastAsia="楷体_GB2312"/>
                <w:color w:val="000000" w:themeColor="text1"/>
                <w:sz w:val="28"/>
                <w:szCs w:val="28"/>
                <w14:textFill>
                  <w14:solidFill>
                    <w14:schemeClr w14:val="tx1"/>
                  </w14:solidFill>
                </w14:textFill>
              </w:rPr>
            </w:pPr>
            <w:r>
              <w:rPr>
                <w:rFonts w:eastAsia="楷体_GB2312"/>
                <w:b/>
                <w:bCs/>
                <w:color w:val="000000" w:themeColor="text1"/>
                <w:sz w:val="28"/>
                <w:szCs w:val="28"/>
                <w14:textFill>
                  <w14:solidFill>
                    <w14:schemeClr w14:val="tx1"/>
                  </w14:solidFill>
                </w14:textFill>
              </w:rPr>
              <w:t>高端装备产业园：</w:t>
            </w:r>
            <w:r>
              <w:rPr>
                <w:rFonts w:eastAsia="楷体_GB2312"/>
                <w:color w:val="000000" w:themeColor="text1"/>
                <w:sz w:val="28"/>
                <w:szCs w:val="28"/>
                <w14:textFill>
                  <w14:solidFill>
                    <w14:schemeClr w14:val="tx1"/>
                  </w14:solidFill>
                </w14:textFill>
              </w:rPr>
              <w:t>以万里交科为龙头，拉动公路装备全产业链智能化生产，力争十四五末入驻智能制造企业10家以上。</w:t>
            </w:r>
          </w:p>
          <w:p>
            <w:pPr>
              <w:pStyle w:val="2"/>
              <w:widowControl w:val="0"/>
              <w:adjustRightInd w:val="0"/>
              <w:snapToGrid w:val="0"/>
              <w:spacing w:after="0" w:line="600" w:lineRule="exact"/>
              <w:ind w:firstLine="600" w:firstLineChars="200"/>
              <w:rPr>
                <w:rFonts w:eastAsia="楷体_GB2312"/>
                <w:color w:val="000000" w:themeColor="text1"/>
                <w:sz w:val="28"/>
                <w:szCs w:val="28"/>
                <w14:textFill>
                  <w14:solidFill>
                    <w14:schemeClr w14:val="tx1"/>
                  </w14:solidFill>
                </w14:textFill>
              </w:rPr>
            </w:pPr>
            <w:r>
              <w:rPr>
                <w:rFonts w:eastAsia="楷体_GB2312"/>
                <w:b/>
                <w:bCs/>
                <w:color w:val="000000" w:themeColor="text1"/>
                <w:sz w:val="28"/>
                <w:szCs w:val="28"/>
                <w14:textFill>
                  <w14:solidFill>
                    <w14:schemeClr w14:val="tx1"/>
                  </w14:solidFill>
                </w14:textFill>
              </w:rPr>
              <w:t>循环经济产业园：</w:t>
            </w:r>
            <w:r>
              <w:rPr>
                <w:rFonts w:eastAsia="楷体_GB2312"/>
                <w:color w:val="000000" w:themeColor="text1"/>
                <w:sz w:val="28"/>
                <w:szCs w:val="28"/>
                <w14:textFill>
                  <w14:solidFill>
                    <w14:schemeClr w14:val="tx1"/>
                  </w14:solidFill>
                </w14:textFill>
              </w:rPr>
              <w:t>以许昌晨鸣为龙头，打造集制浆、造纸、包装、印刷于一体的循环经济产业园区，打造传统产业升级样板，力争十四五末入驻造纸、包装、印刷行业企业10家以上。</w:t>
            </w:r>
          </w:p>
          <w:p>
            <w:pPr>
              <w:pStyle w:val="2"/>
              <w:widowControl w:val="0"/>
              <w:adjustRightInd w:val="0"/>
              <w:snapToGrid w:val="0"/>
              <w:spacing w:after="0" w:line="600" w:lineRule="exact"/>
              <w:ind w:firstLine="600" w:firstLineChars="200"/>
              <w:rPr>
                <w:rFonts w:eastAsia="楷体_GB2312"/>
                <w:color w:val="000000" w:themeColor="text1"/>
                <w:sz w:val="28"/>
                <w:szCs w:val="28"/>
                <w14:textFill>
                  <w14:solidFill>
                    <w14:schemeClr w14:val="tx1"/>
                  </w14:solidFill>
                </w14:textFill>
              </w:rPr>
            </w:pPr>
            <w:r>
              <w:rPr>
                <w:rFonts w:eastAsia="楷体_GB2312"/>
                <w:b/>
                <w:bCs/>
                <w:color w:val="000000" w:themeColor="text1"/>
                <w:sz w:val="28"/>
                <w:szCs w:val="28"/>
                <w14:textFill>
                  <w14:solidFill>
                    <w14:schemeClr w14:val="tx1"/>
                  </w14:solidFill>
                </w14:textFill>
              </w:rPr>
              <w:t>静脉科技产业园：</w:t>
            </w:r>
            <w:r>
              <w:rPr>
                <w:rFonts w:eastAsia="楷体_GB2312"/>
                <w:color w:val="000000" w:themeColor="text1"/>
                <w:sz w:val="28"/>
                <w:szCs w:val="28"/>
                <w14:textFill>
                  <w14:solidFill>
                    <w14:schemeClr w14:val="tx1"/>
                  </w14:solidFill>
                </w14:textFill>
              </w:rPr>
              <w:t>以旺能热电、万容科技为龙头，围绕固废转运物流、固废处理、再生资源利用、科技研发、装备制造等，着力打造固废处理全产业链，打造我市</w:t>
            </w:r>
            <w:r>
              <w:rPr>
                <w:rFonts w:hint="eastAsia" w:eastAsia="楷体_GB2312"/>
                <w:color w:val="000000" w:themeColor="text1"/>
                <w:sz w:val="28"/>
                <w:szCs w:val="28"/>
                <w14:textFill>
                  <w14:solidFill>
                    <w14:schemeClr w14:val="tx1"/>
                  </w14:solidFill>
                </w14:textFill>
              </w:rPr>
              <w:t>“</w:t>
            </w:r>
            <w:r>
              <w:rPr>
                <w:rFonts w:eastAsia="楷体_GB2312"/>
                <w:color w:val="000000" w:themeColor="text1"/>
                <w:sz w:val="28"/>
                <w:szCs w:val="28"/>
                <w14:textFill>
                  <w14:solidFill>
                    <w14:schemeClr w14:val="tx1"/>
                  </w14:solidFill>
                </w14:textFill>
              </w:rPr>
              <w:t>无废城市</w:t>
            </w:r>
            <w:r>
              <w:rPr>
                <w:rFonts w:hint="eastAsia" w:eastAsia="楷体_GB2312"/>
                <w:color w:val="000000" w:themeColor="text1"/>
                <w:sz w:val="28"/>
                <w:szCs w:val="28"/>
                <w14:textFill>
                  <w14:solidFill>
                    <w14:schemeClr w14:val="tx1"/>
                  </w14:solidFill>
                </w14:textFill>
              </w:rPr>
              <w:t>”</w:t>
            </w:r>
            <w:r>
              <w:rPr>
                <w:rFonts w:eastAsia="楷体_GB2312"/>
                <w:color w:val="000000" w:themeColor="text1"/>
                <w:sz w:val="28"/>
                <w:szCs w:val="28"/>
                <w14:textFill>
                  <w14:solidFill>
                    <w14:schemeClr w14:val="tx1"/>
                  </w14:solidFill>
                </w14:textFill>
              </w:rPr>
              <w:t>建设标志性产业基地，力争十四五末入驻环保科技企业10家以上。</w:t>
            </w:r>
          </w:p>
          <w:p>
            <w:pPr>
              <w:pStyle w:val="2"/>
              <w:widowControl w:val="0"/>
              <w:adjustRightInd w:val="0"/>
              <w:snapToGrid w:val="0"/>
              <w:spacing w:after="0" w:line="600" w:lineRule="exact"/>
              <w:ind w:firstLine="600" w:firstLineChars="200"/>
              <w:rPr>
                <w:rFonts w:eastAsia="楷体_GB2312"/>
                <w:color w:val="000000" w:themeColor="text1"/>
                <w:sz w:val="28"/>
                <w:szCs w:val="28"/>
                <w14:textFill>
                  <w14:solidFill>
                    <w14:schemeClr w14:val="tx1"/>
                  </w14:solidFill>
                </w14:textFill>
              </w:rPr>
            </w:pPr>
            <w:r>
              <w:rPr>
                <w:rFonts w:eastAsia="楷体_GB2312"/>
                <w:b/>
                <w:bCs/>
                <w:color w:val="000000" w:themeColor="text1"/>
                <w:sz w:val="28"/>
                <w:szCs w:val="28"/>
                <w14:textFill>
                  <w14:solidFill>
                    <w14:schemeClr w14:val="tx1"/>
                  </w14:solidFill>
                </w14:textFill>
              </w:rPr>
              <w:t>北京怀柔产业园：</w:t>
            </w:r>
            <w:r>
              <w:rPr>
                <w:rFonts w:eastAsia="楷体_GB2312"/>
                <w:color w:val="000000" w:themeColor="text1"/>
                <w:sz w:val="28"/>
                <w:szCs w:val="28"/>
                <w14:textFill>
                  <w14:solidFill>
                    <w14:schemeClr w14:val="tx1"/>
                  </w14:solidFill>
                </w14:textFill>
              </w:rPr>
              <w:t>主要承接北京怀柔科学城产业转移和双创宜居示范区优质企业外迁，打造先进制造业示范基地和中小企业孵化基地，力争十四五末入驻企业50家以上。</w:t>
            </w:r>
          </w:p>
          <w:p>
            <w:pPr>
              <w:pStyle w:val="2"/>
              <w:widowControl w:val="0"/>
              <w:adjustRightInd w:val="0"/>
              <w:snapToGrid w:val="0"/>
              <w:spacing w:after="0" w:line="600" w:lineRule="exact"/>
              <w:ind w:firstLine="600" w:firstLineChars="200"/>
              <w:rPr>
                <w:rFonts w:eastAsia="楷体_GB2312"/>
                <w:color w:val="000000" w:themeColor="text1"/>
                <w:sz w:val="28"/>
                <w:szCs w:val="28"/>
                <w14:textFill>
                  <w14:solidFill>
                    <w14:schemeClr w14:val="tx1"/>
                  </w14:solidFill>
                </w14:textFill>
              </w:rPr>
            </w:pPr>
            <w:r>
              <w:rPr>
                <w:rFonts w:hint="eastAsia" w:eastAsia="楷体_GB2312"/>
                <w:b/>
                <w:bCs/>
                <w:color w:val="000000" w:themeColor="text1"/>
                <w:sz w:val="28"/>
                <w:szCs w:val="28"/>
                <w14:textFill>
                  <w14:solidFill>
                    <w14:schemeClr w14:val="tx1"/>
                  </w14:solidFill>
                </w14:textFill>
              </w:rPr>
              <w:t>“</w:t>
            </w:r>
            <w:r>
              <w:rPr>
                <w:rFonts w:eastAsia="楷体_GB2312"/>
                <w:b/>
                <w:bCs/>
                <w:color w:val="000000" w:themeColor="text1"/>
                <w:sz w:val="28"/>
                <w:szCs w:val="28"/>
                <w14:textFill>
                  <w14:solidFill>
                    <w14:schemeClr w14:val="tx1"/>
                  </w14:solidFill>
                </w14:textFill>
              </w:rPr>
              <w:t>5</w:t>
            </w:r>
            <w:r>
              <w:rPr>
                <w:rFonts w:hint="eastAsia" w:eastAsia="楷体_GB2312"/>
                <w:b/>
                <w:bCs/>
                <w:color w:val="000000" w:themeColor="text1"/>
                <w:sz w:val="28"/>
                <w:szCs w:val="28"/>
                <w14:textFill>
                  <w14:solidFill>
                    <w14:schemeClr w14:val="tx1"/>
                  </w14:solidFill>
                </w14:textFill>
              </w:rPr>
              <w:t>”</w:t>
            </w:r>
            <w:r>
              <w:rPr>
                <w:rFonts w:eastAsia="楷体_GB2312"/>
                <w:color w:val="000000" w:themeColor="text1"/>
                <w:sz w:val="28"/>
                <w:szCs w:val="28"/>
                <w14:textFill>
                  <w14:solidFill>
                    <w14:schemeClr w14:val="tx1"/>
                  </w14:solidFill>
                </w14:textFill>
              </w:rPr>
              <w:t>即</w:t>
            </w:r>
            <w:r>
              <w:rPr>
                <w:rFonts w:eastAsia="楷体_GB2312"/>
                <w:color w:val="000000" w:themeColor="text1"/>
                <w:kern w:val="2"/>
                <w:sz w:val="28"/>
                <w:szCs w:val="28"/>
                <w14:textFill>
                  <w14:solidFill>
                    <w14:schemeClr w14:val="tx1"/>
                  </w14:solidFill>
                </w14:textFill>
              </w:rPr>
              <w:t>努力培育5家上市企业</w:t>
            </w:r>
          </w:p>
        </w:tc>
      </w:tr>
    </w:tbl>
    <w:p>
      <w:pPr>
        <w:pStyle w:val="4"/>
        <w:keepNext w:val="0"/>
        <w:keepLines w:val="0"/>
        <w:widowControl w:val="0"/>
        <w:adjustRightInd w:val="0"/>
        <w:snapToGrid w:val="0"/>
        <w:spacing w:after="0" w:line="600" w:lineRule="exact"/>
      </w:pPr>
      <w:bookmarkStart w:id="57" w:name="_Toc9683"/>
      <w:bookmarkStart w:id="58" w:name="_Toc23889"/>
      <w:bookmarkStart w:id="59" w:name="_Toc23786"/>
    </w:p>
    <w:p>
      <w:pPr>
        <w:pStyle w:val="2"/>
        <w:widowControl w:val="0"/>
        <w:ind w:firstLine="340"/>
        <w:rPr>
          <w:rFonts w:eastAsia="方正小标宋简体"/>
          <w:kern w:val="44"/>
          <w:sz w:val="44"/>
        </w:rPr>
      </w:pPr>
      <w:r>
        <w:br w:type="page"/>
      </w:r>
    </w:p>
    <w:p>
      <w:pPr>
        <w:pStyle w:val="4"/>
        <w:keepNext w:val="0"/>
        <w:keepLines w:val="0"/>
        <w:widowControl w:val="0"/>
        <w:adjustRightInd w:val="0"/>
        <w:snapToGrid w:val="0"/>
        <w:spacing w:after="0" w:line="600" w:lineRule="exact"/>
      </w:pPr>
      <w:r>
        <w:t xml:space="preserve">第五章 </w:t>
      </w:r>
      <w:r>
        <w:rPr>
          <w:rFonts w:hint="eastAsia"/>
        </w:rPr>
        <w:t xml:space="preserve"> </w:t>
      </w:r>
      <w:r>
        <w:t>加快服务业提档升级，</w:t>
      </w:r>
      <w:bookmarkEnd w:id="57"/>
      <w:bookmarkEnd w:id="58"/>
      <w:r>
        <w:t>巩固提升</w:t>
      </w:r>
      <w:bookmarkEnd w:id="59"/>
    </w:p>
    <w:p>
      <w:pPr>
        <w:pStyle w:val="4"/>
        <w:keepNext w:val="0"/>
        <w:keepLines w:val="0"/>
        <w:widowControl w:val="0"/>
        <w:adjustRightInd w:val="0"/>
        <w:snapToGrid w:val="0"/>
        <w:spacing w:after="0" w:line="600" w:lineRule="exact"/>
      </w:pPr>
      <w:bookmarkStart w:id="60" w:name="_Toc20173"/>
      <w:r>
        <w:t>消费市场新优势</w:t>
      </w:r>
      <w:bookmarkEnd w:id="60"/>
    </w:p>
    <w:p>
      <w:pPr>
        <w:widowControl w:val="0"/>
        <w:adjustRightInd w:val="0"/>
        <w:snapToGrid w:val="0"/>
        <w:spacing w:after="0" w:line="560" w:lineRule="exact"/>
        <w:ind w:firstLine="680" w:firstLineChars="200"/>
        <w:rPr>
          <w:rFonts w:ascii="Times New Roman" w:hAnsi="Times New Roman" w:eastAsia="仿宋_GB2312"/>
          <w:color w:val="000000" w:themeColor="text1"/>
          <w:szCs w:val="32"/>
          <w14:textFill>
            <w14:solidFill>
              <w14:schemeClr w14:val="tx1"/>
            </w14:solidFill>
          </w14:textFill>
        </w:rPr>
      </w:pPr>
      <w:bookmarkStart w:id="61" w:name="_Toc29166"/>
    </w:p>
    <w:p>
      <w:pPr>
        <w:widowControl w:val="0"/>
        <w:adjustRightInd w:val="0"/>
        <w:snapToGrid w:val="0"/>
        <w:spacing w:after="0" w:line="560" w:lineRule="exact"/>
        <w:ind w:firstLine="680" w:firstLineChars="200"/>
        <w:rPr>
          <w:rFonts w:ascii="Times New Roman" w:hAnsi="Times New Roman" w:eastAsia="仿宋_GB2312"/>
          <w:color w:val="000000" w:themeColor="text1"/>
          <w:szCs w:val="32"/>
          <w14:textFill>
            <w14:solidFill>
              <w14:schemeClr w14:val="tx1"/>
            </w14:solidFill>
          </w14:textFill>
        </w:rPr>
      </w:pPr>
      <w:r>
        <w:rPr>
          <w:rFonts w:ascii="Times New Roman" w:hAnsi="Times New Roman" w:eastAsia="仿宋_GB2312"/>
          <w:color w:val="000000" w:themeColor="text1"/>
          <w:szCs w:val="32"/>
          <w14:textFill>
            <w14:solidFill>
              <w14:schemeClr w14:val="tx1"/>
            </w14:solidFill>
          </w14:textFill>
        </w:rPr>
        <w:t>抢抓数字经济赋能机遇，实施现代服务业</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一赋四培</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行动计划，推动服务业总量扩张、结构优化、档次提升，持续巩固我区在中心城区的优势地位。</w:t>
      </w:r>
    </w:p>
    <w:p>
      <w:pPr>
        <w:pStyle w:val="5"/>
        <w:keepNext w:val="0"/>
        <w:keepLines w:val="0"/>
        <w:widowControl w:val="0"/>
        <w:adjustRightInd w:val="0"/>
        <w:snapToGrid w:val="0"/>
        <w:spacing w:before="297" w:beforeLines="50" w:after="297" w:afterLines="50" w:line="560" w:lineRule="exact"/>
        <w:ind w:firstLine="0" w:firstLineChars="0"/>
      </w:pPr>
      <w:bookmarkStart w:id="62" w:name="_Toc28734"/>
      <w:bookmarkStart w:id="63" w:name="_Toc9332"/>
      <w:r>
        <w:t>第一节  坚持数字经济赋能发展</w:t>
      </w:r>
      <w:bookmarkEnd w:id="62"/>
      <w:bookmarkEnd w:id="63"/>
    </w:p>
    <w:p>
      <w:pPr>
        <w:widowControl w:val="0"/>
        <w:adjustRightInd w:val="0"/>
        <w:snapToGrid w:val="0"/>
        <w:spacing w:after="0" w:line="560" w:lineRule="exact"/>
        <w:ind w:firstLine="641"/>
        <w:jc w:val="both"/>
        <w:rPr>
          <w:rFonts w:ascii="Times New Roman" w:hAnsi="Times New Roman" w:eastAsia="仿宋_GB2312"/>
          <w:color w:val="000000" w:themeColor="text1"/>
          <w:szCs w:val="32"/>
          <w14:textFill>
            <w14:solidFill>
              <w14:schemeClr w14:val="tx1"/>
            </w14:solidFill>
          </w14:textFill>
        </w:rPr>
      </w:pPr>
      <w:r>
        <w:rPr>
          <w:rFonts w:ascii="Times New Roman" w:hAnsi="Times New Roman" w:eastAsia="仿宋_GB2312"/>
          <w:color w:val="000000" w:themeColor="text1"/>
          <w:szCs w:val="32"/>
          <w14:textFill>
            <w14:solidFill>
              <w14:schemeClr w14:val="tx1"/>
            </w14:solidFill>
          </w14:textFill>
        </w:rPr>
        <w:t>准确把握服务业行业发展趋势和市场变化，推动传统商业业态创新与功能提升，推动实施数字经济产业赋能，培育服务业新增长点。</w:t>
      </w:r>
    </w:p>
    <w:p>
      <w:pPr>
        <w:widowControl w:val="0"/>
        <w:adjustRightInd w:val="0"/>
        <w:snapToGrid w:val="0"/>
        <w:spacing w:after="0" w:line="560" w:lineRule="exact"/>
        <w:ind w:firstLine="641"/>
        <w:jc w:val="both"/>
        <w:rPr>
          <w:rFonts w:ascii="Times New Roman" w:hAnsi="Times New Roman" w:eastAsia="仿宋_GB2312"/>
          <w:color w:val="000000" w:themeColor="text1"/>
          <w:szCs w:val="32"/>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构建数字化消费生态。</w:t>
      </w:r>
      <w:r>
        <w:rPr>
          <w:rFonts w:ascii="Times New Roman" w:hAnsi="Times New Roman" w:eastAsia="仿宋_GB2312"/>
          <w:color w:val="000000" w:themeColor="text1"/>
          <w:szCs w:val="32"/>
          <w14:textFill>
            <w14:solidFill>
              <w14:schemeClr w14:val="tx1"/>
            </w14:solidFill>
          </w14:textFill>
        </w:rPr>
        <w:t>支持线下经营实体</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加快新理念、新科技、新设计改造提升，依托中联即送、兵锋软件等互联网和信息软件产业，推动传统零售、传统服务和渠道电商资源整合，完善</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互联网+</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智能+</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消费生态体系。</w:t>
      </w:r>
    </w:p>
    <w:p>
      <w:pPr>
        <w:widowControl w:val="0"/>
        <w:adjustRightInd w:val="0"/>
        <w:snapToGrid w:val="0"/>
        <w:spacing w:after="0" w:line="560" w:lineRule="exact"/>
        <w:ind w:firstLine="641"/>
        <w:jc w:val="both"/>
        <w:rPr>
          <w:rFonts w:ascii="Times New Roman" w:hAnsi="Times New Roman" w:eastAsia="仿宋_GB2312"/>
          <w:color w:val="000000" w:themeColor="text1"/>
          <w:szCs w:val="32"/>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发展数字生活新服务。</w:t>
      </w:r>
      <w:r>
        <w:rPr>
          <w:rFonts w:ascii="Times New Roman" w:hAnsi="Times New Roman" w:eastAsia="仿宋_GB2312"/>
          <w:color w:val="000000" w:themeColor="text1"/>
          <w:szCs w:val="32"/>
          <w14:textFill>
            <w14:solidFill>
              <w14:schemeClr w14:val="tx1"/>
            </w14:solidFill>
          </w14:textFill>
        </w:rPr>
        <w:t>深化5G技术在网络购物、智能售卖等服务领域的应用，鼓励胖东来等大型零售企业利用互联网技术，推进实体店铺数字化改造</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增强店面场景化、立体化、智能化展示功能</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开展全渠道营销。加快电子商务进社区</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推广</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电子商务平台+社区智能便利店+集成网络终端</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社区商业模式</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打造一刻钟便民服务圈。加快旅游业</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云、网、端</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基础设施建设，推进旅游宾馆饭店、景区景点智慧化改造，依托曹魏古城打造新型文化旅游应用场景，推进5G环境下的数字街区建设，建成全省</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互联网+旅游</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创新示范基地。积极培育壮大远程医疗、大数据分析、在线办公、在线教育等新经济、新业态。</w:t>
      </w:r>
    </w:p>
    <w:p>
      <w:pPr>
        <w:pStyle w:val="5"/>
        <w:keepNext w:val="0"/>
        <w:keepLines w:val="0"/>
        <w:widowControl w:val="0"/>
        <w:adjustRightInd w:val="0"/>
        <w:snapToGrid w:val="0"/>
        <w:spacing w:before="297" w:beforeLines="50" w:after="297" w:afterLines="50" w:line="560" w:lineRule="exact"/>
        <w:ind w:firstLine="0" w:firstLineChars="0"/>
      </w:pPr>
      <w:bookmarkStart w:id="64" w:name="_Toc21235"/>
      <w:bookmarkStart w:id="65" w:name="_Toc22475"/>
      <w:r>
        <w:t>第二节  重点培育四大主导产业</w:t>
      </w:r>
      <w:bookmarkEnd w:id="64"/>
      <w:bookmarkEnd w:id="65"/>
    </w:p>
    <w:p>
      <w:pPr>
        <w:widowControl w:val="0"/>
        <w:adjustRightInd w:val="0"/>
        <w:snapToGrid w:val="0"/>
        <w:spacing w:after="0" w:line="560" w:lineRule="exact"/>
        <w:ind w:firstLine="680" w:firstLineChars="200"/>
        <w:rPr>
          <w:rFonts w:ascii="Times New Roman" w:hAnsi="Times New Roman" w:eastAsia="仿宋_GB2312"/>
          <w:color w:val="000000" w:themeColor="text1"/>
          <w:szCs w:val="32"/>
          <w14:textFill>
            <w14:solidFill>
              <w14:schemeClr w14:val="tx1"/>
            </w14:solidFill>
          </w14:textFill>
        </w:rPr>
      </w:pPr>
      <w:r>
        <w:rPr>
          <w:rFonts w:ascii="Times New Roman" w:hAnsi="Times New Roman" w:eastAsia="仿宋_GB2312"/>
          <w:color w:val="000000" w:themeColor="text1"/>
          <w:szCs w:val="32"/>
          <w14:textFill>
            <w14:solidFill>
              <w14:schemeClr w14:val="tx1"/>
            </w14:solidFill>
          </w14:textFill>
        </w:rPr>
        <w:t>突出培优扶强、特色发展，重点培育和壮大文化旅游、即时物流、信息科技和现代养老四大优势行业，使之成为带动魏都区服务业发展的主导力量和战略支撑。</w:t>
      </w:r>
    </w:p>
    <w:p>
      <w:pPr>
        <w:widowControl w:val="0"/>
        <w:adjustRightInd w:val="0"/>
        <w:snapToGrid w:val="0"/>
        <w:spacing w:after="0" w:line="560" w:lineRule="exact"/>
        <w:ind w:firstLine="680" w:firstLineChars="200"/>
        <w:rPr>
          <w:rFonts w:ascii="Times New Roman" w:hAnsi="Times New Roman" w:eastAsia="仿宋_GB2312"/>
          <w:color w:val="000000" w:themeColor="text1"/>
          <w:szCs w:val="32"/>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文化旅游。</w:t>
      </w:r>
      <w:r>
        <w:rPr>
          <w:rFonts w:ascii="Times New Roman" w:hAnsi="Times New Roman" w:eastAsia="仿宋_GB2312"/>
          <w:color w:val="000000" w:themeColor="text1"/>
          <w:szCs w:val="32"/>
          <w14:textFill>
            <w14:solidFill>
              <w14:schemeClr w14:val="tx1"/>
            </w14:solidFill>
          </w14:textFill>
        </w:rPr>
        <w:t>按照</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快进、慢游、长留、缓出</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理念，整合全区水系、生态、城建、民俗</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非遗等资源，全面提升魏都区文化旅游发展品质。提升改造历史文化街区，鼓励利用老旧厂房、历史建筑、工业遗迹、商业楼宇建设文化创意空间和城市文化综合体，激发文化旅游消费潜力。以曹魏古城为核心，将</w:t>
      </w:r>
      <w:r>
        <w:rPr>
          <w:rFonts w:hint="eastAsia" w:ascii="Times New Roman" w:hAnsi="Times New Roman" w:eastAsia="仿宋_GB2312"/>
          <w:color w:val="000000" w:themeColor="text1"/>
          <w:szCs w:val="32"/>
          <w14:textFill>
            <w14:solidFill>
              <w14:schemeClr w14:val="tx1"/>
            </w14:solidFill>
          </w14:textFill>
        </w:rPr>
        <w:t>灞</w:t>
      </w:r>
      <w:r>
        <w:rPr>
          <w:rFonts w:ascii="Times New Roman" w:hAnsi="Times New Roman" w:eastAsia="仿宋_GB2312"/>
          <w:color w:val="000000" w:themeColor="text1"/>
          <w:szCs w:val="32"/>
          <w14:textFill>
            <w14:solidFill>
              <w14:schemeClr w14:val="tx1"/>
            </w14:solidFill>
          </w14:textFill>
        </w:rPr>
        <w:t>陵桥、春秋楼、曹丞相府等景点串联成线，重点推动曹丞相府扩建和综合提升工程、西城门建设工程、魏武英豪段建设项目等，整体塑造三国文化旅游特色品牌，争取创建三国文旅产业融合发展示范区、国家文化和旅游消费示范城市。</w:t>
      </w:r>
    </w:p>
    <w:p>
      <w:pPr>
        <w:widowControl w:val="0"/>
        <w:adjustRightInd w:val="0"/>
        <w:snapToGrid w:val="0"/>
        <w:spacing w:after="0" w:line="560" w:lineRule="exact"/>
        <w:ind w:firstLine="680" w:firstLineChars="200"/>
        <w:jc w:val="both"/>
        <w:rPr>
          <w:rFonts w:ascii="Times New Roman" w:hAnsi="Times New Roman" w:eastAsia="仿宋_GB2312"/>
          <w:color w:val="000000" w:themeColor="text1"/>
          <w:szCs w:val="32"/>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即时物流。</w:t>
      </w:r>
      <w:r>
        <w:rPr>
          <w:rFonts w:ascii="Times New Roman" w:hAnsi="Times New Roman" w:eastAsia="仿宋_GB2312"/>
          <w:color w:val="000000" w:themeColor="text1"/>
          <w:szCs w:val="32"/>
          <w14:textFill>
            <w14:solidFill>
              <w14:schemeClr w14:val="tx1"/>
            </w14:solidFill>
          </w14:textFill>
        </w:rPr>
        <w:t>推动</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5G+物联网+人工智能</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在物流行业的融合应用，</w:t>
      </w:r>
      <w:bookmarkStart w:id="66" w:name="_Hlk55768412"/>
      <w:r>
        <w:rPr>
          <w:rFonts w:ascii="Times New Roman" w:hAnsi="Times New Roman" w:eastAsia="仿宋_GB2312"/>
          <w:color w:val="000000" w:themeColor="text1"/>
          <w:szCs w:val="32"/>
          <w14:textFill>
            <w14:solidFill>
              <w14:schemeClr w14:val="tx1"/>
            </w14:solidFill>
          </w14:textFill>
        </w:rPr>
        <w:t>打造智慧物流服务平台</w:t>
      </w:r>
      <w:bookmarkEnd w:id="66"/>
      <w:r>
        <w:rPr>
          <w:rFonts w:ascii="Times New Roman" w:hAnsi="Times New Roman" w:eastAsia="仿宋_GB2312"/>
          <w:color w:val="000000" w:themeColor="text1"/>
          <w:szCs w:val="32"/>
          <w14:textFill>
            <w14:solidFill>
              <w14:schemeClr w14:val="tx1"/>
            </w14:solidFill>
          </w14:textFill>
        </w:rPr>
        <w:t>。充分利用辖区商业经济繁荣发达的优势，立足连锁经营和商户配送服务，发展都市配送型物流。与新零销发展相适应，针对即时配送作业需求进行升级改造，优化基础配送速度，全方位提高配送服务质量，实现配送服务的定制化及消费场景的全覆盖。注重下沉市场开发，合理调整整体区域业务分布，加快相关配送地域投资建设。以中联即送为龙头，建设</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即时物流产业园</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，吸引一批国内即时物流企业入驻，建设总部基地，打通全产业链，打造</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即时物流之都</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w:t>
      </w:r>
    </w:p>
    <w:p>
      <w:pPr>
        <w:widowControl w:val="0"/>
        <w:adjustRightInd w:val="0"/>
        <w:snapToGrid w:val="0"/>
        <w:spacing w:after="0" w:line="580" w:lineRule="exact"/>
        <w:ind w:firstLine="680" w:firstLineChars="200"/>
        <w:rPr>
          <w:rFonts w:ascii="Times New Roman" w:hAnsi="Times New Roman" w:eastAsia="仿宋_GB2312"/>
          <w:color w:val="000000" w:themeColor="text1"/>
          <w:szCs w:val="32"/>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信息科技。</w:t>
      </w:r>
      <w:r>
        <w:rPr>
          <w:rFonts w:ascii="Times New Roman" w:hAnsi="Times New Roman" w:eastAsia="仿宋_GB2312"/>
          <w:color w:val="000000" w:themeColor="text1"/>
          <w:szCs w:val="32"/>
          <w14:textFill>
            <w14:solidFill>
              <w14:schemeClr w14:val="tx1"/>
            </w14:solidFill>
          </w14:textFill>
        </w:rPr>
        <w:t>加快发展以5G技术应用、云计算、大数据、物联网、移动互联网等为代表的信息服务业。加强相关软件研发，支持以新兵锋等为代表的软件企业发展，提高信息技术咨询设计、集成实施、运行维护、测试评估和信息安全服务水平，推动软件供应商、信息服务提供商与工业企业联合提升企业生产经营管理全过程的数字化水平。积极发展研究开发、检验检测认证、创业孵化、知识产权、科技咨询等专业科技服务和综合科技服务。围绕高端装备制造、新材料、循环经济等重点产业发展，加快引进北理工阻燃测试中心等高端研发机构，建设省级、国家级质检中心，建立公共研发服务体系。鼓励德通振动、中航设备、纪年科技等装备制造企业向智能化方案提供商转型。</w:t>
      </w:r>
    </w:p>
    <w:p>
      <w:pPr>
        <w:widowControl w:val="0"/>
        <w:adjustRightInd w:val="0"/>
        <w:snapToGrid w:val="0"/>
        <w:spacing w:after="0" w:line="580" w:lineRule="exact"/>
        <w:ind w:firstLine="680" w:firstLineChars="200"/>
        <w:jc w:val="both"/>
        <w:rPr>
          <w:rFonts w:ascii="Times New Roman" w:hAnsi="Times New Roman" w:eastAsia="仿宋_GB2312"/>
          <w:color w:val="000000" w:themeColor="text1"/>
          <w:szCs w:val="32"/>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现代养老。</w:t>
      </w:r>
      <w:r>
        <w:rPr>
          <w:rFonts w:ascii="Times New Roman" w:hAnsi="Times New Roman" w:eastAsia="仿宋_GB2312"/>
          <w:color w:val="000000" w:themeColor="text1"/>
          <w:szCs w:val="32"/>
          <w14:textFill>
            <w14:solidFill>
              <w14:schemeClr w14:val="tx1"/>
            </w14:solidFill>
          </w14:textFill>
        </w:rPr>
        <w:t>鼓励养老服务与相关产业融合创新发展，推动基本生活照料、康复护理、精神慰藉、紧急救援等领域养老服务的发展。培育健康养老服务开发运营主体，吸引养老、医疗、地产知名企业在魏都区打造具有核心竞争力的健康养老服务品牌，增加中高端健康养老产品供给，鼓励组建养老服务连锁机构，整合养老院、护理院开展规范化和规模化经营。建设一批满足老年人教育、健身、娱乐、保健、医疗、康复、护理等多元需求的健康养老机构，培育发展休闲体验和保健养生等新业态，建设健康养老产业示范基地。</w:t>
      </w:r>
    </w:p>
    <w:tbl>
      <w:tblPr>
        <w:tblStyle w:val="11"/>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 w:hRule="atLeast"/>
          <w:jc w:val="center"/>
        </w:trPr>
        <w:tc>
          <w:tcPr>
            <w:tcW w:w="8522" w:type="dxa"/>
          </w:tcPr>
          <w:p>
            <w:pPr>
              <w:widowControl w:val="0"/>
              <w:adjustRightInd w:val="0"/>
              <w:snapToGrid w:val="0"/>
              <w:spacing w:after="0" w:line="510" w:lineRule="exact"/>
              <w:jc w:val="center"/>
              <w:rPr>
                <w:rFonts w:ascii="黑体" w:hAnsi="黑体" w:eastAsia="黑体" w:cs="黑体"/>
                <w:bCs/>
                <w:color w:val="000000" w:themeColor="text1"/>
                <w:kern w:val="2"/>
                <w:sz w:val="28"/>
                <w:szCs w:val="28"/>
                <w14:textFill>
                  <w14:solidFill>
                    <w14:schemeClr w14:val="tx1"/>
                  </w14:solidFill>
                </w14:textFill>
              </w:rPr>
            </w:pPr>
            <w:r>
              <w:rPr>
                <w:rFonts w:hint="eastAsia" w:ascii="黑体" w:hAnsi="黑体" w:eastAsia="黑体" w:cs="黑体"/>
                <w:bCs/>
                <w:color w:val="000000" w:themeColor="text1"/>
                <w:kern w:val="2"/>
                <w:sz w:val="28"/>
                <w:szCs w:val="28"/>
                <w14:textFill>
                  <w14:solidFill>
                    <w14:schemeClr w14:val="tx1"/>
                  </w14:solidFill>
                </w14:textFill>
              </w:rPr>
              <w:t>专栏</w:t>
            </w:r>
            <w:r>
              <w:rPr>
                <w:rFonts w:hint="eastAsia" w:ascii="Times New Roman" w:hAnsi="Times New Roman" w:eastAsia="黑体" w:cs="黑体"/>
                <w:bCs/>
                <w:color w:val="000000" w:themeColor="text1"/>
                <w:kern w:val="2"/>
                <w:sz w:val="28"/>
                <w:szCs w:val="28"/>
                <w14:textFill>
                  <w14:solidFill>
                    <w14:schemeClr w14:val="tx1"/>
                  </w14:solidFill>
                </w14:textFill>
              </w:rPr>
              <w:t>2</w:t>
            </w:r>
            <w:r>
              <w:rPr>
                <w:rFonts w:hint="eastAsia" w:ascii="黑体" w:hAnsi="黑体" w:eastAsia="黑体" w:cs="黑体"/>
                <w:bCs/>
                <w:color w:val="000000" w:themeColor="text1"/>
                <w:kern w:val="2"/>
                <w:sz w:val="28"/>
                <w:szCs w:val="28"/>
                <w14:textFill>
                  <w14:solidFill>
                    <w14:schemeClr w14:val="tx1"/>
                  </w14:solidFill>
                </w14:textFill>
              </w:rPr>
              <w:t>：服务业“一赋四培”行动计划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22" w:type="dxa"/>
          </w:tcPr>
          <w:p>
            <w:pPr>
              <w:pStyle w:val="2"/>
              <w:widowControl w:val="0"/>
              <w:adjustRightInd w:val="0"/>
              <w:snapToGrid w:val="0"/>
              <w:spacing w:after="0" w:line="520" w:lineRule="exact"/>
              <w:ind w:firstLine="600" w:firstLineChars="200"/>
              <w:rPr>
                <w:rFonts w:eastAsia="楷体_GB2312"/>
                <w:color w:val="000000" w:themeColor="text1"/>
                <w:sz w:val="28"/>
                <w:szCs w:val="28"/>
                <w14:textFill>
                  <w14:solidFill>
                    <w14:schemeClr w14:val="tx1"/>
                  </w14:solidFill>
                </w14:textFill>
              </w:rPr>
            </w:pPr>
            <w:r>
              <w:rPr>
                <w:rFonts w:hint="eastAsia" w:eastAsia="楷体_GB2312"/>
                <w:b/>
                <w:bCs/>
                <w:color w:val="000000" w:themeColor="text1"/>
                <w:sz w:val="28"/>
                <w:szCs w:val="28"/>
                <w14:textFill>
                  <w14:solidFill>
                    <w14:schemeClr w14:val="tx1"/>
                  </w14:solidFill>
                </w14:textFill>
              </w:rPr>
              <w:t>“</w:t>
            </w:r>
            <w:r>
              <w:rPr>
                <w:rFonts w:eastAsia="楷体_GB2312"/>
                <w:b/>
                <w:bCs/>
                <w:color w:val="000000" w:themeColor="text1"/>
                <w:sz w:val="28"/>
                <w:szCs w:val="28"/>
                <w14:textFill>
                  <w14:solidFill>
                    <w14:schemeClr w14:val="tx1"/>
                  </w14:solidFill>
                </w14:textFill>
              </w:rPr>
              <w:t>一赋</w:t>
            </w:r>
            <w:r>
              <w:rPr>
                <w:rFonts w:hint="eastAsia" w:eastAsia="楷体_GB2312"/>
                <w:b/>
                <w:bCs/>
                <w:color w:val="000000" w:themeColor="text1"/>
                <w:sz w:val="28"/>
                <w:szCs w:val="28"/>
                <w14:textFill>
                  <w14:solidFill>
                    <w14:schemeClr w14:val="tx1"/>
                  </w14:solidFill>
                </w14:textFill>
              </w:rPr>
              <w:t>”</w:t>
            </w:r>
            <w:r>
              <w:rPr>
                <w:rFonts w:eastAsia="楷体_GB2312"/>
                <w:color w:val="000000" w:themeColor="text1"/>
                <w:sz w:val="28"/>
                <w:szCs w:val="28"/>
                <w14:textFill>
                  <w14:solidFill>
                    <w14:schemeClr w14:val="tx1"/>
                  </w14:solidFill>
                </w14:textFill>
              </w:rPr>
              <w:t>即</w:t>
            </w:r>
            <w:r>
              <w:rPr>
                <w:rFonts w:eastAsia="楷体_GB2312"/>
                <w:color w:val="000000" w:themeColor="text1"/>
                <w:szCs w:val="32"/>
                <w14:textFill>
                  <w14:solidFill>
                    <w14:schemeClr w14:val="tx1"/>
                  </w14:solidFill>
                </w14:textFill>
              </w:rPr>
              <w:t>坚</w:t>
            </w:r>
            <w:r>
              <w:rPr>
                <w:rFonts w:eastAsia="楷体_GB2312"/>
                <w:color w:val="000000" w:themeColor="text1"/>
                <w:sz w:val="28"/>
                <w:szCs w:val="28"/>
                <w14:textFill>
                  <w14:solidFill>
                    <w14:schemeClr w14:val="tx1"/>
                  </w14:solidFill>
                </w14:textFill>
              </w:rPr>
              <w:t>持数字经济赋能发展</w:t>
            </w:r>
          </w:p>
          <w:p>
            <w:pPr>
              <w:pStyle w:val="2"/>
              <w:widowControl w:val="0"/>
              <w:adjustRightInd w:val="0"/>
              <w:snapToGrid w:val="0"/>
              <w:spacing w:after="0" w:line="520" w:lineRule="exact"/>
              <w:ind w:firstLine="600" w:firstLineChars="200"/>
              <w:rPr>
                <w:rFonts w:eastAsia="楷体_GB2312"/>
                <w:color w:val="000000" w:themeColor="text1"/>
                <w:sz w:val="28"/>
                <w:szCs w:val="28"/>
                <w14:textFill>
                  <w14:solidFill>
                    <w14:schemeClr w14:val="tx1"/>
                  </w14:solidFill>
                </w14:textFill>
              </w:rPr>
            </w:pPr>
            <w:r>
              <w:rPr>
                <w:rFonts w:hint="eastAsia" w:eastAsia="楷体_GB2312"/>
                <w:b/>
                <w:bCs/>
                <w:color w:val="000000" w:themeColor="text1"/>
                <w:sz w:val="28"/>
                <w:szCs w:val="28"/>
                <w14:textFill>
                  <w14:solidFill>
                    <w14:schemeClr w14:val="tx1"/>
                  </w14:solidFill>
                </w14:textFill>
              </w:rPr>
              <w:t>“</w:t>
            </w:r>
            <w:r>
              <w:rPr>
                <w:rFonts w:eastAsia="楷体_GB2312"/>
                <w:b/>
                <w:bCs/>
                <w:color w:val="000000" w:themeColor="text1"/>
                <w:sz w:val="28"/>
                <w:szCs w:val="28"/>
                <w14:textFill>
                  <w14:solidFill>
                    <w14:schemeClr w14:val="tx1"/>
                  </w14:solidFill>
                </w14:textFill>
              </w:rPr>
              <w:t>四培</w:t>
            </w:r>
            <w:r>
              <w:rPr>
                <w:rFonts w:hint="eastAsia" w:eastAsia="楷体_GB2312"/>
                <w:b/>
                <w:bCs/>
                <w:color w:val="000000" w:themeColor="text1"/>
                <w:sz w:val="28"/>
                <w:szCs w:val="28"/>
                <w14:textFill>
                  <w14:solidFill>
                    <w14:schemeClr w14:val="tx1"/>
                  </w14:solidFill>
                </w14:textFill>
              </w:rPr>
              <w:t>”</w:t>
            </w:r>
            <w:r>
              <w:rPr>
                <w:rFonts w:eastAsia="楷体_GB2312"/>
                <w:color w:val="000000" w:themeColor="text1"/>
                <w:sz w:val="28"/>
                <w:szCs w:val="28"/>
                <w14:textFill>
                  <w14:solidFill>
                    <w14:schemeClr w14:val="tx1"/>
                  </w14:solidFill>
                </w14:textFill>
              </w:rPr>
              <w:t>即重点培育和壮大文化旅游、即时物流、信息科技、现代养老4大优势行业。</w:t>
            </w:r>
          </w:p>
          <w:p>
            <w:pPr>
              <w:pStyle w:val="2"/>
              <w:widowControl w:val="0"/>
              <w:adjustRightInd w:val="0"/>
              <w:snapToGrid w:val="0"/>
              <w:spacing w:after="0" w:line="520" w:lineRule="exact"/>
              <w:ind w:firstLine="600" w:firstLineChars="200"/>
              <w:rPr>
                <w:rFonts w:eastAsia="楷体_GB2312"/>
                <w:color w:val="000000" w:themeColor="text1"/>
                <w:sz w:val="28"/>
                <w:szCs w:val="28"/>
                <w14:textFill>
                  <w14:solidFill>
                    <w14:schemeClr w14:val="tx1"/>
                  </w14:solidFill>
                </w14:textFill>
              </w:rPr>
            </w:pPr>
            <w:r>
              <w:rPr>
                <w:rFonts w:eastAsia="楷体_GB2312"/>
                <w:b/>
                <w:bCs/>
                <w:color w:val="000000" w:themeColor="text1"/>
                <w:sz w:val="28"/>
                <w:szCs w:val="28"/>
                <w14:textFill>
                  <w14:solidFill>
                    <w14:schemeClr w14:val="tx1"/>
                  </w14:solidFill>
                </w14:textFill>
              </w:rPr>
              <w:t>文化旅游：</w:t>
            </w:r>
            <w:r>
              <w:rPr>
                <w:rFonts w:eastAsia="楷体_GB2312"/>
                <w:color w:val="000000" w:themeColor="text1"/>
                <w:sz w:val="28"/>
                <w:szCs w:val="28"/>
                <w14:textFill>
                  <w14:solidFill>
                    <w14:schemeClr w14:val="tx1"/>
                  </w14:solidFill>
                </w14:textFill>
              </w:rPr>
              <w:t>按照</w:t>
            </w:r>
            <w:r>
              <w:rPr>
                <w:rFonts w:hint="eastAsia" w:eastAsia="楷体_GB2312"/>
                <w:color w:val="000000" w:themeColor="text1"/>
                <w:sz w:val="28"/>
                <w:szCs w:val="28"/>
                <w14:textFill>
                  <w14:solidFill>
                    <w14:schemeClr w14:val="tx1"/>
                  </w14:solidFill>
                </w14:textFill>
              </w:rPr>
              <w:t>“</w:t>
            </w:r>
            <w:r>
              <w:rPr>
                <w:rFonts w:eastAsia="楷体_GB2312"/>
                <w:color w:val="000000" w:themeColor="text1"/>
                <w:sz w:val="28"/>
                <w:szCs w:val="28"/>
                <w14:textFill>
                  <w14:solidFill>
                    <w14:schemeClr w14:val="tx1"/>
                  </w14:solidFill>
                </w14:textFill>
              </w:rPr>
              <w:t>快进、慢游、长留、缓出</w:t>
            </w:r>
            <w:r>
              <w:rPr>
                <w:rFonts w:hint="eastAsia" w:eastAsia="楷体_GB2312"/>
                <w:color w:val="000000" w:themeColor="text1"/>
                <w:sz w:val="28"/>
                <w:szCs w:val="28"/>
                <w14:textFill>
                  <w14:solidFill>
                    <w14:schemeClr w14:val="tx1"/>
                  </w14:solidFill>
                </w14:textFill>
              </w:rPr>
              <w:t>”</w:t>
            </w:r>
            <w:r>
              <w:rPr>
                <w:rFonts w:eastAsia="楷体_GB2312"/>
                <w:color w:val="000000" w:themeColor="text1"/>
                <w:sz w:val="28"/>
                <w:szCs w:val="28"/>
                <w14:textFill>
                  <w14:solidFill>
                    <w14:schemeClr w14:val="tx1"/>
                  </w14:solidFill>
                </w14:textFill>
              </w:rPr>
              <w:t>理念，整合全区水系、生态、城建、民俗非遗等资源，全面提升魏都区文化旅游发展品质。</w:t>
            </w:r>
          </w:p>
          <w:p>
            <w:pPr>
              <w:pStyle w:val="2"/>
              <w:widowControl w:val="0"/>
              <w:adjustRightInd w:val="0"/>
              <w:snapToGrid w:val="0"/>
              <w:spacing w:after="0" w:line="520" w:lineRule="exact"/>
              <w:ind w:firstLine="600" w:firstLineChars="200"/>
              <w:rPr>
                <w:rFonts w:eastAsia="楷体_GB2312"/>
                <w:color w:val="000000" w:themeColor="text1"/>
                <w:sz w:val="28"/>
                <w:szCs w:val="28"/>
                <w14:textFill>
                  <w14:solidFill>
                    <w14:schemeClr w14:val="tx1"/>
                  </w14:solidFill>
                </w14:textFill>
              </w:rPr>
            </w:pPr>
            <w:r>
              <w:rPr>
                <w:rFonts w:eastAsia="楷体_GB2312"/>
                <w:b/>
                <w:bCs/>
                <w:color w:val="000000" w:themeColor="text1"/>
                <w:sz w:val="28"/>
                <w:szCs w:val="28"/>
                <w14:textFill>
                  <w14:solidFill>
                    <w14:schemeClr w14:val="tx1"/>
                  </w14:solidFill>
                </w14:textFill>
              </w:rPr>
              <w:t>即时物流：</w:t>
            </w:r>
            <w:r>
              <w:rPr>
                <w:rFonts w:eastAsia="楷体_GB2312"/>
                <w:color w:val="000000" w:themeColor="text1"/>
                <w:sz w:val="28"/>
                <w:szCs w:val="28"/>
                <w14:textFill>
                  <w14:solidFill>
                    <w14:schemeClr w14:val="tx1"/>
                  </w14:solidFill>
                </w14:textFill>
              </w:rPr>
              <w:t>以中联即送为龙头，建设“即时物流产业园”，吸引一批国内即时物流企业入驻，建设总部基地，打通全产业链，打造“即时物流之都”。</w:t>
            </w:r>
          </w:p>
          <w:p>
            <w:pPr>
              <w:pStyle w:val="2"/>
              <w:widowControl w:val="0"/>
              <w:adjustRightInd w:val="0"/>
              <w:snapToGrid w:val="0"/>
              <w:spacing w:after="0" w:line="520" w:lineRule="exact"/>
              <w:ind w:firstLine="600" w:firstLineChars="200"/>
              <w:rPr>
                <w:rFonts w:eastAsia="楷体_GB2312"/>
                <w:color w:val="000000" w:themeColor="text1"/>
                <w:sz w:val="28"/>
                <w:szCs w:val="28"/>
                <w14:textFill>
                  <w14:solidFill>
                    <w14:schemeClr w14:val="tx1"/>
                  </w14:solidFill>
                </w14:textFill>
              </w:rPr>
            </w:pPr>
            <w:r>
              <w:rPr>
                <w:rFonts w:eastAsia="楷体_GB2312"/>
                <w:b/>
                <w:bCs/>
                <w:color w:val="000000" w:themeColor="text1"/>
                <w:sz w:val="28"/>
                <w:szCs w:val="28"/>
                <w14:textFill>
                  <w14:solidFill>
                    <w14:schemeClr w14:val="tx1"/>
                  </w14:solidFill>
                </w14:textFill>
              </w:rPr>
              <w:t>信息科技：</w:t>
            </w:r>
            <w:r>
              <w:rPr>
                <w:rFonts w:eastAsia="楷体_GB2312"/>
                <w:color w:val="000000" w:themeColor="text1"/>
                <w:sz w:val="28"/>
                <w:szCs w:val="28"/>
                <w14:textFill>
                  <w14:solidFill>
                    <w14:schemeClr w14:val="tx1"/>
                  </w14:solidFill>
                </w14:textFill>
              </w:rPr>
              <w:t>大力发展科技服务、检测检验、工业设计、信息服务等与制造业紧密相关的生产性服务业，依靠市场机制和现代科技创新，推动生产性服务业向专业化和价值链高端延伸。</w:t>
            </w:r>
          </w:p>
          <w:p>
            <w:pPr>
              <w:pStyle w:val="2"/>
              <w:widowControl w:val="0"/>
              <w:adjustRightInd w:val="0"/>
              <w:snapToGrid w:val="0"/>
              <w:spacing w:after="0" w:line="520" w:lineRule="exact"/>
              <w:ind w:firstLine="600" w:firstLineChars="200"/>
              <w:rPr>
                <w:rFonts w:eastAsia="楷体_GB2312"/>
                <w:color w:val="000000" w:themeColor="text1"/>
                <w:sz w:val="28"/>
                <w:szCs w:val="28"/>
                <w14:textFill>
                  <w14:solidFill>
                    <w14:schemeClr w14:val="tx1"/>
                  </w14:solidFill>
                </w14:textFill>
              </w:rPr>
            </w:pPr>
            <w:r>
              <w:rPr>
                <w:rFonts w:eastAsia="楷体_GB2312"/>
                <w:b/>
                <w:bCs/>
                <w:color w:val="000000" w:themeColor="text1"/>
                <w:sz w:val="28"/>
                <w:szCs w:val="28"/>
                <w14:textFill>
                  <w14:solidFill>
                    <w14:schemeClr w14:val="tx1"/>
                  </w14:solidFill>
                </w14:textFill>
              </w:rPr>
              <w:t>现代养老：</w:t>
            </w:r>
            <w:r>
              <w:rPr>
                <w:rFonts w:eastAsia="楷体_GB2312"/>
                <w:color w:val="000000" w:themeColor="text1"/>
                <w:sz w:val="28"/>
                <w:szCs w:val="28"/>
                <w14:textFill>
                  <w14:solidFill>
                    <w14:schemeClr w14:val="tx1"/>
                  </w14:solidFill>
                </w14:textFill>
              </w:rPr>
              <w:t>鼓励养老服务与房地产、医疗等产业融合创新发展，建设一批满足老年人多元需求的健康养老机构</w:t>
            </w:r>
            <w:r>
              <w:rPr>
                <w:rFonts w:hint="eastAsia" w:eastAsia="楷体_GB2312"/>
                <w:color w:val="000000" w:themeColor="text1"/>
                <w:sz w:val="28"/>
                <w:szCs w:val="28"/>
                <w14:textFill>
                  <w14:solidFill>
                    <w14:schemeClr w14:val="tx1"/>
                  </w14:solidFill>
                </w14:textFill>
              </w:rPr>
              <w:t>，</w:t>
            </w:r>
            <w:r>
              <w:rPr>
                <w:rFonts w:eastAsia="楷体_GB2312"/>
                <w:color w:val="000000" w:themeColor="text1"/>
                <w:sz w:val="28"/>
                <w:szCs w:val="28"/>
                <w14:textFill>
                  <w14:solidFill>
                    <w14:schemeClr w14:val="tx1"/>
                  </w14:solidFill>
                </w14:textFill>
              </w:rPr>
              <w:t>培育发展休闲体验和保健养生等新业态</w:t>
            </w:r>
            <w:r>
              <w:rPr>
                <w:rFonts w:hint="eastAsia" w:eastAsia="楷体_GB2312"/>
                <w:color w:val="000000" w:themeColor="text1"/>
                <w:sz w:val="28"/>
                <w:szCs w:val="28"/>
                <w14:textFill>
                  <w14:solidFill>
                    <w14:schemeClr w14:val="tx1"/>
                  </w14:solidFill>
                </w14:textFill>
              </w:rPr>
              <w:t>，</w:t>
            </w:r>
            <w:r>
              <w:rPr>
                <w:rFonts w:eastAsia="楷体_GB2312"/>
                <w:color w:val="000000" w:themeColor="text1"/>
                <w:sz w:val="28"/>
                <w:szCs w:val="28"/>
                <w14:textFill>
                  <w14:solidFill>
                    <w14:schemeClr w14:val="tx1"/>
                  </w14:solidFill>
                </w14:textFill>
              </w:rPr>
              <w:t>建设一批健康养老产业示范基地。</w:t>
            </w:r>
          </w:p>
        </w:tc>
      </w:tr>
    </w:tbl>
    <w:p>
      <w:pPr>
        <w:pStyle w:val="5"/>
        <w:keepNext w:val="0"/>
        <w:keepLines w:val="0"/>
        <w:widowControl w:val="0"/>
        <w:adjustRightInd w:val="0"/>
        <w:snapToGrid w:val="0"/>
        <w:spacing w:before="297" w:beforeLines="50" w:after="297" w:afterLines="50" w:line="560" w:lineRule="exact"/>
        <w:ind w:firstLine="0" w:firstLineChars="0"/>
      </w:pPr>
      <w:bookmarkStart w:id="67" w:name="_Toc19442"/>
      <w:bookmarkStart w:id="68" w:name="_Toc27125"/>
      <w:r>
        <w:t>第三节  巩固提升传统优势产业</w:t>
      </w:r>
      <w:bookmarkEnd w:id="67"/>
      <w:bookmarkEnd w:id="68"/>
    </w:p>
    <w:p>
      <w:pPr>
        <w:widowControl w:val="0"/>
        <w:adjustRightInd w:val="0"/>
        <w:snapToGrid w:val="0"/>
        <w:spacing w:after="0" w:line="560" w:lineRule="exact"/>
        <w:ind w:firstLine="680" w:firstLineChars="200"/>
        <w:jc w:val="both"/>
        <w:rPr>
          <w:rFonts w:ascii="Times New Roman" w:hAnsi="Times New Roman" w:eastAsia="仿宋_GB2312"/>
          <w:color w:val="000000" w:themeColor="text1"/>
          <w:szCs w:val="32"/>
          <w14:textFill>
            <w14:solidFill>
              <w14:schemeClr w14:val="tx1"/>
            </w14:solidFill>
          </w14:textFill>
        </w:rPr>
      </w:pPr>
      <w:r>
        <w:rPr>
          <w:rFonts w:ascii="Times New Roman" w:hAnsi="Times New Roman" w:eastAsia="仿宋_GB2312"/>
          <w:color w:val="000000" w:themeColor="text1"/>
          <w:szCs w:val="32"/>
          <w14:textFill>
            <w14:solidFill>
              <w14:schemeClr w14:val="tx1"/>
            </w14:solidFill>
          </w14:textFill>
        </w:rPr>
        <w:t>突出创新升级、产业衍生，推动商贸流通、住宿餐饮、房地产等传统产业转型升级。</w:t>
      </w:r>
    </w:p>
    <w:p>
      <w:pPr>
        <w:widowControl w:val="0"/>
        <w:adjustRightInd w:val="0"/>
        <w:snapToGrid w:val="0"/>
        <w:spacing w:after="0" w:line="560" w:lineRule="exact"/>
        <w:ind w:firstLine="680" w:firstLineChars="200"/>
        <w:jc w:val="both"/>
        <w:rPr>
          <w:rFonts w:ascii="Times New Roman" w:hAnsi="Times New Roman" w:eastAsia="仿宋_GB2312"/>
          <w:color w:val="000000" w:themeColor="text1"/>
          <w:szCs w:val="32"/>
          <w14:textFill>
            <w14:solidFill>
              <w14:schemeClr w14:val="tx1"/>
            </w14:solidFill>
          </w14:textFill>
        </w:rPr>
      </w:pPr>
      <w:r>
        <w:rPr>
          <w:rFonts w:hint="eastAsia" w:ascii="楷体_GB2312" w:hAnsi="楷体_GB2312" w:eastAsia="楷体_GB2312" w:cs="楷体_GB2312"/>
          <w:b/>
          <w:bCs/>
          <w:color w:val="000000" w:themeColor="text1"/>
          <w:szCs w:val="32"/>
          <w14:textFill>
            <w14:solidFill>
              <w14:schemeClr w14:val="tx1"/>
            </w14:solidFill>
          </w14:textFill>
        </w:rPr>
        <w:t>商贸流通业。</w:t>
      </w:r>
      <w:r>
        <w:rPr>
          <w:rFonts w:ascii="Times New Roman" w:hAnsi="Times New Roman" w:eastAsia="仿宋_GB2312"/>
          <w:color w:val="000000" w:themeColor="text1"/>
          <w:szCs w:val="32"/>
          <w14:textFill>
            <w14:solidFill>
              <w14:schemeClr w14:val="tx1"/>
            </w14:solidFill>
          </w14:textFill>
        </w:rPr>
        <w:t>充分考虑魏都区作为中心城区汇聚人流物流等因素，以满足多层次、多品种购物需求为目的，科学规划、合理调控、强化服务，引导商贸流通业依照市场规律适度超前发展。充分应用现代管理理念和新一代信息技术，促进线上线下融合互动创新发展，加快实体商业企业创新转型，优化商业网点建设和业态配置，打造新零售智慧商圈（街区）。统筹推进市场外迁和升级改造，高水平培育一批线上线下融合、进口出口互动、城市乡村贯通、具有一定价格话语权的专业市场。构建满足多种需要、涵盖多种业态，辐射豫中南的商贸流通体系，积极打造区域商贸中心。</w:t>
      </w:r>
    </w:p>
    <w:tbl>
      <w:tblPr>
        <w:tblStyle w:val="11"/>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22" w:type="dxa"/>
          </w:tcPr>
          <w:p>
            <w:pPr>
              <w:widowControl w:val="0"/>
              <w:adjustRightInd w:val="0"/>
              <w:snapToGrid w:val="0"/>
              <w:spacing w:after="0" w:line="510" w:lineRule="exact"/>
              <w:jc w:val="center"/>
              <w:rPr>
                <w:rFonts w:ascii="黑体" w:hAnsi="黑体" w:eastAsia="黑体" w:cs="黑体"/>
                <w:bCs/>
                <w:color w:val="000000" w:themeColor="text1"/>
                <w:kern w:val="2"/>
                <w:sz w:val="28"/>
                <w:szCs w:val="28"/>
                <w14:textFill>
                  <w14:solidFill>
                    <w14:schemeClr w14:val="tx1"/>
                  </w14:solidFill>
                </w14:textFill>
              </w:rPr>
            </w:pPr>
            <w:r>
              <w:rPr>
                <w:rFonts w:hint="eastAsia" w:ascii="黑体" w:hAnsi="黑体" w:eastAsia="黑体" w:cs="黑体"/>
                <w:bCs/>
                <w:color w:val="000000" w:themeColor="text1"/>
                <w:kern w:val="2"/>
                <w:sz w:val="28"/>
                <w:szCs w:val="28"/>
                <w14:textFill>
                  <w14:solidFill>
                    <w14:schemeClr w14:val="tx1"/>
                  </w14:solidFill>
                </w14:textFill>
              </w:rPr>
              <w:t>专栏</w:t>
            </w:r>
            <w:r>
              <w:rPr>
                <w:rFonts w:hint="eastAsia" w:ascii="Times New Roman" w:hAnsi="Times New Roman" w:eastAsia="黑体" w:cs="黑体"/>
                <w:bCs/>
                <w:color w:val="000000" w:themeColor="text1"/>
                <w:kern w:val="2"/>
                <w:sz w:val="28"/>
                <w:szCs w:val="28"/>
                <w14:textFill>
                  <w14:solidFill>
                    <w14:schemeClr w14:val="tx1"/>
                  </w14:solidFill>
                </w14:textFill>
              </w:rPr>
              <w:t>3</w:t>
            </w:r>
            <w:r>
              <w:rPr>
                <w:rFonts w:hint="eastAsia" w:ascii="黑体" w:hAnsi="黑体" w:eastAsia="黑体" w:cs="黑体"/>
                <w:bCs/>
                <w:color w:val="000000" w:themeColor="text1"/>
                <w:kern w:val="2"/>
                <w:sz w:val="28"/>
                <w:szCs w:val="28"/>
                <w14:textFill>
                  <w14:solidFill>
                    <w14:schemeClr w14:val="tx1"/>
                  </w14:solidFill>
                </w14:textFill>
              </w:rPr>
              <w:t>：商贸项目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22" w:type="dxa"/>
          </w:tcPr>
          <w:p>
            <w:pPr>
              <w:widowControl w:val="0"/>
              <w:adjustRightInd w:val="0"/>
              <w:snapToGrid w:val="0"/>
              <w:spacing w:after="0" w:line="520" w:lineRule="exact"/>
              <w:ind w:firstLine="600" w:firstLineChars="200"/>
              <w:jc w:val="both"/>
              <w:rPr>
                <w:rFonts w:ascii="Times New Roman" w:hAnsi="Times New Roman" w:eastAsia="楷体_GB2312"/>
                <w:color w:val="000000" w:themeColor="text1"/>
                <w:sz w:val="28"/>
                <w:szCs w:val="28"/>
                <w14:textFill>
                  <w14:solidFill>
                    <w14:schemeClr w14:val="tx1"/>
                  </w14:solidFill>
                </w14:textFill>
              </w:rPr>
            </w:pPr>
            <w:r>
              <w:rPr>
                <w:rFonts w:ascii="Times New Roman" w:hAnsi="Times New Roman" w:eastAsia="楷体_GB2312"/>
                <w:b/>
                <w:bCs/>
                <w:color w:val="000000" w:themeColor="text1"/>
                <w:sz w:val="28"/>
                <w:szCs w:val="28"/>
                <w14:textFill>
                  <w14:solidFill>
                    <w14:schemeClr w14:val="tx1"/>
                  </w14:solidFill>
                </w14:textFill>
              </w:rPr>
              <w:t>1、许都之心及周边商业区开发项目。</w:t>
            </w:r>
            <w:r>
              <w:rPr>
                <w:rFonts w:ascii="Times New Roman" w:hAnsi="Times New Roman" w:eastAsia="楷体_GB2312"/>
                <w:color w:val="000000" w:themeColor="text1"/>
                <w:sz w:val="28"/>
                <w:szCs w:val="28"/>
                <w14:textFill>
                  <w14:solidFill>
                    <w14:schemeClr w14:val="tx1"/>
                  </w14:solidFill>
                </w14:textFill>
              </w:rPr>
              <w:t>新建长春路、玉龙街，并以长春路为中轴，以东阳商城为商圈核心，对周边区域进行连片商业开发，打造集餐饮、零售、办公、酒店、游园、广场文化等多功能为一体的城市综合体。</w:t>
            </w:r>
          </w:p>
          <w:p>
            <w:pPr>
              <w:widowControl w:val="0"/>
              <w:adjustRightInd w:val="0"/>
              <w:snapToGrid w:val="0"/>
              <w:spacing w:after="0" w:line="520" w:lineRule="exact"/>
              <w:ind w:firstLine="600" w:firstLineChars="200"/>
              <w:jc w:val="both"/>
              <w:rPr>
                <w:rFonts w:ascii="Times New Roman" w:hAnsi="Times New Roman" w:eastAsia="楷体_GB2312"/>
                <w:color w:val="000000" w:themeColor="text1"/>
                <w:sz w:val="28"/>
                <w:szCs w:val="28"/>
                <w14:textFill>
                  <w14:solidFill>
                    <w14:schemeClr w14:val="tx1"/>
                  </w14:solidFill>
                </w14:textFill>
              </w:rPr>
            </w:pPr>
            <w:r>
              <w:rPr>
                <w:rFonts w:ascii="Times New Roman" w:hAnsi="Times New Roman" w:eastAsia="楷体_GB2312"/>
                <w:b/>
                <w:bCs/>
                <w:color w:val="000000" w:themeColor="text1"/>
                <w:sz w:val="28"/>
                <w:szCs w:val="28"/>
                <w14:textFill>
                  <w14:solidFill>
                    <w14:schemeClr w14:val="tx1"/>
                  </w14:solidFill>
                </w14:textFill>
              </w:rPr>
              <w:t>2、恒大悦龙台商业综合开发项目。</w:t>
            </w:r>
            <w:r>
              <w:rPr>
                <w:rFonts w:ascii="Times New Roman" w:hAnsi="Times New Roman" w:eastAsia="楷体_GB2312"/>
                <w:color w:val="000000" w:themeColor="text1"/>
                <w:sz w:val="28"/>
                <w:szCs w:val="28"/>
                <w14:textFill>
                  <w14:solidFill>
                    <w14:schemeClr w14:val="tx1"/>
                  </w14:solidFill>
                </w14:textFill>
              </w:rPr>
              <w:t>主要建设集高档办公写字楼、大型文娱中心、风情商业街为一体的城市综合体。</w:t>
            </w:r>
          </w:p>
          <w:p>
            <w:pPr>
              <w:pStyle w:val="2"/>
              <w:widowControl w:val="0"/>
              <w:adjustRightInd w:val="0"/>
              <w:snapToGrid w:val="0"/>
              <w:spacing w:after="0" w:line="520" w:lineRule="exact"/>
              <w:ind w:firstLine="600" w:firstLineChars="200"/>
              <w:rPr>
                <w:rFonts w:eastAsia="宋体"/>
                <w:b/>
                <w:bCs/>
                <w:color w:val="000000" w:themeColor="text1"/>
                <w:kern w:val="2"/>
                <w:sz w:val="24"/>
                <w:szCs w:val="24"/>
                <w14:textFill>
                  <w14:solidFill>
                    <w14:schemeClr w14:val="tx1"/>
                  </w14:solidFill>
                </w14:textFill>
              </w:rPr>
            </w:pPr>
            <w:r>
              <w:rPr>
                <w:rFonts w:eastAsia="楷体_GB2312"/>
                <w:b/>
                <w:bCs/>
                <w:color w:val="000000" w:themeColor="text1"/>
                <w:kern w:val="2"/>
                <w:sz w:val="28"/>
                <w:szCs w:val="28"/>
                <w14:textFill>
                  <w14:solidFill>
                    <w14:schemeClr w14:val="tx1"/>
                  </w14:solidFill>
                </w14:textFill>
              </w:rPr>
              <w:t>3、许昌胖东来购物广场及周边商业区建设项目。</w:t>
            </w:r>
            <w:r>
              <w:rPr>
                <w:rFonts w:eastAsia="楷体_GB2312"/>
                <w:color w:val="000000" w:themeColor="text1"/>
                <w:sz w:val="28"/>
                <w:szCs w:val="28"/>
                <w14:textFill>
                  <w14:solidFill>
                    <w14:schemeClr w14:val="tx1"/>
                  </w14:solidFill>
                </w14:textFill>
              </w:rPr>
              <w:t>规划建成集餐饮、娱乐、休闲、购物于一体的多功能商业综合体。</w:t>
            </w:r>
          </w:p>
        </w:tc>
      </w:tr>
    </w:tbl>
    <w:p>
      <w:pPr>
        <w:widowControl w:val="0"/>
        <w:adjustRightInd w:val="0"/>
        <w:snapToGrid w:val="0"/>
        <w:spacing w:after="0" w:line="560" w:lineRule="exact"/>
        <w:ind w:firstLine="680" w:firstLineChars="200"/>
        <w:rPr>
          <w:rFonts w:ascii="Times New Roman" w:hAnsi="Times New Roman" w:eastAsia="仿宋_GB2312"/>
          <w:color w:val="000000" w:themeColor="text1"/>
          <w:szCs w:val="32"/>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住宿餐饮业。</w:t>
      </w:r>
      <w:r>
        <w:rPr>
          <w:rFonts w:ascii="Times New Roman" w:hAnsi="Times New Roman" w:eastAsia="仿宋_GB2312"/>
          <w:color w:val="000000" w:themeColor="text1"/>
          <w:szCs w:val="32"/>
          <w14:textFill>
            <w14:solidFill>
              <w14:schemeClr w14:val="tx1"/>
            </w14:solidFill>
          </w14:textFill>
        </w:rPr>
        <w:t>以满足大众消费需求为导向，努力提升住宿餐饮服务质量和水平，促进住宿餐饮业特色化、绿色化、品牌化、连锁化经营，保护</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老字号</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企业，规范发展绿色饭店、主题酒店、客栈民宿等业态，加强中央厨房、食品安全体系等配套设施建设，引导餐饮企业建设主食加工配送中心、原辅料配送中心，支持住宿餐饮企业与平台公司、创意公司等合作，提升服务体验附加值，引领创造服务新需求。</w:t>
      </w:r>
    </w:p>
    <w:p>
      <w:pPr>
        <w:widowControl w:val="0"/>
        <w:adjustRightInd w:val="0"/>
        <w:snapToGrid w:val="0"/>
        <w:spacing w:after="0" w:line="550" w:lineRule="exact"/>
        <w:ind w:firstLine="680" w:firstLineChars="200"/>
        <w:rPr>
          <w:rFonts w:ascii="Times New Roman" w:hAnsi="Times New Roman" w:eastAsia="仿宋_GB2312"/>
          <w:color w:val="000000" w:themeColor="text1"/>
          <w:szCs w:val="32"/>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房地产。</w:t>
      </w:r>
      <w:r>
        <w:rPr>
          <w:rFonts w:ascii="Times New Roman" w:hAnsi="Times New Roman" w:eastAsia="仿宋_GB2312"/>
          <w:color w:val="000000" w:themeColor="text1"/>
          <w:szCs w:val="32"/>
          <w14:textFill>
            <w14:solidFill>
              <w14:schemeClr w14:val="tx1"/>
            </w14:solidFill>
          </w14:textFill>
        </w:rPr>
        <w:t>始终坚持</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房住不炒</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持续完善住房市场体系和住房保障体系，不断满足居民自住型和改善型住房需求，合理发展健康、养老、旅游、文化、教育等功能性地产。推动房地产企业调整经营思路、租售并举，持续提升开发质量和服务，向</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城乡建设与生活服务商</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转型。促进房地产评估和经纪、土地评估和登记代理机构等服务专业化发展，不断提升物业服务水平，规范发展二手房市场和租赁市场。</w:t>
      </w:r>
    </w:p>
    <w:p>
      <w:pPr>
        <w:pStyle w:val="5"/>
        <w:keepNext w:val="0"/>
        <w:keepLines w:val="0"/>
        <w:widowControl w:val="0"/>
        <w:adjustRightInd w:val="0"/>
        <w:snapToGrid w:val="0"/>
        <w:spacing w:before="297" w:beforeLines="50" w:after="297" w:afterLines="50" w:line="560" w:lineRule="exact"/>
        <w:ind w:firstLine="0" w:firstLineChars="0"/>
      </w:pPr>
      <w:bookmarkStart w:id="69" w:name="_Toc5049"/>
      <w:bookmarkStart w:id="70" w:name="_Toc25326"/>
      <w:r>
        <w:t>第四节  大力发展新兴成长产业</w:t>
      </w:r>
      <w:bookmarkEnd w:id="69"/>
      <w:bookmarkEnd w:id="70"/>
    </w:p>
    <w:p>
      <w:pPr>
        <w:widowControl w:val="0"/>
        <w:adjustRightInd w:val="0"/>
        <w:snapToGrid w:val="0"/>
        <w:spacing w:after="0" w:line="560" w:lineRule="exact"/>
        <w:ind w:firstLine="680" w:firstLineChars="200"/>
        <w:jc w:val="both"/>
        <w:rPr>
          <w:rFonts w:ascii="Times New Roman" w:hAnsi="Times New Roman" w:eastAsia="仿宋_GB2312"/>
          <w:color w:val="000000" w:themeColor="text1"/>
          <w:szCs w:val="32"/>
          <w14:textFill>
            <w14:solidFill>
              <w14:schemeClr w14:val="tx1"/>
            </w14:solidFill>
          </w14:textFill>
        </w:rPr>
      </w:pPr>
      <w:r>
        <w:rPr>
          <w:rFonts w:ascii="Times New Roman" w:hAnsi="Times New Roman" w:eastAsia="仿宋_GB2312"/>
          <w:color w:val="000000" w:themeColor="text1"/>
          <w:szCs w:val="32"/>
          <w14:textFill>
            <w14:solidFill>
              <w14:schemeClr w14:val="tx1"/>
            </w14:solidFill>
          </w14:textFill>
        </w:rPr>
        <w:t>突出培育主体、扩大供给，将家政服务、商务服务、环保服务等新兴产业培育成为经济新增长点。</w:t>
      </w:r>
    </w:p>
    <w:p>
      <w:pPr>
        <w:widowControl w:val="0"/>
        <w:adjustRightInd w:val="0"/>
        <w:snapToGrid w:val="0"/>
        <w:spacing w:after="0" w:line="560" w:lineRule="exact"/>
        <w:ind w:firstLine="680" w:firstLineChars="200"/>
        <w:jc w:val="both"/>
        <w:rPr>
          <w:rFonts w:ascii="Times New Roman" w:hAnsi="Times New Roman" w:eastAsia="仿宋_GB2312"/>
          <w:color w:val="000000" w:themeColor="text1"/>
          <w:szCs w:val="32"/>
          <w14:textFill>
            <w14:solidFill>
              <w14:schemeClr w14:val="tx1"/>
            </w14:solidFill>
          </w14:textFill>
        </w:rPr>
      </w:pPr>
      <w:r>
        <w:rPr>
          <w:rFonts w:hint="eastAsia" w:ascii="楷体_GB2312" w:hAnsi="楷体_GB2312" w:eastAsia="楷体_GB2312" w:cs="楷体_GB2312"/>
          <w:b/>
          <w:bCs/>
          <w:color w:val="000000" w:themeColor="text1"/>
          <w:szCs w:val="32"/>
          <w14:textFill>
            <w14:solidFill>
              <w14:schemeClr w14:val="tx1"/>
            </w14:solidFill>
          </w14:textFill>
        </w:rPr>
        <w:t>家政服务业。</w:t>
      </w:r>
      <w:r>
        <w:rPr>
          <w:rFonts w:ascii="Times New Roman" w:hAnsi="Times New Roman" w:eastAsia="仿宋_GB2312"/>
          <w:color w:val="000000" w:themeColor="text1"/>
          <w:szCs w:val="32"/>
          <w14:textFill>
            <w14:solidFill>
              <w14:schemeClr w14:val="tx1"/>
            </w14:solidFill>
          </w14:textFill>
        </w:rPr>
        <w:t>培育壮大市场主体，支持家政企业连锁化、品牌化发展，推动一批平台公司成为家政行业发展的</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催化剂</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和</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孵化器</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，打造全国知名家政品牌。推进家政服务进社区，建设智能化公共服务平台，为居民提供就近便捷家政服务。推动</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家政+</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 xml:space="preserve">养老、托幼、电商、快递等行业融合发展，培育家政服务新业态，扩大多层次多样化家政服务供给。优化行业发展环境，通过人员培训、信用建设、标准制订、试点示范等方式，提高服务规范化和职业化水平。加强从业人员权益保障机制，吸引更多劳动者从事家政服务。 </w:t>
      </w:r>
    </w:p>
    <w:p>
      <w:pPr>
        <w:widowControl w:val="0"/>
        <w:adjustRightInd w:val="0"/>
        <w:snapToGrid w:val="0"/>
        <w:spacing w:after="0" w:line="560" w:lineRule="exact"/>
        <w:ind w:firstLine="680" w:firstLineChars="200"/>
        <w:jc w:val="both"/>
        <w:rPr>
          <w:rFonts w:ascii="Times New Roman" w:hAnsi="Times New Roman" w:eastAsia="仿宋_GB2312"/>
          <w:color w:val="000000" w:themeColor="text1"/>
          <w:szCs w:val="32"/>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商务服务业。</w:t>
      </w:r>
      <w:r>
        <w:rPr>
          <w:rFonts w:ascii="Times New Roman" w:hAnsi="Times New Roman" w:eastAsia="仿宋_GB2312"/>
          <w:color w:val="000000" w:themeColor="text1"/>
          <w:szCs w:val="32"/>
          <w14:textFill>
            <w14:solidFill>
              <w14:schemeClr w14:val="tx1"/>
            </w14:solidFill>
          </w14:textFill>
        </w:rPr>
        <w:t>完善会展配套基础设施，规划建设综合性会展中心，推动会展业与文化、旅游等产业融合发展，积极承办假发展览会、三国曹魏文化学术交流</w:t>
      </w:r>
      <w:r>
        <w:rPr>
          <w:rFonts w:hint="eastAsia" w:ascii="Times New Roman" w:hAnsi="Times New Roman" w:eastAsia="仿宋_GB2312"/>
          <w:color w:val="000000" w:themeColor="text1"/>
          <w:szCs w:val="32"/>
          <w14:textFill>
            <w14:solidFill>
              <w14:schemeClr w14:val="tx1"/>
            </w14:solidFill>
          </w14:textFill>
        </w:rPr>
        <w:t>会</w:t>
      </w:r>
      <w:r>
        <w:rPr>
          <w:rFonts w:ascii="Times New Roman" w:hAnsi="Times New Roman" w:eastAsia="仿宋_GB2312"/>
          <w:color w:val="000000" w:themeColor="text1"/>
          <w:szCs w:val="32"/>
          <w14:textFill>
            <w14:solidFill>
              <w14:schemeClr w14:val="tx1"/>
            </w14:solidFill>
          </w14:textFill>
        </w:rPr>
        <w:t>等活动。大力发展法律服务、评估监测、会计审计、广告咨询等商务服务，积极发展资产评估、税务代理、勘察设计、工程咨询等专业咨询服务，推动商务服务业专业化、规模化、品牌化发展。</w:t>
      </w:r>
    </w:p>
    <w:p>
      <w:pPr>
        <w:widowControl w:val="0"/>
        <w:adjustRightInd w:val="0"/>
        <w:snapToGrid w:val="0"/>
        <w:spacing w:after="0" w:line="560" w:lineRule="exact"/>
        <w:ind w:firstLine="680" w:firstLineChars="200"/>
        <w:jc w:val="both"/>
        <w:rPr>
          <w:rFonts w:ascii="Times New Roman" w:hAnsi="Times New Roman" w:eastAsia="仿宋_GB2312"/>
          <w:color w:val="000000" w:themeColor="text1"/>
          <w:szCs w:val="32"/>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环保服务业。</w:t>
      </w:r>
      <w:r>
        <w:rPr>
          <w:rFonts w:ascii="Times New Roman" w:hAnsi="Times New Roman" w:eastAsia="仿宋_GB2312"/>
          <w:color w:val="000000" w:themeColor="text1"/>
          <w:szCs w:val="32"/>
          <w14:textFill>
            <w14:solidFill>
              <w14:schemeClr w14:val="tx1"/>
            </w14:solidFill>
          </w14:textFill>
        </w:rPr>
        <w:t>以城乡生活垃圾、餐厨垃圾、城市污泥无害化处置和资源化利用为重点，吸引行业龙头企业参与静脉产业园建设。推动发展环保服务总承包、环境治理特许经营等综合环保服务业，培育壮大环境咨询评估、生态环境修复、排污权交易、绿色认证等新兴环保服务业。推动环保服务企业通过技术合作和资源共享，为用户提供环保咨询、设施运营与管理等一站式污染治理服务。培育城乡垃圾一体化收运、环境第三方监测等社会化环境监测和检测机构，加强监测平台建设。</w:t>
      </w:r>
      <w:bookmarkEnd w:id="61"/>
    </w:p>
    <w:p>
      <w:pPr>
        <w:pStyle w:val="5"/>
        <w:keepNext w:val="0"/>
        <w:keepLines w:val="0"/>
        <w:widowControl w:val="0"/>
        <w:adjustRightInd w:val="0"/>
        <w:snapToGrid w:val="0"/>
        <w:spacing w:before="297" w:beforeLines="50" w:after="297" w:afterLines="50" w:line="560" w:lineRule="exact"/>
        <w:ind w:firstLine="0" w:firstLineChars="0"/>
      </w:pPr>
      <w:bookmarkStart w:id="71" w:name="_Toc1427"/>
      <w:bookmarkStart w:id="72" w:name="_Toc10688"/>
      <w:r>
        <w:t>第五节  打造高品质服务业商圈</w:t>
      </w:r>
      <w:bookmarkEnd w:id="71"/>
      <w:bookmarkEnd w:id="72"/>
    </w:p>
    <w:p>
      <w:pPr>
        <w:widowControl w:val="0"/>
        <w:adjustRightInd w:val="0"/>
        <w:snapToGrid w:val="0"/>
        <w:spacing w:after="0" w:line="560" w:lineRule="exact"/>
        <w:ind w:firstLine="664" w:firstLineChars="200"/>
        <w:jc w:val="both"/>
        <w:rPr>
          <w:rFonts w:ascii="Times New Roman" w:hAnsi="Times New Roman" w:eastAsia="仿宋_GB2312"/>
          <w:color w:val="000000" w:themeColor="text1"/>
          <w:spacing w:val="-4"/>
          <w:szCs w:val="32"/>
          <w14:textFill>
            <w14:solidFill>
              <w14:schemeClr w14:val="tx1"/>
            </w14:solidFill>
          </w14:textFill>
        </w:rPr>
      </w:pPr>
      <w:r>
        <w:rPr>
          <w:rFonts w:ascii="Times New Roman" w:hAnsi="Times New Roman" w:eastAsia="仿宋_GB2312"/>
          <w:color w:val="000000" w:themeColor="text1"/>
          <w:spacing w:val="-4"/>
          <w:szCs w:val="32"/>
          <w14:textFill>
            <w14:solidFill>
              <w14:schemeClr w14:val="tx1"/>
            </w14:solidFill>
          </w14:textFill>
        </w:rPr>
        <w:t>锚定打造许昌市现代服务业中心发展方向，以胖东来时代广场、大商新玛特、万盛城市综合体等项目为龙头引领，以周边各类品牌店、精品店、专业市场为重要支撑，大力发展</w:t>
      </w:r>
      <w:r>
        <w:rPr>
          <w:rFonts w:hint="eastAsia" w:ascii="Times New Roman" w:hAnsi="Times New Roman" w:eastAsia="仿宋_GB2312"/>
          <w:color w:val="000000" w:themeColor="text1"/>
          <w:spacing w:val="-4"/>
          <w:szCs w:val="32"/>
          <w14:textFill>
            <w14:solidFill>
              <w14:schemeClr w14:val="tx1"/>
            </w14:solidFill>
          </w14:textFill>
        </w:rPr>
        <w:t>“</w:t>
      </w:r>
      <w:r>
        <w:rPr>
          <w:rFonts w:ascii="Times New Roman" w:hAnsi="Times New Roman" w:eastAsia="仿宋_GB2312"/>
          <w:color w:val="000000" w:themeColor="text1"/>
          <w:spacing w:val="-4"/>
          <w:szCs w:val="32"/>
          <w14:textFill>
            <w14:solidFill>
              <w14:schemeClr w14:val="tx1"/>
            </w14:solidFill>
          </w14:textFill>
        </w:rPr>
        <w:t>首店经济</w:t>
      </w:r>
      <w:r>
        <w:rPr>
          <w:rFonts w:hint="eastAsia" w:ascii="Times New Roman" w:hAnsi="Times New Roman" w:eastAsia="仿宋_GB2312"/>
          <w:color w:val="000000" w:themeColor="text1"/>
          <w:spacing w:val="-4"/>
          <w:szCs w:val="32"/>
          <w14:textFill>
            <w14:solidFill>
              <w14:schemeClr w14:val="tx1"/>
            </w14:solidFill>
          </w14:textFill>
        </w:rPr>
        <w:t>”</w:t>
      </w:r>
      <w:r>
        <w:rPr>
          <w:rFonts w:ascii="Times New Roman" w:hAnsi="Times New Roman" w:eastAsia="仿宋_GB2312"/>
          <w:color w:val="000000" w:themeColor="text1"/>
          <w:spacing w:val="-4"/>
          <w:szCs w:val="32"/>
          <w14:textFill>
            <w14:solidFill>
              <w14:schemeClr w14:val="tx1"/>
            </w14:solidFill>
          </w14:textFill>
        </w:rPr>
        <w:t>、</w:t>
      </w:r>
      <w:r>
        <w:rPr>
          <w:rFonts w:hint="eastAsia" w:ascii="Times New Roman" w:hAnsi="Times New Roman" w:eastAsia="仿宋_GB2312"/>
          <w:color w:val="000000" w:themeColor="text1"/>
          <w:spacing w:val="-4"/>
          <w:szCs w:val="32"/>
          <w14:textFill>
            <w14:solidFill>
              <w14:schemeClr w14:val="tx1"/>
            </w14:solidFill>
          </w14:textFill>
        </w:rPr>
        <w:t>“</w:t>
      </w:r>
      <w:r>
        <w:rPr>
          <w:rFonts w:ascii="Times New Roman" w:hAnsi="Times New Roman" w:eastAsia="仿宋_GB2312"/>
          <w:color w:val="000000" w:themeColor="text1"/>
          <w:spacing w:val="-4"/>
          <w:szCs w:val="32"/>
          <w14:textFill>
            <w14:solidFill>
              <w14:schemeClr w14:val="tx1"/>
            </w14:solidFill>
          </w14:textFill>
        </w:rPr>
        <w:t>首发经济</w:t>
      </w:r>
      <w:r>
        <w:rPr>
          <w:rFonts w:hint="eastAsia" w:ascii="Times New Roman" w:hAnsi="Times New Roman" w:eastAsia="仿宋_GB2312"/>
          <w:color w:val="000000" w:themeColor="text1"/>
          <w:spacing w:val="-4"/>
          <w:szCs w:val="32"/>
          <w14:textFill>
            <w14:solidFill>
              <w14:schemeClr w14:val="tx1"/>
            </w14:solidFill>
          </w14:textFill>
        </w:rPr>
        <w:t>”</w:t>
      </w:r>
      <w:r>
        <w:rPr>
          <w:rFonts w:ascii="Times New Roman" w:hAnsi="Times New Roman" w:eastAsia="仿宋_GB2312"/>
          <w:color w:val="000000" w:themeColor="text1"/>
          <w:spacing w:val="-4"/>
          <w:szCs w:val="32"/>
          <w14:textFill>
            <w14:solidFill>
              <w14:schemeClr w14:val="tx1"/>
            </w14:solidFill>
          </w14:textFill>
        </w:rPr>
        <w:t>，抢占中原商业零售的</w:t>
      </w:r>
      <w:r>
        <w:rPr>
          <w:rFonts w:hint="eastAsia" w:ascii="Times New Roman" w:hAnsi="Times New Roman" w:eastAsia="仿宋_GB2312"/>
          <w:color w:val="000000" w:themeColor="text1"/>
          <w:spacing w:val="-4"/>
          <w:szCs w:val="32"/>
          <w14:textFill>
            <w14:solidFill>
              <w14:schemeClr w14:val="tx1"/>
            </w14:solidFill>
          </w14:textFill>
        </w:rPr>
        <w:t>“</w:t>
      </w:r>
      <w:r>
        <w:rPr>
          <w:rFonts w:ascii="Times New Roman" w:hAnsi="Times New Roman" w:eastAsia="仿宋_GB2312"/>
          <w:color w:val="000000" w:themeColor="text1"/>
          <w:spacing w:val="-4"/>
          <w:szCs w:val="32"/>
          <w14:textFill>
            <w14:solidFill>
              <w14:schemeClr w14:val="tx1"/>
            </w14:solidFill>
          </w14:textFill>
        </w:rPr>
        <w:t>顶流</w:t>
      </w:r>
      <w:r>
        <w:rPr>
          <w:rFonts w:hint="eastAsia" w:ascii="Times New Roman" w:hAnsi="Times New Roman" w:eastAsia="仿宋_GB2312"/>
          <w:color w:val="000000" w:themeColor="text1"/>
          <w:spacing w:val="-4"/>
          <w:szCs w:val="32"/>
          <w14:textFill>
            <w14:solidFill>
              <w14:schemeClr w14:val="tx1"/>
            </w14:solidFill>
          </w14:textFill>
        </w:rPr>
        <w:t>”</w:t>
      </w:r>
      <w:r>
        <w:rPr>
          <w:rFonts w:ascii="Times New Roman" w:hAnsi="Times New Roman" w:eastAsia="仿宋_GB2312"/>
          <w:color w:val="000000" w:themeColor="text1"/>
          <w:spacing w:val="-4"/>
          <w:szCs w:val="32"/>
          <w14:textFill>
            <w14:solidFill>
              <w14:schemeClr w14:val="tx1"/>
            </w14:solidFill>
          </w14:textFill>
        </w:rPr>
        <w:t>，打造若干具有广泛影响力的现代服务业商圈。加快曹魏古城特色商业街建设，丰富业态品类，注重品质提升，进一步出形象、出规模、见成效，打造以特色商业街为依托，以曹丞相府和站前广场为核心的商文旅融合发展商圈，逐渐培育成为服务中原、面向全国的都市白领网红打卡地，为整体提升许昌城市形象和服务水平赋能。加快银都国际、鑫悦广场、绿洲广场、鼎鑫广</w:t>
      </w:r>
      <w:r>
        <w:rPr>
          <w:rFonts w:ascii="Times New Roman" w:hAnsi="Times New Roman" w:eastAsia="仿宋_GB2312"/>
          <w:color w:val="000000" w:themeColor="text1"/>
          <w:spacing w:val="2"/>
          <w:szCs w:val="32"/>
          <w14:textFill>
            <w14:solidFill>
              <w14:schemeClr w14:val="tx1"/>
            </w14:solidFill>
          </w14:textFill>
        </w:rPr>
        <w:t>场等高端商业住宅圈环境提升，吸引区域型总部、功能型总部、业务型总部经济入驻，形成与其它商圈经济互动发展的良好格局。</w:t>
      </w:r>
    </w:p>
    <w:p>
      <w:pPr>
        <w:pStyle w:val="2"/>
        <w:widowControl w:val="0"/>
        <w:ind w:firstLine="340"/>
      </w:pPr>
      <w:r>
        <w:br w:type="page"/>
      </w:r>
    </w:p>
    <w:p>
      <w:pPr>
        <w:pStyle w:val="4"/>
        <w:keepNext w:val="0"/>
        <w:keepLines w:val="0"/>
        <w:widowControl w:val="0"/>
        <w:adjustRightInd w:val="0"/>
        <w:snapToGrid w:val="0"/>
        <w:spacing w:after="0" w:line="600" w:lineRule="exact"/>
      </w:pPr>
      <w:bookmarkStart w:id="73" w:name="_Toc29378"/>
      <w:bookmarkStart w:id="74" w:name="_Toc4436"/>
      <w:r>
        <w:t>第六章</w:t>
      </w:r>
      <w:r>
        <w:rPr>
          <w:rFonts w:hint="eastAsia"/>
        </w:rPr>
        <w:t xml:space="preserve"> </w:t>
      </w:r>
      <w:r>
        <w:t xml:space="preserve"> 提升城区承载能级，展示中心城区</w:t>
      </w:r>
      <w:bookmarkEnd w:id="73"/>
    </w:p>
    <w:p>
      <w:pPr>
        <w:pStyle w:val="4"/>
        <w:keepNext w:val="0"/>
        <w:keepLines w:val="0"/>
        <w:widowControl w:val="0"/>
        <w:adjustRightInd w:val="0"/>
        <w:snapToGrid w:val="0"/>
        <w:spacing w:after="0" w:line="600" w:lineRule="exact"/>
      </w:pPr>
      <w:bookmarkStart w:id="75" w:name="_Toc29293"/>
      <w:r>
        <w:t>宜居新形象</w:t>
      </w:r>
      <w:bookmarkEnd w:id="75"/>
    </w:p>
    <w:p>
      <w:pPr>
        <w:widowControl w:val="0"/>
        <w:adjustRightInd w:val="0"/>
        <w:snapToGrid w:val="0"/>
        <w:spacing w:after="0" w:line="590" w:lineRule="exact"/>
        <w:ind w:firstLine="640"/>
        <w:rPr>
          <w:rFonts w:ascii="Times New Roman" w:hAnsi="Times New Roman" w:eastAsia="仿宋_GB2312"/>
          <w:color w:val="000000" w:themeColor="text1"/>
          <w:szCs w:val="32"/>
          <w14:textFill>
            <w14:solidFill>
              <w14:schemeClr w14:val="tx1"/>
            </w14:solidFill>
          </w14:textFill>
        </w:rPr>
      </w:pPr>
    </w:p>
    <w:p>
      <w:pPr>
        <w:widowControl w:val="0"/>
        <w:adjustRightInd w:val="0"/>
        <w:snapToGrid w:val="0"/>
        <w:spacing w:after="0" w:line="560" w:lineRule="exact"/>
        <w:ind w:firstLine="680" w:firstLineChars="200"/>
        <w:rPr>
          <w:rFonts w:ascii="Times New Roman" w:hAnsi="Times New Roman" w:eastAsia="仿宋_GB2312"/>
          <w:color w:val="000000" w:themeColor="text1"/>
          <w:szCs w:val="32"/>
          <w14:textFill>
            <w14:solidFill>
              <w14:schemeClr w14:val="tx1"/>
            </w14:solidFill>
          </w14:textFill>
        </w:rPr>
      </w:pPr>
      <w:r>
        <w:rPr>
          <w:rFonts w:ascii="Times New Roman" w:hAnsi="Times New Roman" w:eastAsia="仿宋_GB2312"/>
          <w:color w:val="000000" w:themeColor="text1"/>
          <w:szCs w:val="32"/>
          <w14:textFill>
            <w14:solidFill>
              <w14:schemeClr w14:val="tx1"/>
            </w14:solidFill>
          </w14:textFill>
        </w:rPr>
        <w:t>坚持以人民为中心，遵循城市发展规律，重点实施</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两区、两改、两线、六路</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工程，持续提升城区生态宜居度和综合承载能级。</w:t>
      </w:r>
    </w:p>
    <w:tbl>
      <w:tblPr>
        <w:tblStyle w:val="11"/>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 w:hRule="atLeast"/>
          <w:jc w:val="center"/>
        </w:trPr>
        <w:tc>
          <w:tcPr>
            <w:tcW w:w="8522" w:type="dxa"/>
          </w:tcPr>
          <w:p>
            <w:pPr>
              <w:widowControl w:val="0"/>
              <w:adjustRightInd w:val="0"/>
              <w:snapToGrid w:val="0"/>
              <w:spacing w:after="0" w:line="510" w:lineRule="exact"/>
              <w:jc w:val="center"/>
              <w:rPr>
                <w:rFonts w:ascii="黑体" w:hAnsi="黑体" w:eastAsia="黑体" w:cs="黑体"/>
                <w:bCs/>
                <w:color w:val="000000" w:themeColor="text1"/>
                <w:kern w:val="2"/>
                <w:sz w:val="28"/>
                <w:szCs w:val="28"/>
                <w14:textFill>
                  <w14:solidFill>
                    <w14:schemeClr w14:val="tx1"/>
                  </w14:solidFill>
                </w14:textFill>
              </w:rPr>
            </w:pPr>
            <w:r>
              <w:rPr>
                <w:rFonts w:hint="eastAsia" w:ascii="黑体" w:hAnsi="黑体" w:eastAsia="黑体" w:cs="黑体"/>
                <w:bCs/>
                <w:color w:val="000000" w:themeColor="text1"/>
                <w:kern w:val="2"/>
                <w:sz w:val="28"/>
                <w:szCs w:val="28"/>
                <w14:textFill>
                  <w14:solidFill>
                    <w14:schemeClr w14:val="tx1"/>
                  </w14:solidFill>
                </w14:textFill>
              </w:rPr>
              <w:t>专栏</w:t>
            </w:r>
            <w:r>
              <w:rPr>
                <w:rFonts w:hint="eastAsia" w:ascii="Times New Roman" w:hAnsi="Times New Roman" w:eastAsia="黑体" w:cs="黑体"/>
                <w:bCs/>
                <w:color w:val="000000" w:themeColor="text1"/>
                <w:kern w:val="2"/>
                <w:sz w:val="28"/>
                <w:szCs w:val="28"/>
                <w14:textFill>
                  <w14:solidFill>
                    <w14:schemeClr w14:val="tx1"/>
                  </w14:solidFill>
                </w14:textFill>
              </w:rPr>
              <w:t>4</w:t>
            </w:r>
            <w:r>
              <w:rPr>
                <w:rFonts w:hint="eastAsia" w:ascii="黑体" w:hAnsi="黑体" w:eastAsia="黑体" w:cs="黑体"/>
                <w:bCs/>
                <w:color w:val="000000" w:themeColor="text1"/>
                <w:kern w:val="2"/>
                <w:sz w:val="28"/>
                <w:szCs w:val="28"/>
                <w14:textFill>
                  <w14:solidFill>
                    <w14:schemeClr w14:val="tx1"/>
                  </w14:solidFill>
                </w14:textFill>
              </w:rPr>
              <w:t>：“两区、两改、两线、六路”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22" w:type="dxa"/>
          </w:tcPr>
          <w:p>
            <w:pPr>
              <w:pStyle w:val="2"/>
              <w:widowControl w:val="0"/>
              <w:adjustRightInd w:val="0"/>
              <w:snapToGrid w:val="0"/>
              <w:spacing w:after="0" w:line="520" w:lineRule="exact"/>
              <w:ind w:firstLine="600" w:firstLineChars="200"/>
              <w:rPr>
                <w:rFonts w:eastAsia="楷体_GB2312"/>
                <w:color w:val="000000" w:themeColor="text1"/>
                <w:sz w:val="28"/>
                <w:szCs w:val="28"/>
                <w14:textFill>
                  <w14:solidFill>
                    <w14:schemeClr w14:val="tx1"/>
                  </w14:solidFill>
                </w14:textFill>
              </w:rPr>
            </w:pPr>
            <w:r>
              <w:rPr>
                <w:rFonts w:hint="eastAsia" w:eastAsia="楷体_GB2312"/>
                <w:b/>
                <w:bCs/>
                <w:color w:val="000000" w:themeColor="text1"/>
                <w:sz w:val="28"/>
                <w:szCs w:val="28"/>
                <w14:textFill>
                  <w14:solidFill>
                    <w14:schemeClr w14:val="tx1"/>
                  </w14:solidFill>
                </w14:textFill>
              </w:rPr>
              <w:t>“</w:t>
            </w:r>
            <w:r>
              <w:rPr>
                <w:rFonts w:eastAsia="楷体_GB2312"/>
                <w:b/>
                <w:bCs/>
                <w:color w:val="000000" w:themeColor="text1"/>
                <w:sz w:val="28"/>
                <w:szCs w:val="28"/>
                <w14:textFill>
                  <w14:solidFill>
                    <w14:schemeClr w14:val="tx1"/>
                  </w14:solidFill>
                </w14:textFill>
              </w:rPr>
              <w:t>两区</w:t>
            </w:r>
            <w:r>
              <w:rPr>
                <w:rFonts w:hint="eastAsia" w:eastAsia="楷体_GB2312"/>
                <w:b/>
                <w:bCs/>
                <w:color w:val="000000" w:themeColor="text1"/>
                <w:sz w:val="28"/>
                <w:szCs w:val="28"/>
                <w14:textFill>
                  <w14:solidFill>
                    <w14:schemeClr w14:val="tx1"/>
                  </w14:solidFill>
                </w14:textFill>
              </w:rPr>
              <w:t>”</w:t>
            </w:r>
            <w:r>
              <w:rPr>
                <w:rFonts w:eastAsia="楷体_GB2312"/>
                <w:color w:val="000000" w:themeColor="text1"/>
                <w:sz w:val="28"/>
                <w:szCs w:val="28"/>
                <w14:textFill>
                  <w14:solidFill>
                    <w14:schemeClr w14:val="tx1"/>
                  </w14:solidFill>
                </w14:textFill>
              </w:rPr>
              <w:t>即高标准建设城市基础设施。深化</w:t>
            </w:r>
            <w:r>
              <w:rPr>
                <w:rFonts w:hint="eastAsia" w:eastAsia="楷体_GB2312"/>
                <w:color w:val="000000" w:themeColor="text1"/>
                <w:sz w:val="28"/>
                <w:szCs w:val="28"/>
                <w14:textFill>
                  <w14:solidFill>
                    <w14:schemeClr w14:val="tx1"/>
                  </w14:solidFill>
                </w14:textFill>
              </w:rPr>
              <w:t>“</w:t>
            </w:r>
            <w:r>
              <w:rPr>
                <w:rFonts w:eastAsia="楷体_GB2312"/>
                <w:color w:val="000000" w:themeColor="text1"/>
                <w:sz w:val="28"/>
                <w:szCs w:val="28"/>
                <w14:textFill>
                  <w14:solidFill>
                    <w14:schemeClr w14:val="tx1"/>
                  </w14:solidFill>
                </w14:textFill>
              </w:rPr>
              <w:t>一都一城</w:t>
            </w:r>
            <w:r>
              <w:rPr>
                <w:rFonts w:hint="eastAsia" w:eastAsia="楷体_GB2312"/>
                <w:color w:val="000000" w:themeColor="text1"/>
                <w:sz w:val="28"/>
                <w:szCs w:val="28"/>
                <w14:textFill>
                  <w14:solidFill>
                    <w14:schemeClr w14:val="tx1"/>
                  </w14:solidFill>
                </w14:textFill>
              </w:rPr>
              <w:t>”</w:t>
            </w:r>
            <w:r>
              <w:rPr>
                <w:rFonts w:eastAsia="楷体_GB2312"/>
                <w:color w:val="000000" w:themeColor="text1"/>
                <w:sz w:val="28"/>
                <w:szCs w:val="28"/>
                <w14:textFill>
                  <w14:solidFill>
                    <w14:schemeClr w14:val="tx1"/>
                  </w14:solidFill>
                </w14:textFill>
              </w:rPr>
              <w:t>和双创宜居示范区建设；建立完善老旧小区长效管理机制，全面推动红色物业进入成熟运行轨道，在基层打造系统完善、特色优质、高辨识度的规范化社区。</w:t>
            </w:r>
          </w:p>
          <w:p>
            <w:pPr>
              <w:pStyle w:val="2"/>
              <w:widowControl w:val="0"/>
              <w:adjustRightInd w:val="0"/>
              <w:snapToGrid w:val="0"/>
              <w:spacing w:after="0" w:line="520" w:lineRule="exact"/>
              <w:ind w:firstLine="600" w:firstLineChars="200"/>
              <w:rPr>
                <w:rFonts w:eastAsia="楷体_GB2312"/>
                <w:color w:val="000000" w:themeColor="text1"/>
                <w:sz w:val="28"/>
                <w:szCs w:val="28"/>
                <w14:textFill>
                  <w14:solidFill>
                    <w14:schemeClr w14:val="tx1"/>
                  </w14:solidFill>
                </w14:textFill>
              </w:rPr>
            </w:pPr>
            <w:r>
              <w:rPr>
                <w:rFonts w:hint="eastAsia" w:eastAsia="楷体_GB2312"/>
                <w:b/>
                <w:bCs/>
                <w:color w:val="000000" w:themeColor="text1"/>
                <w:sz w:val="28"/>
                <w:szCs w:val="28"/>
                <w14:textFill>
                  <w14:solidFill>
                    <w14:schemeClr w14:val="tx1"/>
                  </w14:solidFill>
                </w14:textFill>
              </w:rPr>
              <w:t>“</w:t>
            </w:r>
            <w:r>
              <w:rPr>
                <w:rFonts w:eastAsia="楷体_GB2312"/>
                <w:b/>
                <w:bCs/>
                <w:color w:val="000000" w:themeColor="text1"/>
                <w:sz w:val="28"/>
                <w:szCs w:val="28"/>
                <w14:textFill>
                  <w14:solidFill>
                    <w14:schemeClr w14:val="tx1"/>
                  </w14:solidFill>
                </w14:textFill>
              </w:rPr>
              <w:t>两改</w:t>
            </w:r>
            <w:r>
              <w:rPr>
                <w:rFonts w:hint="eastAsia" w:eastAsia="楷体_GB2312"/>
                <w:b/>
                <w:bCs/>
                <w:color w:val="000000" w:themeColor="text1"/>
                <w:sz w:val="28"/>
                <w:szCs w:val="28"/>
                <w14:textFill>
                  <w14:solidFill>
                    <w14:schemeClr w14:val="tx1"/>
                  </w14:solidFill>
                </w14:textFill>
              </w:rPr>
              <w:t>”</w:t>
            </w:r>
            <w:r>
              <w:rPr>
                <w:rFonts w:eastAsia="楷体_GB2312"/>
                <w:color w:val="000000" w:themeColor="text1"/>
                <w:sz w:val="28"/>
                <w:szCs w:val="28"/>
                <w14:textFill>
                  <w14:solidFill>
                    <w14:schemeClr w14:val="tx1"/>
                  </w14:solidFill>
                </w14:textFill>
              </w:rPr>
              <w:t>即高质量打造新型宜居环境。积极学习沿海城市先进经验，打造一批老旧小区改造</w:t>
            </w:r>
            <w:r>
              <w:rPr>
                <w:rFonts w:hint="eastAsia" w:eastAsia="楷体_GB2312"/>
                <w:color w:val="000000" w:themeColor="text1"/>
                <w:sz w:val="28"/>
                <w:szCs w:val="28"/>
                <w14:textFill>
                  <w14:solidFill>
                    <w14:schemeClr w14:val="tx1"/>
                  </w14:solidFill>
                </w14:textFill>
              </w:rPr>
              <w:t>“</w:t>
            </w:r>
            <w:r>
              <w:rPr>
                <w:rFonts w:eastAsia="楷体_GB2312"/>
                <w:color w:val="000000" w:themeColor="text1"/>
                <w:sz w:val="28"/>
                <w:szCs w:val="28"/>
                <w14:textFill>
                  <w14:solidFill>
                    <w14:schemeClr w14:val="tx1"/>
                  </w14:solidFill>
                </w14:textFill>
              </w:rPr>
              <w:t>网红</w:t>
            </w:r>
            <w:r>
              <w:rPr>
                <w:rFonts w:hint="eastAsia" w:eastAsia="楷体_GB2312"/>
                <w:color w:val="000000" w:themeColor="text1"/>
                <w:sz w:val="28"/>
                <w:szCs w:val="28"/>
                <w14:textFill>
                  <w14:solidFill>
                    <w14:schemeClr w14:val="tx1"/>
                  </w14:solidFill>
                </w14:textFill>
              </w:rPr>
              <w:t>”</w:t>
            </w:r>
            <w:r>
              <w:rPr>
                <w:rFonts w:eastAsia="楷体_GB2312"/>
                <w:color w:val="000000" w:themeColor="text1"/>
                <w:sz w:val="28"/>
                <w:szCs w:val="28"/>
                <w14:textFill>
                  <w14:solidFill>
                    <w14:schemeClr w14:val="tx1"/>
                  </w14:solidFill>
                </w14:textFill>
              </w:rPr>
              <w:t>打卡亮点；充分把棚户区改造与城市住房发展规划、保障性住房建设结合起来，按计划、分步骤统筹推进项目建设，实现可持续发展的城市发展目标。</w:t>
            </w:r>
          </w:p>
          <w:p>
            <w:pPr>
              <w:pStyle w:val="2"/>
              <w:widowControl w:val="0"/>
              <w:adjustRightInd w:val="0"/>
              <w:snapToGrid w:val="0"/>
              <w:spacing w:after="0" w:line="520" w:lineRule="exact"/>
              <w:ind w:firstLine="600" w:firstLineChars="200"/>
              <w:rPr>
                <w:rFonts w:eastAsia="楷体_GB2312"/>
                <w:color w:val="000000" w:themeColor="text1"/>
                <w:sz w:val="28"/>
                <w:szCs w:val="28"/>
                <w14:textFill>
                  <w14:solidFill>
                    <w14:schemeClr w14:val="tx1"/>
                  </w14:solidFill>
                </w14:textFill>
              </w:rPr>
            </w:pPr>
            <w:r>
              <w:rPr>
                <w:rFonts w:hint="eastAsia" w:eastAsia="楷体_GB2312"/>
                <w:b/>
                <w:bCs/>
                <w:color w:val="000000" w:themeColor="text1"/>
                <w:sz w:val="28"/>
                <w:szCs w:val="28"/>
                <w14:textFill>
                  <w14:solidFill>
                    <w14:schemeClr w14:val="tx1"/>
                  </w14:solidFill>
                </w14:textFill>
              </w:rPr>
              <w:t>“</w:t>
            </w:r>
            <w:r>
              <w:rPr>
                <w:rFonts w:eastAsia="楷体_GB2312"/>
                <w:b/>
                <w:bCs/>
                <w:color w:val="000000" w:themeColor="text1"/>
                <w:sz w:val="28"/>
                <w:szCs w:val="28"/>
                <w14:textFill>
                  <w14:solidFill>
                    <w14:schemeClr w14:val="tx1"/>
                  </w14:solidFill>
                </w14:textFill>
              </w:rPr>
              <w:t>两线</w:t>
            </w:r>
            <w:r>
              <w:rPr>
                <w:rFonts w:hint="eastAsia" w:eastAsia="楷体_GB2312"/>
                <w:b/>
                <w:bCs/>
                <w:color w:val="000000" w:themeColor="text1"/>
                <w:sz w:val="28"/>
                <w:szCs w:val="28"/>
                <w14:textFill>
                  <w14:solidFill>
                    <w14:schemeClr w14:val="tx1"/>
                  </w14:solidFill>
                </w14:textFill>
              </w:rPr>
              <w:t>”</w:t>
            </w:r>
            <w:r>
              <w:rPr>
                <w:rFonts w:eastAsia="楷体_GB2312"/>
                <w:color w:val="000000" w:themeColor="text1"/>
                <w:sz w:val="28"/>
                <w:szCs w:val="28"/>
                <w14:textFill>
                  <w14:solidFill>
                    <w14:schemeClr w14:val="tx1"/>
                  </w14:solidFill>
                </w14:textFill>
              </w:rPr>
              <w:t>即高水平推进城市示范街打造。按照</w:t>
            </w:r>
            <w:r>
              <w:rPr>
                <w:rFonts w:hint="eastAsia" w:eastAsia="楷体_GB2312"/>
                <w:color w:val="000000" w:themeColor="text1"/>
                <w:sz w:val="28"/>
                <w:szCs w:val="28"/>
                <w14:textFill>
                  <w14:solidFill>
                    <w14:schemeClr w14:val="tx1"/>
                  </w14:solidFill>
                </w14:textFill>
              </w:rPr>
              <w:t>“</w:t>
            </w:r>
            <w:r>
              <w:rPr>
                <w:rFonts w:eastAsia="楷体_GB2312"/>
                <w:color w:val="000000" w:themeColor="text1"/>
                <w:sz w:val="28"/>
                <w:szCs w:val="28"/>
                <w14:textFill>
                  <w14:solidFill>
                    <w14:schemeClr w14:val="tx1"/>
                  </w14:solidFill>
                </w14:textFill>
              </w:rPr>
              <w:t>因地制宜，逐步推进</w:t>
            </w:r>
            <w:r>
              <w:rPr>
                <w:rFonts w:hint="eastAsia" w:eastAsia="楷体_GB2312"/>
                <w:color w:val="000000" w:themeColor="text1"/>
                <w:sz w:val="28"/>
                <w:szCs w:val="28"/>
                <w14:textFill>
                  <w14:solidFill>
                    <w14:schemeClr w14:val="tx1"/>
                  </w14:solidFill>
                </w14:textFill>
              </w:rPr>
              <w:t>”</w:t>
            </w:r>
            <w:r>
              <w:rPr>
                <w:rFonts w:eastAsia="楷体_GB2312"/>
                <w:color w:val="000000" w:themeColor="text1"/>
                <w:sz w:val="28"/>
                <w:szCs w:val="28"/>
                <w14:textFill>
                  <w14:solidFill>
                    <w14:schemeClr w14:val="tx1"/>
                  </w14:solidFill>
                </w14:textFill>
              </w:rPr>
              <w:t>的原则，对灞陵路、天宝路沿线进行深度开发，打造</w:t>
            </w:r>
            <w:r>
              <w:rPr>
                <w:rFonts w:hint="eastAsia" w:eastAsia="楷体_GB2312"/>
                <w:color w:val="000000" w:themeColor="text1"/>
                <w:sz w:val="28"/>
                <w:szCs w:val="28"/>
                <w14:textFill>
                  <w14:solidFill>
                    <w14:schemeClr w14:val="tx1"/>
                  </w14:solidFill>
                </w14:textFill>
              </w:rPr>
              <w:t>“</w:t>
            </w:r>
            <w:r>
              <w:rPr>
                <w:rFonts w:eastAsia="楷体_GB2312"/>
                <w:color w:val="000000" w:themeColor="text1"/>
                <w:sz w:val="28"/>
                <w:szCs w:val="28"/>
                <w14:textFill>
                  <w14:solidFill>
                    <w14:schemeClr w14:val="tx1"/>
                  </w14:solidFill>
                </w14:textFill>
              </w:rPr>
              <w:t>功能完善、品质优良、特色鲜明、风貌美丽、管理精细</w:t>
            </w:r>
            <w:r>
              <w:rPr>
                <w:rFonts w:hint="eastAsia" w:eastAsia="楷体_GB2312"/>
                <w:color w:val="000000" w:themeColor="text1"/>
                <w:sz w:val="28"/>
                <w:szCs w:val="28"/>
                <w14:textFill>
                  <w14:solidFill>
                    <w14:schemeClr w14:val="tx1"/>
                  </w14:solidFill>
                </w14:textFill>
              </w:rPr>
              <w:t>”</w:t>
            </w:r>
            <w:r>
              <w:rPr>
                <w:rFonts w:eastAsia="楷体_GB2312"/>
                <w:color w:val="000000" w:themeColor="text1"/>
                <w:sz w:val="28"/>
                <w:szCs w:val="28"/>
                <w14:textFill>
                  <w14:solidFill>
                    <w14:schemeClr w14:val="tx1"/>
                  </w14:solidFill>
                </w14:textFill>
              </w:rPr>
              <w:t>的示范街、示范路，集中展示我市城市的品质和形象。</w:t>
            </w:r>
          </w:p>
          <w:p>
            <w:pPr>
              <w:pStyle w:val="2"/>
              <w:widowControl w:val="0"/>
              <w:adjustRightInd w:val="0"/>
              <w:snapToGrid w:val="0"/>
              <w:spacing w:after="0" w:line="520" w:lineRule="exact"/>
              <w:ind w:firstLine="600" w:firstLineChars="200"/>
              <w:rPr>
                <w:rFonts w:eastAsia="楷体_GB2312"/>
                <w:color w:val="000000" w:themeColor="text1"/>
                <w:sz w:val="28"/>
                <w:szCs w:val="28"/>
                <w14:textFill>
                  <w14:solidFill>
                    <w14:schemeClr w14:val="tx1"/>
                  </w14:solidFill>
                </w14:textFill>
              </w:rPr>
            </w:pPr>
            <w:r>
              <w:rPr>
                <w:rFonts w:hint="eastAsia" w:eastAsia="楷体_GB2312"/>
                <w:b/>
                <w:bCs/>
                <w:color w:val="000000" w:themeColor="text1"/>
                <w:sz w:val="28"/>
                <w:szCs w:val="28"/>
                <w14:textFill>
                  <w14:solidFill>
                    <w14:schemeClr w14:val="tx1"/>
                  </w14:solidFill>
                </w14:textFill>
              </w:rPr>
              <w:t>“</w:t>
            </w:r>
            <w:r>
              <w:rPr>
                <w:rFonts w:eastAsia="楷体_GB2312"/>
                <w:b/>
                <w:bCs/>
                <w:color w:val="000000" w:themeColor="text1"/>
                <w:sz w:val="28"/>
                <w:szCs w:val="28"/>
                <w14:textFill>
                  <w14:solidFill>
                    <w14:schemeClr w14:val="tx1"/>
                  </w14:solidFill>
                </w14:textFill>
              </w:rPr>
              <w:t>六路</w:t>
            </w:r>
            <w:r>
              <w:rPr>
                <w:rFonts w:hint="eastAsia" w:eastAsia="楷体_GB2312"/>
                <w:b/>
                <w:bCs/>
                <w:color w:val="000000" w:themeColor="text1"/>
                <w:sz w:val="28"/>
                <w:szCs w:val="28"/>
                <w14:textFill>
                  <w14:solidFill>
                    <w14:schemeClr w14:val="tx1"/>
                  </w14:solidFill>
                </w14:textFill>
              </w:rPr>
              <w:t>”</w:t>
            </w:r>
            <w:r>
              <w:rPr>
                <w:rFonts w:eastAsia="楷体_GB2312"/>
                <w:color w:val="000000" w:themeColor="text1"/>
                <w:sz w:val="28"/>
                <w:szCs w:val="28"/>
                <w14:textFill>
                  <w14:solidFill>
                    <w14:schemeClr w14:val="tx1"/>
                  </w14:solidFill>
                </w14:textFill>
              </w:rPr>
              <w:t>即高品质筑造一流精品工程。以陈庄街及下穿工程为试点，大力推行EPC工程总承包模式，在五一路、灞陵路、宏腾路等项目上探索科学、智慧、绿色的生态建设模式，集中精力打造一批许昌市乃至河南省精品市政工程。</w:t>
            </w:r>
          </w:p>
        </w:tc>
      </w:tr>
    </w:tbl>
    <w:p>
      <w:pPr>
        <w:pStyle w:val="2"/>
        <w:widowControl w:val="0"/>
        <w:adjustRightInd w:val="0"/>
        <w:snapToGrid w:val="0"/>
        <w:spacing w:after="0" w:line="590" w:lineRule="exact"/>
        <w:ind w:firstLine="340"/>
        <w:rPr>
          <w:color w:val="000000" w:themeColor="text1"/>
          <w14:textFill>
            <w14:solidFill>
              <w14:schemeClr w14:val="tx1"/>
            </w14:solidFill>
          </w14:textFill>
        </w:rPr>
      </w:pPr>
    </w:p>
    <w:p>
      <w:pPr>
        <w:pStyle w:val="5"/>
        <w:keepNext w:val="0"/>
        <w:keepLines w:val="0"/>
        <w:widowControl w:val="0"/>
        <w:adjustRightInd w:val="0"/>
        <w:snapToGrid w:val="0"/>
        <w:spacing w:before="297" w:beforeLines="50" w:after="297" w:afterLines="50" w:line="560" w:lineRule="exact"/>
        <w:ind w:firstLine="0" w:firstLineChars="0"/>
      </w:pPr>
      <w:bookmarkStart w:id="76" w:name="_Toc12146"/>
      <w:r>
        <w:t>第一节</w:t>
      </w:r>
      <w:r>
        <w:rPr>
          <w:rFonts w:hint="eastAsia"/>
        </w:rPr>
        <w:t xml:space="preserve"> </w:t>
      </w:r>
      <w:r>
        <w:t xml:space="preserve"> 高标准打造双创宜居示范区</w:t>
      </w:r>
      <w:bookmarkEnd w:id="76"/>
    </w:p>
    <w:p>
      <w:pPr>
        <w:pStyle w:val="3"/>
        <w:widowControl w:val="0"/>
        <w:adjustRightInd w:val="0"/>
        <w:snapToGrid w:val="0"/>
        <w:spacing w:after="0" w:line="562" w:lineRule="exact"/>
        <w:ind w:firstLine="680"/>
        <w:rPr>
          <w:bCs/>
          <w:color w:val="000000" w:themeColor="text1"/>
          <w:szCs w:val="32"/>
          <w14:textFill>
            <w14:solidFill>
              <w14:schemeClr w14:val="tx1"/>
            </w14:solidFill>
          </w14:textFill>
        </w:rPr>
      </w:pPr>
      <w:r>
        <w:rPr>
          <w:color w:val="000000" w:themeColor="text1"/>
          <w:szCs w:val="32"/>
          <w14:textFill>
            <w14:solidFill>
              <w14:schemeClr w14:val="tx1"/>
            </w14:solidFill>
          </w14:textFill>
        </w:rPr>
        <w:t>按照</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产城融合、功能完备、职住平衡、生态宜居、交通便利</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的要求，</w:t>
      </w:r>
      <w:r>
        <w:rPr>
          <w:bCs/>
          <w:color w:val="000000" w:themeColor="text1"/>
          <w:szCs w:val="32"/>
          <w14:textFill>
            <w14:solidFill>
              <w14:schemeClr w14:val="tx1"/>
            </w14:solidFill>
          </w14:textFill>
        </w:rPr>
        <w:t>围绕</w:t>
      </w:r>
      <w:r>
        <w:rPr>
          <w:rFonts w:hint="eastAsia"/>
          <w:bCs/>
          <w:color w:val="000000" w:themeColor="text1"/>
          <w:szCs w:val="32"/>
          <w14:textFill>
            <w14:solidFill>
              <w14:schemeClr w14:val="tx1"/>
            </w14:solidFill>
          </w14:textFill>
        </w:rPr>
        <w:t>“</w:t>
      </w:r>
      <w:r>
        <w:rPr>
          <w:bCs/>
          <w:color w:val="000000" w:themeColor="text1"/>
          <w:szCs w:val="32"/>
          <w14:textFill>
            <w14:solidFill>
              <w14:schemeClr w14:val="tx1"/>
            </w14:solidFill>
          </w14:textFill>
        </w:rPr>
        <w:t>三纵三横</w:t>
      </w:r>
      <w:r>
        <w:rPr>
          <w:rFonts w:hint="eastAsia"/>
          <w:bCs/>
          <w:color w:val="000000" w:themeColor="text1"/>
          <w:szCs w:val="32"/>
          <w14:textFill>
            <w14:solidFill>
              <w14:schemeClr w14:val="tx1"/>
            </w14:solidFill>
          </w14:textFill>
        </w:rPr>
        <w:t>”</w:t>
      </w:r>
      <w:r>
        <w:rPr>
          <w:bCs/>
          <w:color w:val="000000" w:themeColor="text1"/>
          <w:szCs w:val="32"/>
          <w14:textFill>
            <w14:solidFill>
              <w14:schemeClr w14:val="tx1"/>
            </w14:solidFill>
          </w14:textFill>
        </w:rPr>
        <w:t>发展框架，统筹推进，分步实施，加快道路设施、游园绿化、公共服务设施建设。按照景观大道标准建设灞陵路、天宝路，加快陈庄街、五一路等主要道路建成通车，有序推进灞陵路、天宝路沿线老旧小区拆迁和土地收储开发，高标准实施道路绿化和水系连通工程，打造中西部城市新形象。完成产业集聚区现有企业的整合搬迁，适时启动区域内社区改造，宜居宜业结合，有序推进公共服务设施、环境卫生设施、市政公用设施、产业配套设施提级扩能，吸引更多创新创业群体入住，释放发展活力，将双创宜居示范区打造成为魏都北部新的经济增长极，成为许昌市建设</w:t>
      </w:r>
      <w:r>
        <w:rPr>
          <w:rFonts w:hint="eastAsia"/>
          <w:bCs/>
          <w:color w:val="000000" w:themeColor="text1"/>
          <w:szCs w:val="32"/>
          <w14:textFill>
            <w14:solidFill>
              <w14:schemeClr w14:val="tx1"/>
            </w14:solidFill>
          </w14:textFill>
        </w:rPr>
        <w:t>“</w:t>
      </w:r>
      <w:r>
        <w:rPr>
          <w:bCs/>
          <w:color w:val="000000" w:themeColor="text1"/>
          <w:szCs w:val="32"/>
          <w14:textFill>
            <w14:solidFill>
              <w14:schemeClr w14:val="tx1"/>
            </w14:solidFill>
          </w14:textFill>
        </w:rPr>
        <w:t>智造之都、宜居之城</w:t>
      </w:r>
      <w:r>
        <w:rPr>
          <w:rFonts w:hint="eastAsia"/>
          <w:bCs/>
          <w:color w:val="000000" w:themeColor="text1"/>
          <w:szCs w:val="32"/>
          <w14:textFill>
            <w14:solidFill>
              <w14:schemeClr w14:val="tx1"/>
            </w14:solidFill>
          </w14:textFill>
        </w:rPr>
        <w:t>”</w:t>
      </w:r>
      <w:r>
        <w:rPr>
          <w:bCs/>
          <w:color w:val="000000" w:themeColor="text1"/>
          <w:szCs w:val="32"/>
          <w14:textFill>
            <w14:solidFill>
              <w14:schemeClr w14:val="tx1"/>
            </w14:solidFill>
          </w14:textFill>
        </w:rPr>
        <w:t>的重要载体，建成全省宜居宜业新标杆。</w:t>
      </w:r>
    </w:p>
    <w:p>
      <w:pPr>
        <w:pStyle w:val="5"/>
        <w:keepNext w:val="0"/>
        <w:keepLines w:val="0"/>
        <w:widowControl w:val="0"/>
        <w:adjustRightInd w:val="0"/>
        <w:snapToGrid w:val="0"/>
        <w:spacing w:before="297" w:beforeLines="50" w:after="297" w:afterLines="50" w:line="562" w:lineRule="exact"/>
        <w:ind w:firstLine="0" w:firstLineChars="0"/>
      </w:pPr>
      <w:bookmarkStart w:id="77" w:name="_Toc20289"/>
      <w:r>
        <w:t>第二节  积极稳妥推进城区改造提升</w:t>
      </w:r>
      <w:bookmarkEnd w:id="77"/>
    </w:p>
    <w:p>
      <w:pPr>
        <w:widowControl w:val="0"/>
        <w:adjustRightInd w:val="0"/>
        <w:snapToGrid w:val="0"/>
        <w:spacing w:after="0" w:line="562" w:lineRule="exact"/>
        <w:ind w:firstLine="640"/>
        <w:jc w:val="both"/>
        <w:rPr>
          <w:rFonts w:ascii="Times New Roman" w:hAnsi="Times New Roman" w:eastAsia="仿宋_GB2312"/>
          <w:bCs/>
          <w:color w:val="000000" w:themeColor="text1"/>
          <w:szCs w:val="32"/>
          <w14:textFill>
            <w14:solidFill>
              <w14:schemeClr w14:val="tx1"/>
            </w14:solidFill>
          </w14:textFill>
        </w:rPr>
      </w:pPr>
      <w:r>
        <w:rPr>
          <w:rFonts w:ascii="Times New Roman" w:hAnsi="Times New Roman" w:eastAsia="仿宋_GB2312"/>
          <w:color w:val="000000" w:themeColor="text1"/>
          <w:szCs w:val="32"/>
          <w14:textFill>
            <w14:solidFill>
              <w14:schemeClr w14:val="tx1"/>
            </w14:solidFill>
          </w14:textFill>
        </w:rPr>
        <w:t>积极、稳妥、有序推进棚户区、老旧小区的改造提升，进一步完善社区生活服务功能，补齐公共服务设施短板，</w:t>
      </w:r>
      <w:r>
        <w:rPr>
          <w:rFonts w:ascii="Times New Roman" w:hAnsi="Times New Roman" w:eastAsia="仿宋_GB2312"/>
          <w:bCs/>
          <w:color w:val="000000" w:themeColor="text1"/>
          <w:szCs w:val="32"/>
          <w14:textFill>
            <w14:solidFill>
              <w14:schemeClr w14:val="tx1"/>
            </w14:solidFill>
          </w14:textFill>
        </w:rPr>
        <w:t>打造城市高品质生活空间，构建城市幸福生活服务圈。</w:t>
      </w:r>
    </w:p>
    <w:p>
      <w:pPr>
        <w:widowControl w:val="0"/>
        <w:adjustRightInd w:val="0"/>
        <w:snapToGrid w:val="0"/>
        <w:spacing w:after="0" w:line="562" w:lineRule="exact"/>
        <w:ind w:firstLine="643"/>
        <w:jc w:val="both"/>
        <w:rPr>
          <w:rFonts w:ascii="Times New Roman" w:hAnsi="Times New Roman" w:eastAsia="仿宋_GB2312"/>
          <w:bCs/>
          <w:color w:val="000000" w:themeColor="text1"/>
          <w:szCs w:val="32"/>
          <w14:textFill>
            <w14:solidFill>
              <w14:schemeClr w14:val="tx1"/>
            </w14:solidFill>
          </w14:textFill>
        </w:rPr>
      </w:pPr>
      <w:r>
        <w:rPr>
          <w:rFonts w:hint="eastAsia" w:ascii="楷体_GB2312" w:hAnsi="楷体_GB2312" w:eastAsia="楷体_GB2312" w:cs="楷体_GB2312"/>
          <w:b/>
          <w:bCs/>
          <w:color w:val="000000" w:themeColor="text1"/>
          <w:szCs w:val="32"/>
          <w14:textFill>
            <w14:solidFill>
              <w14:schemeClr w14:val="tx1"/>
            </w14:solidFill>
          </w14:textFill>
        </w:rPr>
        <w:t>棚户区改造。</w:t>
      </w:r>
      <w:r>
        <w:rPr>
          <w:rFonts w:ascii="Times New Roman" w:hAnsi="Times New Roman" w:eastAsia="仿宋_GB2312"/>
          <w:bCs/>
          <w:color w:val="000000" w:themeColor="text1"/>
          <w:szCs w:val="32"/>
          <w14:textFill>
            <w14:solidFill>
              <w14:schemeClr w14:val="tx1"/>
            </w14:solidFill>
          </w14:textFill>
        </w:rPr>
        <w:t>用足用好国家城乡融合发展改革试验区政策红利，探索设立</w:t>
      </w:r>
      <w:r>
        <w:rPr>
          <w:rFonts w:hint="eastAsia" w:ascii="Times New Roman" w:hAnsi="Times New Roman" w:eastAsia="仿宋_GB2312"/>
          <w:bCs/>
          <w:color w:val="000000" w:themeColor="text1"/>
          <w:szCs w:val="32"/>
          <w14:textFill>
            <w14:solidFill>
              <w14:schemeClr w14:val="tx1"/>
            </w14:solidFill>
          </w14:textFill>
        </w:rPr>
        <w:t>“</w:t>
      </w:r>
      <w:r>
        <w:rPr>
          <w:rFonts w:ascii="Times New Roman" w:hAnsi="Times New Roman" w:eastAsia="仿宋_GB2312"/>
          <w:bCs/>
          <w:color w:val="000000" w:themeColor="text1"/>
          <w:szCs w:val="32"/>
          <w14:textFill>
            <w14:solidFill>
              <w14:schemeClr w14:val="tx1"/>
            </w14:solidFill>
          </w14:textFill>
        </w:rPr>
        <w:t>旧区改造和城市更新</w:t>
      </w:r>
      <w:r>
        <w:rPr>
          <w:rFonts w:hint="eastAsia" w:ascii="Times New Roman" w:hAnsi="Times New Roman" w:eastAsia="仿宋_GB2312"/>
          <w:bCs/>
          <w:color w:val="000000" w:themeColor="text1"/>
          <w:szCs w:val="32"/>
          <w14:textFill>
            <w14:solidFill>
              <w14:schemeClr w14:val="tx1"/>
            </w14:solidFill>
          </w14:textFill>
        </w:rPr>
        <w:t>”</w:t>
      </w:r>
      <w:r>
        <w:rPr>
          <w:rFonts w:ascii="Times New Roman" w:hAnsi="Times New Roman" w:eastAsia="仿宋_GB2312"/>
          <w:bCs/>
          <w:color w:val="000000" w:themeColor="text1"/>
          <w:szCs w:val="32"/>
          <w14:textFill>
            <w14:solidFill>
              <w14:schemeClr w14:val="tx1"/>
            </w14:solidFill>
          </w14:textFill>
        </w:rPr>
        <w:t>专项基金，</w:t>
      </w:r>
      <w:r>
        <w:rPr>
          <w:rFonts w:ascii="Times New Roman" w:hAnsi="Times New Roman" w:eastAsia="仿宋_GB2312"/>
          <w:color w:val="000000" w:themeColor="text1"/>
          <w:szCs w:val="32"/>
          <w14:textFill>
            <w14:solidFill>
              <w14:schemeClr w14:val="tx1"/>
            </w14:solidFill>
          </w14:textFill>
        </w:rPr>
        <w:t>棚户区改造与城市住房发展规划、保障性住房建设相结合，</w:t>
      </w:r>
      <w:r>
        <w:rPr>
          <w:rFonts w:ascii="Times New Roman" w:hAnsi="Times New Roman" w:eastAsia="仿宋_GB2312"/>
          <w:bCs/>
          <w:color w:val="000000" w:themeColor="text1"/>
          <w:szCs w:val="32"/>
          <w14:textFill>
            <w14:solidFill>
              <w14:schemeClr w14:val="tx1"/>
            </w14:solidFill>
          </w14:textFill>
        </w:rPr>
        <w:t>通过优化空间结构、转换土地性质、完善服务设施等方式，推动落实政府主导的改造和更新项目。完成五郎庙社区二期、孙庄社区、洞上社区、庞庄社区、潘窑社区二期、丁庄社区6个棚户区改造续建工程，稳步推进宋庄社区、丁吴庄片区、洪山庙社区、金湾社区、北关社区二期、后刘社区棚户区改造等新建项目。不宜整体改造的城中村采用修缮整治、抽疏建筑、增加设施等方式进行更新，加快补齐各类设施短板，健全社区管理服务机制，加强社会工作者队伍建设，提高居住小区物业服务质量和标准化水平，建设现代社区。</w:t>
      </w:r>
    </w:p>
    <w:p>
      <w:pPr>
        <w:widowControl w:val="0"/>
        <w:adjustRightInd w:val="0"/>
        <w:snapToGrid w:val="0"/>
        <w:spacing w:after="0" w:line="560" w:lineRule="exact"/>
        <w:ind w:firstLine="643"/>
        <w:jc w:val="both"/>
        <w:rPr>
          <w:rFonts w:ascii="Times New Roman" w:hAnsi="Times New Roman" w:eastAsia="仿宋_GB2312"/>
          <w:bCs/>
          <w:color w:val="000000" w:themeColor="text1"/>
          <w:szCs w:val="32"/>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老旧小区改造。</w:t>
      </w:r>
      <w:r>
        <w:rPr>
          <w:rFonts w:ascii="Times New Roman" w:hAnsi="Times New Roman" w:eastAsia="仿宋_GB2312"/>
          <w:bCs/>
          <w:color w:val="000000" w:themeColor="text1"/>
          <w:szCs w:val="32"/>
          <w14:textFill>
            <w14:solidFill>
              <w14:schemeClr w14:val="tx1"/>
            </w14:solidFill>
          </w14:textFill>
        </w:rPr>
        <w:t>紧紧抓住许昌市全国老旧小区改造试点城市的机遇，加快全区老旧小区改造升级，多角度改善老城区人居环境。全面改造完成282个老旧小区，重点完善老旧小区水电路气信和养老</w:t>
      </w:r>
      <w:r>
        <w:rPr>
          <w:rFonts w:hint="eastAsia" w:ascii="Times New Roman" w:hAnsi="Times New Roman" w:eastAsia="仿宋_GB2312"/>
          <w:bCs/>
          <w:color w:val="000000" w:themeColor="text1"/>
          <w:szCs w:val="32"/>
          <w14:textFill>
            <w14:solidFill>
              <w14:schemeClr w14:val="tx1"/>
            </w14:solidFill>
          </w14:textFill>
        </w:rPr>
        <w:t>、</w:t>
      </w:r>
      <w:r>
        <w:rPr>
          <w:rFonts w:ascii="Times New Roman" w:hAnsi="Times New Roman" w:eastAsia="仿宋_GB2312"/>
          <w:bCs/>
          <w:color w:val="000000" w:themeColor="text1"/>
          <w:szCs w:val="32"/>
          <w14:textFill>
            <w14:solidFill>
              <w14:schemeClr w14:val="tx1"/>
            </w14:solidFill>
          </w14:textFill>
        </w:rPr>
        <w:t>托育、停车、便民市场等配套设施。改造完善曹魏古城周边的老旧街区，推动商业步行街品质高端化、业态多样化，打造成为新兴文旅商业消费聚集区。以满足市民需求为导向，增加社区便利店、连锁店、配送中心等商业服务设施，完善公共服务设施，</w:t>
      </w:r>
      <w:r>
        <w:rPr>
          <w:rFonts w:ascii="Times New Roman" w:hAnsi="Times New Roman" w:eastAsia="仿宋_GB2312"/>
          <w:color w:val="000000" w:themeColor="text1"/>
          <w:szCs w:val="32"/>
          <w14:textFill>
            <w14:solidFill>
              <w14:schemeClr w14:val="tx1"/>
            </w14:solidFill>
          </w14:textFill>
        </w:rPr>
        <w:t>打造文化、体育、医疗、养老等服务设施齐全的15分钟生活</w:t>
      </w:r>
      <w:r>
        <w:rPr>
          <w:rFonts w:ascii="Times New Roman" w:hAnsi="Times New Roman" w:eastAsia="仿宋_GB2312"/>
          <w:bCs/>
          <w:color w:val="000000" w:themeColor="text1"/>
          <w:szCs w:val="32"/>
          <w14:textFill>
            <w14:solidFill>
              <w14:schemeClr w14:val="tx1"/>
            </w14:solidFill>
          </w14:textFill>
        </w:rPr>
        <w:t>圈，提高全区人民的幸福指数。</w:t>
      </w:r>
    </w:p>
    <w:p>
      <w:pPr>
        <w:widowControl w:val="0"/>
        <w:adjustRightInd w:val="0"/>
        <w:snapToGrid w:val="0"/>
        <w:spacing w:after="0" w:line="560" w:lineRule="exact"/>
        <w:ind w:firstLine="850" w:firstLineChars="250"/>
        <w:jc w:val="both"/>
        <w:rPr>
          <w:rFonts w:ascii="Times New Roman" w:hAnsi="Times New Roman" w:eastAsia="仿宋_GB2312"/>
          <w:bCs/>
          <w:color w:val="000000" w:themeColor="text1"/>
          <w:szCs w:val="32"/>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建设规范化社区。</w:t>
      </w:r>
      <w:r>
        <w:rPr>
          <w:rFonts w:ascii="Times New Roman" w:hAnsi="Times New Roman" w:eastAsia="仿宋_GB2312"/>
          <w:bCs/>
          <w:color w:val="000000" w:themeColor="text1"/>
          <w:szCs w:val="32"/>
          <w14:textFill>
            <w14:solidFill>
              <w14:schemeClr w14:val="tx1"/>
            </w14:solidFill>
          </w14:textFill>
        </w:rPr>
        <w:t>按照</w:t>
      </w:r>
      <w:r>
        <w:rPr>
          <w:rFonts w:hint="eastAsia" w:ascii="Times New Roman" w:hAnsi="Times New Roman" w:eastAsia="仿宋_GB2312"/>
          <w:bCs/>
          <w:color w:val="000000" w:themeColor="text1"/>
          <w:szCs w:val="32"/>
          <w14:textFill>
            <w14:solidFill>
              <w14:schemeClr w14:val="tx1"/>
            </w14:solidFill>
          </w14:textFill>
        </w:rPr>
        <w:t>“</w:t>
      </w:r>
      <w:r>
        <w:rPr>
          <w:rFonts w:ascii="Times New Roman" w:hAnsi="Times New Roman" w:eastAsia="仿宋_GB2312"/>
          <w:bCs/>
          <w:color w:val="000000" w:themeColor="text1"/>
          <w:szCs w:val="32"/>
          <w14:textFill>
            <w14:solidFill>
              <w14:schemeClr w14:val="tx1"/>
            </w14:solidFill>
          </w14:textFill>
        </w:rPr>
        <w:t>六个规范化</w:t>
      </w:r>
      <w:r>
        <w:rPr>
          <w:rFonts w:hint="eastAsia" w:ascii="Times New Roman" w:hAnsi="Times New Roman" w:eastAsia="仿宋_GB2312"/>
          <w:bCs/>
          <w:color w:val="000000" w:themeColor="text1"/>
          <w:szCs w:val="32"/>
          <w14:textFill>
            <w14:solidFill>
              <w14:schemeClr w14:val="tx1"/>
            </w14:solidFill>
          </w14:textFill>
        </w:rPr>
        <w:t>”</w:t>
      </w:r>
      <w:r>
        <w:rPr>
          <w:rFonts w:ascii="Times New Roman" w:hAnsi="Times New Roman" w:eastAsia="仿宋_GB2312"/>
          <w:bCs/>
          <w:color w:val="000000" w:themeColor="text1"/>
          <w:szCs w:val="32"/>
          <w14:textFill>
            <w14:solidFill>
              <w14:schemeClr w14:val="tx1"/>
            </w14:solidFill>
          </w14:textFill>
        </w:rPr>
        <w:t>标准，实施以</w:t>
      </w:r>
      <w:r>
        <w:rPr>
          <w:rFonts w:hint="eastAsia" w:ascii="Times New Roman" w:hAnsi="Times New Roman" w:eastAsia="仿宋_GB2312"/>
          <w:bCs/>
          <w:color w:val="000000" w:themeColor="text1"/>
          <w:szCs w:val="32"/>
          <w14:textFill>
            <w14:solidFill>
              <w14:schemeClr w14:val="tx1"/>
            </w14:solidFill>
          </w14:textFill>
        </w:rPr>
        <w:t>“</w:t>
      </w:r>
      <w:r>
        <w:rPr>
          <w:rFonts w:ascii="Times New Roman" w:hAnsi="Times New Roman" w:eastAsia="仿宋_GB2312"/>
          <w:bCs/>
          <w:color w:val="000000" w:themeColor="text1"/>
          <w:szCs w:val="32"/>
          <w14:textFill>
            <w14:solidFill>
              <w14:schemeClr w14:val="tx1"/>
            </w14:solidFill>
          </w14:textFill>
        </w:rPr>
        <w:t>一有七中心</w:t>
      </w:r>
      <w:r>
        <w:rPr>
          <w:rFonts w:hint="eastAsia" w:ascii="Times New Roman" w:hAnsi="Times New Roman" w:eastAsia="仿宋_GB2312"/>
          <w:bCs/>
          <w:color w:val="000000" w:themeColor="text1"/>
          <w:szCs w:val="32"/>
          <w14:textFill>
            <w14:solidFill>
              <w14:schemeClr w14:val="tx1"/>
            </w14:solidFill>
          </w14:textFill>
        </w:rPr>
        <w:t>”</w:t>
      </w:r>
      <w:r>
        <w:rPr>
          <w:rFonts w:ascii="Times New Roman" w:hAnsi="Times New Roman" w:eastAsia="仿宋_GB2312"/>
          <w:bCs/>
          <w:color w:val="000000" w:themeColor="text1"/>
          <w:szCs w:val="32"/>
          <w14:textFill>
            <w14:solidFill>
              <w14:schemeClr w14:val="tx1"/>
            </w14:solidFill>
          </w14:textFill>
        </w:rPr>
        <w:t>为主要内容的城市社区规范化建设，创新建设模式，围绕阵地建设、社区党建、组织建设、队伍建设、职能事务、制度机制等方面抓好规范化建设，形成党委政府统一领导、社会各界广泛参与的城市社区规范化建设格局。进一步完善社区长效管理机制，实现小区</w:t>
      </w:r>
      <w:r>
        <w:rPr>
          <w:rFonts w:hint="eastAsia" w:ascii="Times New Roman" w:hAnsi="Times New Roman" w:eastAsia="仿宋_GB2312"/>
          <w:bCs/>
          <w:color w:val="000000" w:themeColor="text1"/>
          <w:szCs w:val="32"/>
          <w14:textFill>
            <w14:solidFill>
              <w14:schemeClr w14:val="tx1"/>
            </w14:solidFill>
          </w14:textFill>
        </w:rPr>
        <w:t>“</w:t>
      </w:r>
      <w:r>
        <w:rPr>
          <w:rFonts w:ascii="Times New Roman" w:hAnsi="Times New Roman" w:eastAsia="仿宋_GB2312"/>
          <w:bCs/>
          <w:color w:val="000000" w:themeColor="text1"/>
          <w:szCs w:val="32"/>
          <w14:textFill>
            <w14:solidFill>
              <w14:schemeClr w14:val="tx1"/>
            </w14:solidFill>
          </w14:textFill>
        </w:rPr>
        <w:t>红色物业</w:t>
      </w:r>
      <w:r>
        <w:rPr>
          <w:rFonts w:hint="eastAsia" w:ascii="Times New Roman" w:hAnsi="Times New Roman" w:eastAsia="仿宋_GB2312"/>
          <w:bCs/>
          <w:color w:val="000000" w:themeColor="text1"/>
          <w:szCs w:val="32"/>
          <w14:textFill>
            <w14:solidFill>
              <w14:schemeClr w14:val="tx1"/>
            </w14:solidFill>
          </w14:textFill>
        </w:rPr>
        <w:t>”</w:t>
      </w:r>
      <w:r>
        <w:rPr>
          <w:rFonts w:ascii="Times New Roman" w:hAnsi="Times New Roman" w:eastAsia="仿宋_GB2312"/>
          <w:bCs/>
          <w:color w:val="000000" w:themeColor="text1"/>
          <w:szCs w:val="32"/>
          <w14:textFill>
            <w14:solidFill>
              <w14:schemeClr w14:val="tx1"/>
            </w14:solidFill>
          </w14:textFill>
        </w:rPr>
        <w:t>管理服务全覆盖，打造系统完善、服务优质、高辨识度的规范化社区。</w:t>
      </w:r>
    </w:p>
    <w:p>
      <w:pPr>
        <w:pStyle w:val="5"/>
        <w:keepNext w:val="0"/>
        <w:keepLines w:val="0"/>
        <w:widowControl w:val="0"/>
        <w:adjustRightInd w:val="0"/>
        <w:snapToGrid w:val="0"/>
        <w:spacing w:before="297" w:beforeLines="50" w:after="297" w:afterLines="50" w:line="560" w:lineRule="exact"/>
        <w:ind w:firstLine="0" w:firstLineChars="0"/>
      </w:pPr>
      <w:bookmarkStart w:id="78" w:name="_Toc2667"/>
      <w:r>
        <w:t>第三节   提升城区综合承载能力</w:t>
      </w:r>
      <w:bookmarkEnd w:id="78"/>
    </w:p>
    <w:p>
      <w:pPr>
        <w:widowControl w:val="0"/>
        <w:adjustRightInd w:val="0"/>
        <w:snapToGrid w:val="0"/>
        <w:spacing w:after="0" w:line="560" w:lineRule="exact"/>
        <w:ind w:firstLine="640"/>
        <w:jc w:val="both"/>
        <w:rPr>
          <w:rFonts w:ascii="Times New Roman" w:hAnsi="Times New Roman" w:eastAsia="仿宋_GB2312"/>
          <w:bCs/>
          <w:color w:val="000000" w:themeColor="text1"/>
          <w:szCs w:val="32"/>
          <w14:textFill>
            <w14:solidFill>
              <w14:schemeClr w14:val="tx1"/>
            </w14:solidFill>
          </w14:textFill>
        </w:rPr>
      </w:pPr>
      <w:r>
        <w:rPr>
          <w:rFonts w:ascii="Times New Roman" w:hAnsi="Times New Roman" w:eastAsia="仿宋_GB2312"/>
          <w:color w:val="000000" w:themeColor="text1"/>
          <w:szCs w:val="32"/>
          <w14:textFill>
            <w14:solidFill>
              <w14:schemeClr w14:val="tx1"/>
            </w14:solidFill>
          </w14:textFill>
        </w:rPr>
        <w:t>持续实施城市建设提质工程，</w:t>
      </w:r>
      <w:r>
        <w:rPr>
          <w:rFonts w:ascii="Times New Roman" w:hAnsi="Times New Roman" w:eastAsia="仿宋_GB2312"/>
          <w:bCs/>
          <w:color w:val="000000" w:themeColor="text1"/>
          <w:szCs w:val="32"/>
          <w14:textFill>
            <w14:solidFill>
              <w14:schemeClr w14:val="tx1"/>
            </w14:solidFill>
          </w14:textFill>
        </w:rPr>
        <w:t>加快补齐城市建设短板，完善城市功能，强化城市承载能力。</w:t>
      </w:r>
    </w:p>
    <w:p>
      <w:pPr>
        <w:widowControl w:val="0"/>
        <w:adjustRightInd w:val="0"/>
        <w:snapToGrid w:val="0"/>
        <w:spacing w:after="0" w:line="560" w:lineRule="exact"/>
        <w:ind w:firstLine="643"/>
        <w:jc w:val="both"/>
        <w:rPr>
          <w:rFonts w:ascii="Times New Roman" w:hAnsi="Times New Roman" w:eastAsia="仿宋_GB2312"/>
          <w:color w:val="000000" w:themeColor="text1"/>
          <w:szCs w:val="32"/>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畅通城市交通。</w:t>
      </w:r>
      <w:r>
        <w:rPr>
          <w:rFonts w:ascii="Times New Roman" w:hAnsi="Times New Roman" w:eastAsia="仿宋_GB2312"/>
          <w:color w:val="000000" w:themeColor="text1"/>
          <w:szCs w:val="32"/>
          <w14:textFill>
            <w14:solidFill>
              <w14:schemeClr w14:val="tx1"/>
            </w14:solidFill>
          </w14:textFill>
        </w:rPr>
        <w:t>重点实施灞陵路、天宝路</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两线</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靓化提升和深度开发，按照景观大道、迎宾大道标准，打造</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功能完善、品质优良、特色鲜明、风貌美丽、管理精细</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的城市示范街区，集中展示我区城市的品质和形象，努力为广大群众创造优美宜居的环境。重点实施劳动路、汉风路、八一路、五一路、陈庄街、文峰路</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六路</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改造提升工程，进一步完善道路、管网等重大基础设施建设。继</w:t>
      </w:r>
      <w:r>
        <w:rPr>
          <w:rFonts w:ascii="Times New Roman" w:hAnsi="Times New Roman" w:eastAsia="仿宋_GB2312"/>
          <w:bCs/>
          <w:color w:val="000000" w:themeColor="text1"/>
          <w:szCs w:val="32"/>
          <w14:textFill>
            <w14:solidFill>
              <w14:schemeClr w14:val="tx1"/>
            </w14:solidFill>
          </w14:textFill>
        </w:rPr>
        <w:t>续实施</w:t>
      </w:r>
      <w:r>
        <w:rPr>
          <w:rFonts w:hint="eastAsia" w:ascii="Times New Roman" w:hAnsi="Times New Roman" w:eastAsia="仿宋_GB2312"/>
          <w:bCs/>
          <w:color w:val="000000" w:themeColor="text1"/>
          <w:szCs w:val="32"/>
          <w14:textFill>
            <w14:solidFill>
              <w14:schemeClr w14:val="tx1"/>
            </w14:solidFill>
          </w14:textFill>
        </w:rPr>
        <w:t>“</w:t>
      </w:r>
      <w:r>
        <w:rPr>
          <w:rFonts w:ascii="Times New Roman" w:hAnsi="Times New Roman" w:eastAsia="仿宋_GB2312"/>
          <w:bCs/>
          <w:color w:val="000000" w:themeColor="text1"/>
          <w:szCs w:val="32"/>
          <w14:textFill>
            <w14:solidFill>
              <w14:schemeClr w14:val="tx1"/>
            </w14:solidFill>
          </w14:textFill>
        </w:rPr>
        <w:t>畅通工程</w:t>
      </w:r>
      <w:r>
        <w:rPr>
          <w:rFonts w:hint="eastAsia" w:ascii="Times New Roman" w:hAnsi="Times New Roman" w:eastAsia="仿宋_GB2312"/>
          <w:bCs/>
          <w:color w:val="000000" w:themeColor="text1"/>
          <w:szCs w:val="32"/>
          <w14:textFill>
            <w14:solidFill>
              <w14:schemeClr w14:val="tx1"/>
            </w14:solidFill>
          </w14:textFill>
        </w:rPr>
        <w:t>”</w:t>
      </w:r>
      <w:r>
        <w:rPr>
          <w:rFonts w:ascii="Times New Roman" w:hAnsi="Times New Roman" w:eastAsia="仿宋_GB2312"/>
          <w:bCs/>
          <w:color w:val="000000" w:themeColor="text1"/>
          <w:szCs w:val="32"/>
          <w14:textFill>
            <w14:solidFill>
              <w14:schemeClr w14:val="tx1"/>
            </w14:solidFill>
          </w14:textFill>
        </w:rPr>
        <w:t>，打通断头路，加密次支路，改造背街小巷道路。完善慢行交通系统，提升步行和自行车交通环境。发展智慧交通，优化停车管理，建设智慧停车场和</w:t>
      </w:r>
      <w:r>
        <w:rPr>
          <w:rFonts w:hint="eastAsia" w:ascii="Times New Roman" w:hAnsi="Times New Roman" w:eastAsia="仿宋_GB2312"/>
          <w:bCs/>
          <w:color w:val="000000" w:themeColor="text1"/>
          <w:szCs w:val="32"/>
          <w14:textFill>
            <w14:solidFill>
              <w14:schemeClr w14:val="tx1"/>
            </w14:solidFill>
          </w14:textFill>
        </w:rPr>
        <w:t>“</w:t>
      </w:r>
      <w:r>
        <w:rPr>
          <w:rFonts w:ascii="Times New Roman" w:hAnsi="Times New Roman" w:eastAsia="仿宋_GB2312"/>
          <w:bCs/>
          <w:color w:val="000000" w:themeColor="text1"/>
          <w:szCs w:val="32"/>
          <w14:textFill>
            <w14:solidFill>
              <w14:schemeClr w14:val="tx1"/>
            </w14:solidFill>
          </w14:textFill>
        </w:rPr>
        <w:t>车-桩-网</w:t>
      </w:r>
      <w:r>
        <w:rPr>
          <w:rFonts w:hint="eastAsia" w:ascii="Times New Roman" w:hAnsi="Times New Roman" w:eastAsia="仿宋_GB2312"/>
          <w:bCs/>
          <w:color w:val="000000" w:themeColor="text1"/>
          <w:szCs w:val="32"/>
          <w14:textFill>
            <w14:solidFill>
              <w14:schemeClr w14:val="tx1"/>
            </w14:solidFill>
          </w14:textFill>
        </w:rPr>
        <w:t>”</w:t>
      </w:r>
      <w:r>
        <w:rPr>
          <w:rFonts w:ascii="Times New Roman" w:hAnsi="Times New Roman" w:eastAsia="仿宋_GB2312"/>
          <w:bCs/>
          <w:color w:val="000000" w:themeColor="text1"/>
          <w:szCs w:val="32"/>
          <w14:textFill>
            <w14:solidFill>
              <w14:schemeClr w14:val="tx1"/>
            </w14:solidFill>
          </w14:textFill>
        </w:rPr>
        <w:t>智能公共充电网络。</w:t>
      </w:r>
      <w:r>
        <w:rPr>
          <w:rFonts w:ascii="Times New Roman" w:hAnsi="Times New Roman" w:eastAsia="仿宋_GB2312"/>
          <w:color w:val="000000" w:themeColor="text1"/>
          <w:szCs w:val="32"/>
          <w14:textFill>
            <w14:solidFill>
              <w14:schemeClr w14:val="tx1"/>
            </w14:solidFill>
          </w14:textFill>
        </w:rPr>
        <w:t>加快推动县乡道路与市政道路的连接</w:t>
      </w:r>
      <w:r>
        <w:rPr>
          <w:rFonts w:ascii="Times New Roman" w:hAnsi="Times New Roman" w:eastAsia="仿宋_GB2312"/>
          <w:bCs/>
          <w:color w:val="000000" w:themeColor="text1"/>
          <w:szCs w:val="32"/>
          <w14:textFill>
            <w14:solidFill>
              <w14:schemeClr w14:val="tx1"/>
            </w14:solidFill>
          </w14:textFill>
        </w:rPr>
        <w:t>，构建便捷畅通的交通体系，有效提高辖区道路通行能力</w:t>
      </w:r>
      <w:r>
        <w:rPr>
          <w:rFonts w:ascii="Times New Roman" w:hAnsi="Times New Roman" w:eastAsia="仿宋_GB2312"/>
          <w:color w:val="000000" w:themeColor="text1"/>
          <w:szCs w:val="32"/>
          <w14:textFill>
            <w14:solidFill>
              <w14:schemeClr w14:val="tx1"/>
            </w14:solidFill>
          </w14:textFill>
        </w:rPr>
        <w:t>。</w:t>
      </w:r>
    </w:p>
    <w:tbl>
      <w:tblPr>
        <w:tblStyle w:val="11"/>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22" w:type="dxa"/>
          </w:tcPr>
          <w:p>
            <w:pPr>
              <w:widowControl w:val="0"/>
              <w:adjustRightInd w:val="0"/>
              <w:snapToGrid w:val="0"/>
              <w:spacing w:after="0" w:line="510" w:lineRule="exact"/>
              <w:jc w:val="center"/>
              <w:rPr>
                <w:rFonts w:ascii="黑体" w:hAnsi="黑体" w:eastAsia="黑体" w:cs="黑体"/>
                <w:bCs/>
                <w:color w:val="000000" w:themeColor="text1"/>
                <w:kern w:val="2"/>
                <w:sz w:val="28"/>
                <w:szCs w:val="28"/>
                <w14:textFill>
                  <w14:solidFill>
                    <w14:schemeClr w14:val="tx1"/>
                  </w14:solidFill>
                </w14:textFill>
              </w:rPr>
            </w:pPr>
            <w:r>
              <w:rPr>
                <w:rFonts w:hint="eastAsia" w:ascii="黑体" w:hAnsi="黑体" w:eastAsia="黑体" w:cs="黑体"/>
                <w:bCs/>
                <w:color w:val="000000" w:themeColor="text1"/>
                <w:kern w:val="2"/>
                <w:sz w:val="28"/>
                <w:szCs w:val="28"/>
                <w14:textFill>
                  <w14:solidFill>
                    <w14:schemeClr w14:val="tx1"/>
                  </w14:solidFill>
                </w14:textFill>
              </w:rPr>
              <w:t>专栏</w:t>
            </w:r>
            <w:r>
              <w:rPr>
                <w:rFonts w:hint="eastAsia" w:ascii="Times New Roman" w:hAnsi="Times New Roman" w:eastAsia="黑体" w:cs="黑体"/>
                <w:bCs/>
                <w:color w:val="000000" w:themeColor="text1"/>
                <w:kern w:val="2"/>
                <w:sz w:val="28"/>
                <w:szCs w:val="28"/>
                <w14:textFill>
                  <w14:solidFill>
                    <w14:schemeClr w14:val="tx1"/>
                  </w14:solidFill>
                </w14:textFill>
              </w:rPr>
              <w:t>5</w:t>
            </w:r>
            <w:r>
              <w:rPr>
                <w:rFonts w:hint="eastAsia" w:ascii="黑体" w:hAnsi="黑体" w:eastAsia="黑体" w:cs="黑体"/>
                <w:bCs/>
                <w:color w:val="000000" w:themeColor="text1"/>
                <w:kern w:val="2"/>
                <w:sz w:val="28"/>
                <w:szCs w:val="28"/>
                <w14:textFill>
                  <w14:solidFill>
                    <w14:schemeClr w14:val="tx1"/>
                  </w14:solidFill>
                </w14:textFill>
              </w:rPr>
              <w:t>：道路交通项目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22" w:type="dxa"/>
          </w:tcPr>
          <w:p>
            <w:pPr>
              <w:pStyle w:val="19"/>
              <w:adjustRightInd w:val="0"/>
              <w:snapToGrid w:val="0"/>
              <w:spacing w:line="520" w:lineRule="exact"/>
              <w:ind w:firstLine="600" w:firstLineChars="200"/>
              <w:rPr>
                <w:rFonts w:eastAsia="楷体_GB2312"/>
                <w:color w:val="000000" w:themeColor="text1"/>
                <w:sz w:val="28"/>
                <w:szCs w:val="28"/>
                <w14:textFill>
                  <w14:solidFill>
                    <w14:schemeClr w14:val="tx1"/>
                  </w14:solidFill>
                </w14:textFill>
              </w:rPr>
            </w:pPr>
            <w:r>
              <w:rPr>
                <w:rFonts w:eastAsia="楷体_GB2312"/>
                <w:b/>
                <w:bCs/>
                <w:color w:val="000000" w:themeColor="text1"/>
                <w:sz w:val="28"/>
                <w:szCs w:val="28"/>
                <w14:textFill>
                  <w14:solidFill>
                    <w14:schemeClr w14:val="tx1"/>
                  </w14:solidFill>
                </w14:textFill>
              </w:rPr>
              <w:t>1、市政道路。</w:t>
            </w:r>
            <w:r>
              <w:rPr>
                <w:rFonts w:eastAsia="楷体_GB2312"/>
                <w:color w:val="000000" w:themeColor="text1"/>
                <w:sz w:val="28"/>
                <w:szCs w:val="28"/>
                <w14:textFill>
                  <w14:solidFill>
                    <w14:schemeClr w14:val="tx1"/>
                  </w14:solidFill>
                </w14:textFill>
              </w:rPr>
              <w:t>重点打造天宝路、灞陵路示范路。完成劳动路、双河路、省道227魏都区段、解放路、丁香路、汉风路、许继大道、宏腾路等，建设五一路、灞陵路、宏腾路等智慧生态路，集中精力打造一批许昌市乃至河南省精品市政工程。</w:t>
            </w:r>
          </w:p>
          <w:p>
            <w:pPr>
              <w:pStyle w:val="19"/>
              <w:adjustRightInd w:val="0"/>
              <w:snapToGrid w:val="0"/>
              <w:spacing w:line="520" w:lineRule="exact"/>
              <w:ind w:firstLine="600" w:firstLineChars="200"/>
              <w:rPr>
                <w:rFonts w:eastAsia="楷体_GB2312"/>
                <w:color w:val="000000" w:themeColor="text1"/>
                <w:sz w:val="28"/>
                <w:szCs w:val="28"/>
                <w14:textFill>
                  <w14:solidFill>
                    <w14:schemeClr w14:val="tx1"/>
                  </w14:solidFill>
                </w14:textFill>
              </w:rPr>
            </w:pPr>
            <w:r>
              <w:rPr>
                <w:rFonts w:eastAsia="楷体_GB2312"/>
                <w:b/>
                <w:bCs/>
                <w:color w:val="000000" w:themeColor="text1"/>
                <w:sz w:val="28"/>
                <w:szCs w:val="28"/>
                <w14:textFill>
                  <w14:solidFill>
                    <w14:schemeClr w14:val="tx1"/>
                  </w14:solidFill>
                </w14:textFill>
              </w:rPr>
              <w:t>2、县乡道建设。</w:t>
            </w:r>
            <w:r>
              <w:rPr>
                <w:rFonts w:eastAsia="楷体_GB2312"/>
                <w:color w:val="000000" w:themeColor="text1"/>
                <w:sz w:val="28"/>
                <w:szCs w:val="28"/>
                <w14:textFill>
                  <w14:solidFill>
                    <w14:schemeClr w14:val="tx1"/>
                  </w14:solidFill>
                </w14:textFill>
              </w:rPr>
              <w:t>将现有41.3公里县乡公路改建为二级道路。打通农村公路</w:t>
            </w:r>
            <w:r>
              <w:rPr>
                <w:rFonts w:hint="eastAsia" w:eastAsia="楷体_GB2312"/>
                <w:color w:val="000000" w:themeColor="text1"/>
                <w:sz w:val="28"/>
                <w:szCs w:val="28"/>
                <w14:textFill>
                  <w14:solidFill>
                    <w14:schemeClr w14:val="tx1"/>
                  </w14:solidFill>
                </w14:textFill>
              </w:rPr>
              <w:t>、</w:t>
            </w:r>
            <w:r>
              <w:rPr>
                <w:rFonts w:eastAsia="楷体_GB2312"/>
                <w:color w:val="000000" w:themeColor="text1"/>
                <w:sz w:val="28"/>
                <w:szCs w:val="28"/>
                <w14:textFill>
                  <w14:solidFill>
                    <w14:schemeClr w14:val="tx1"/>
                  </w14:solidFill>
                </w14:textFill>
              </w:rPr>
              <w:t>断头路，加快实施通村入组硬化路建设，加强农村公路与干线公路联通并向进村入户延伸。</w:t>
            </w:r>
          </w:p>
          <w:p>
            <w:pPr>
              <w:pStyle w:val="19"/>
              <w:adjustRightInd w:val="0"/>
              <w:snapToGrid w:val="0"/>
              <w:spacing w:line="520" w:lineRule="exact"/>
              <w:ind w:firstLine="600" w:firstLineChars="200"/>
              <w:rPr>
                <w:rFonts w:eastAsia="楷体_GB2312"/>
                <w:color w:val="000000" w:themeColor="text1"/>
                <w:sz w:val="28"/>
                <w:szCs w:val="28"/>
                <w14:textFill>
                  <w14:solidFill>
                    <w14:schemeClr w14:val="tx1"/>
                  </w14:solidFill>
                </w14:textFill>
              </w:rPr>
            </w:pPr>
            <w:r>
              <w:rPr>
                <w:rFonts w:eastAsia="楷体_GB2312"/>
                <w:b/>
                <w:bCs/>
                <w:color w:val="000000" w:themeColor="text1"/>
                <w:sz w:val="28"/>
                <w:szCs w:val="28"/>
                <w14:textFill>
                  <w14:solidFill>
                    <w14:schemeClr w14:val="tx1"/>
                  </w14:solidFill>
                </w14:textFill>
              </w:rPr>
              <w:t>3、交通安全设施。</w:t>
            </w:r>
            <w:r>
              <w:rPr>
                <w:rFonts w:eastAsia="楷体_GB2312"/>
                <w:color w:val="000000" w:themeColor="text1"/>
                <w:sz w:val="28"/>
                <w:szCs w:val="28"/>
                <w14:textFill>
                  <w14:solidFill>
                    <w14:schemeClr w14:val="tx1"/>
                  </w14:solidFill>
                </w14:textFill>
              </w:rPr>
              <w:t>加强道路交通安全设施建设，建设清潩河、护城河水上交通安全设施，改造县乡道危桥。</w:t>
            </w:r>
          </w:p>
          <w:p>
            <w:pPr>
              <w:pStyle w:val="19"/>
              <w:adjustRightInd w:val="0"/>
              <w:snapToGrid w:val="0"/>
              <w:spacing w:line="520" w:lineRule="exact"/>
              <w:ind w:firstLine="600" w:firstLineChars="200"/>
              <w:rPr>
                <w:rFonts w:eastAsia="楷体_GB2312"/>
                <w:color w:val="000000" w:themeColor="text1"/>
                <w:sz w:val="28"/>
                <w:szCs w:val="28"/>
                <w14:textFill>
                  <w14:solidFill>
                    <w14:schemeClr w14:val="tx1"/>
                  </w14:solidFill>
                </w14:textFill>
              </w:rPr>
            </w:pPr>
            <w:r>
              <w:rPr>
                <w:rFonts w:eastAsia="楷体_GB2312"/>
                <w:b/>
                <w:bCs/>
                <w:color w:val="000000" w:themeColor="text1"/>
                <w:sz w:val="28"/>
                <w:szCs w:val="28"/>
                <w14:textFill>
                  <w14:solidFill>
                    <w14:schemeClr w14:val="tx1"/>
                  </w14:solidFill>
                </w14:textFill>
              </w:rPr>
              <w:t>4、车站建设：</w:t>
            </w:r>
            <w:r>
              <w:rPr>
                <w:rFonts w:eastAsia="楷体_GB2312"/>
                <w:color w:val="000000" w:themeColor="text1"/>
                <w:sz w:val="28"/>
                <w:szCs w:val="28"/>
                <w14:textFill>
                  <w14:solidFill>
                    <w14:schemeClr w14:val="tx1"/>
                  </w14:solidFill>
                </w14:textFill>
              </w:rPr>
              <w:t>完成汽车南站、汽车西站、汽车北站搬迁。</w:t>
            </w:r>
          </w:p>
          <w:p>
            <w:pPr>
              <w:pStyle w:val="19"/>
              <w:adjustRightInd w:val="0"/>
              <w:snapToGrid w:val="0"/>
              <w:spacing w:line="520" w:lineRule="exact"/>
              <w:ind w:firstLine="600" w:firstLineChars="200"/>
              <w:rPr>
                <w:color w:val="000000" w:themeColor="text1"/>
                <w:sz w:val="24"/>
                <w14:textFill>
                  <w14:solidFill>
                    <w14:schemeClr w14:val="tx1"/>
                  </w14:solidFill>
                </w14:textFill>
              </w:rPr>
            </w:pPr>
            <w:r>
              <w:rPr>
                <w:rFonts w:eastAsia="楷体_GB2312"/>
                <w:b/>
                <w:bCs/>
                <w:color w:val="000000" w:themeColor="text1"/>
                <w:sz w:val="28"/>
                <w:szCs w:val="28"/>
                <w14:textFill>
                  <w14:solidFill>
                    <w14:schemeClr w14:val="tx1"/>
                  </w14:solidFill>
                </w14:textFill>
              </w:rPr>
              <w:t>5、出入市口综合整治及城乡结合部环境综合整治工程：</w:t>
            </w:r>
            <w:r>
              <w:rPr>
                <w:rFonts w:eastAsia="楷体_GB2312"/>
                <w:color w:val="000000" w:themeColor="text1"/>
                <w:sz w:val="28"/>
                <w:szCs w:val="28"/>
                <w14:textFill>
                  <w14:solidFill>
                    <w14:schemeClr w14:val="tx1"/>
                  </w14:solidFill>
                </w14:textFill>
              </w:rPr>
              <w:t>包括311国道许襄段许禹路（西外环至天宝路）、许禹路（西外环至天宝路）、北外环西段（文峰路至西外环）、西外环（北外环至辖区界）等。</w:t>
            </w:r>
          </w:p>
        </w:tc>
      </w:tr>
    </w:tbl>
    <w:p>
      <w:pPr>
        <w:widowControl w:val="0"/>
        <w:adjustRightInd w:val="0"/>
        <w:snapToGrid w:val="0"/>
        <w:spacing w:after="0" w:line="560" w:lineRule="exact"/>
        <w:ind w:firstLine="680" w:firstLineChars="200"/>
        <w:jc w:val="both"/>
        <w:rPr>
          <w:rFonts w:ascii="Times New Roman" w:hAnsi="Times New Roman" w:eastAsia="仿宋_GB2312"/>
          <w:bCs/>
          <w:color w:val="000000" w:themeColor="text1"/>
          <w:szCs w:val="32"/>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打造城市水循环系统。</w:t>
      </w:r>
      <w:r>
        <w:rPr>
          <w:rFonts w:ascii="Times New Roman" w:hAnsi="Times New Roman" w:eastAsia="仿宋_GB2312"/>
          <w:bCs/>
          <w:color w:val="000000" w:themeColor="text1"/>
          <w:szCs w:val="32"/>
          <w14:textFill>
            <w14:solidFill>
              <w14:schemeClr w14:val="tx1"/>
            </w14:solidFill>
          </w14:textFill>
        </w:rPr>
        <w:t>保障供水安全</w:t>
      </w:r>
      <w:r>
        <w:rPr>
          <w:rFonts w:hint="eastAsia" w:ascii="Times New Roman" w:hAnsi="Times New Roman" w:eastAsia="仿宋_GB2312"/>
          <w:bCs/>
          <w:color w:val="000000" w:themeColor="text1"/>
          <w:szCs w:val="32"/>
          <w14:textFill>
            <w14:solidFill>
              <w14:schemeClr w14:val="tx1"/>
            </w14:solidFill>
          </w14:textFill>
        </w:rPr>
        <w:t>，</w:t>
      </w:r>
      <w:r>
        <w:rPr>
          <w:rFonts w:ascii="Times New Roman" w:hAnsi="Times New Roman" w:eastAsia="仿宋_GB2312"/>
          <w:bCs/>
          <w:color w:val="000000" w:themeColor="text1"/>
          <w:szCs w:val="32"/>
          <w14:textFill>
            <w14:solidFill>
              <w14:schemeClr w14:val="tx1"/>
            </w14:solidFill>
          </w14:textFill>
        </w:rPr>
        <w:t>改造提升五一路、华佗路、解放路、光明路等老旧供水管网</w:t>
      </w:r>
      <w:r>
        <w:rPr>
          <w:rFonts w:hint="eastAsia" w:ascii="Times New Roman" w:hAnsi="Times New Roman" w:eastAsia="仿宋_GB2312"/>
          <w:bCs/>
          <w:color w:val="000000" w:themeColor="text1"/>
          <w:szCs w:val="32"/>
          <w14:textFill>
            <w14:solidFill>
              <w14:schemeClr w14:val="tx1"/>
            </w14:solidFill>
          </w14:textFill>
        </w:rPr>
        <w:t>，</w:t>
      </w:r>
      <w:r>
        <w:rPr>
          <w:rFonts w:ascii="Times New Roman" w:hAnsi="Times New Roman" w:eastAsia="仿宋_GB2312"/>
          <w:bCs/>
          <w:color w:val="000000" w:themeColor="text1"/>
          <w:szCs w:val="32"/>
          <w14:textFill>
            <w14:solidFill>
              <w14:schemeClr w14:val="tx1"/>
            </w14:solidFill>
          </w14:textFill>
        </w:rPr>
        <w:t>加快北环外区域及永昌路、天宝路、文峰北路等路段供水管网的建设环通。全面推进涉农社区供水管网的更新改造，实现涉农社区供水全过程智能化管理</w:t>
      </w:r>
      <w:r>
        <w:rPr>
          <w:rFonts w:hint="eastAsia" w:ascii="Times New Roman" w:hAnsi="Times New Roman" w:eastAsia="仿宋_GB2312"/>
          <w:bCs/>
          <w:color w:val="000000" w:themeColor="text1"/>
          <w:szCs w:val="32"/>
          <w14:textFill>
            <w14:solidFill>
              <w14:schemeClr w14:val="tx1"/>
            </w14:solidFill>
          </w14:textFill>
        </w:rPr>
        <w:t>，</w:t>
      </w:r>
      <w:r>
        <w:rPr>
          <w:rFonts w:ascii="Times New Roman" w:hAnsi="Times New Roman" w:eastAsia="仿宋_GB2312"/>
          <w:bCs/>
          <w:color w:val="000000" w:themeColor="text1"/>
          <w:szCs w:val="32"/>
          <w14:textFill>
            <w14:solidFill>
              <w14:schemeClr w14:val="tx1"/>
            </w14:solidFill>
          </w14:textFill>
        </w:rPr>
        <w:t>2025年，涉农社区自来水普及率达到99%以上。加快补齐污水收集和处理设施短板，加大老旧小区雨污分流管网改造力度</w:t>
      </w:r>
      <w:r>
        <w:rPr>
          <w:rFonts w:hint="eastAsia" w:ascii="Times New Roman" w:hAnsi="Times New Roman" w:eastAsia="仿宋_GB2312"/>
          <w:bCs/>
          <w:color w:val="000000" w:themeColor="text1"/>
          <w:szCs w:val="32"/>
          <w14:textFill>
            <w14:solidFill>
              <w14:schemeClr w14:val="tx1"/>
            </w14:solidFill>
          </w14:textFill>
        </w:rPr>
        <w:t>，</w:t>
      </w:r>
      <w:r>
        <w:rPr>
          <w:rFonts w:ascii="Times New Roman" w:hAnsi="Times New Roman" w:eastAsia="仿宋_GB2312"/>
          <w:bCs/>
          <w:color w:val="000000" w:themeColor="text1"/>
          <w:szCs w:val="32"/>
          <w14:textFill>
            <w14:solidFill>
              <w14:schemeClr w14:val="tx1"/>
            </w14:solidFill>
          </w14:textFill>
        </w:rPr>
        <w:t>提标改造宏源污水处理厂，完善滨河路、北外环和东、北护城河污水管网，建设香山污水处理厂。加快推进涉农社区生活污水治理，实现与市区共建共享。2025年城市污水处理率达到99%以上。完善区域防洪排涝设施，重点排查区域易涝点</w:t>
      </w:r>
      <w:r>
        <w:rPr>
          <w:rFonts w:hint="eastAsia" w:ascii="Times New Roman" w:hAnsi="Times New Roman" w:eastAsia="仿宋_GB2312"/>
          <w:bCs/>
          <w:color w:val="000000" w:themeColor="text1"/>
          <w:szCs w:val="32"/>
          <w14:textFill>
            <w14:solidFill>
              <w14:schemeClr w14:val="tx1"/>
            </w14:solidFill>
          </w14:textFill>
        </w:rPr>
        <w:t>，</w:t>
      </w:r>
      <w:r>
        <w:rPr>
          <w:rFonts w:ascii="Times New Roman" w:hAnsi="Times New Roman" w:eastAsia="仿宋_GB2312"/>
          <w:bCs/>
          <w:color w:val="000000" w:themeColor="text1"/>
          <w:szCs w:val="32"/>
          <w14:textFill>
            <w14:solidFill>
              <w14:schemeClr w14:val="tx1"/>
            </w14:solidFill>
          </w14:textFill>
        </w:rPr>
        <w:t>加快实施入河口、积水点改造，实现城区</w:t>
      </w:r>
      <w:r>
        <w:rPr>
          <w:rFonts w:hint="eastAsia" w:ascii="Times New Roman" w:hAnsi="Times New Roman" w:eastAsia="仿宋_GB2312"/>
          <w:bCs/>
          <w:color w:val="000000" w:themeColor="text1"/>
          <w:szCs w:val="32"/>
          <w14:textFill>
            <w14:solidFill>
              <w14:schemeClr w14:val="tx1"/>
            </w14:solidFill>
          </w14:textFill>
        </w:rPr>
        <w:t>“</w:t>
      </w:r>
      <w:r>
        <w:rPr>
          <w:rFonts w:ascii="Times New Roman" w:hAnsi="Times New Roman" w:eastAsia="仿宋_GB2312"/>
          <w:bCs/>
          <w:color w:val="000000" w:themeColor="text1"/>
          <w:szCs w:val="32"/>
          <w14:textFill>
            <w14:solidFill>
              <w14:schemeClr w14:val="tx1"/>
            </w14:solidFill>
          </w14:textFill>
        </w:rPr>
        <w:t>小雨不积水、大雨不内涝</w:t>
      </w:r>
      <w:r>
        <w:rPr>
          <w:rFonts w:hint="eastAsia" w:ascii="Times New Roman" w:hAnsi="Times New Roman" w:eastAsia="仿宋_GB2312"/>
          <w:bCs/>
          <w:color w:val="000000" w:themeColor="text1"/>
          <w:szCs w:val="32"/>
          <w14:textFill>
            <w14:solidFill>
              <w14:schemeClr w14:val="tx1"/>
            </w14:solidFill>
          </w14:textFill>
        </w:rPr>
        <w:t>”</w:t>
      </w:r>
      <w:r>
        <w:rPr>
          <w:rFonts w:ascii="Times New Roman" w:hAnsi="Times New Roman" w:eastAsia="仿宋_GB2312"/>
          <w:bCs/>
          <w:color w:val="000000" w:themeColor="text1"/>
          <w:szCs w:val="32"/>
          <w14:textFill>
            <w14:solidFill>
              <w14:schemeClr w14:val="tx1"/>
            </w14:solidFill>
          </w14:textFill>
        </w:rPr>
        <w:t>。</w:t>
      </w:r>
    </w:p>
    <w:tbl>
      <w:tblPr>
        <w:tblStyle w:val="11"/>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22" w:type="dxa"/>
          </w:tcPr>
          <w:p>
            <w:pPr>
              <w:widowControl w:val="0"/>
              <w:adjustRightInd w:val="0"/>
              <w:snapToGrid w:val="0"/>
              <w:spacing w:after="0" w:line="510" w:lineRule="exact"/>
              <w:jc w:val="center"/>
              <w:rPr>
                <w:rFonts w:ascii="黑体" w:hAnsi="黑体" w:eastAsia="黑体" w:cs="黑体"/>
                <w:bCs/>
                <w:color w:val="000000" w:themeColor="text1"/>
                <w:kern w:val="2"/>
                <w:sz w:val="28"/>
                <w:szCs w:val="28"/>
                <w14:textFill>
                  <w14:solidFill>
                    <w14:schemeClr w14:val="tx1"/>
                  </w14:solidFill>
                </w14:textFill>
              </w:rPr>
            </w:pPr>
            <w:r>
              <w:rPr>
                <w:rFonts w:ascii="黑体" w:hAnsi="黑体" w:eastAsia="黑体" w:cs="黑体"/>
                <w:bCs/>
                <w:color w:val="000000" w:themeColor="text1"/>
                <w:kern w:val="2"/>
                <w:sz w:val="28"/>
                <w:szCs w:val="28"/>
                <w14:textFill>
                  <w14:solidFill>
                    <w14:schemeClr w14:val="tx1"/>
                  </w14:solidFill>
                </w14:textFill>
              </w:rPr>
              <w:t>专栏</w:t>
            </w:r>
            <w:r>
              <w:rPr>
                <w:rFonts w:hint="eastAsia" w:ascii="Times New Roman" w:hAnsi="Times New Roman" w:eastAsia="黑体" w:cs="黑体"/>
                <w:bCs/>
                <w:color w:val="000000" w:themeColor="text1"/>
                <w:kern w:val="2"/>
                <w:sz w:val="28"/>
                <w:szCs w:val="28"/>
                <w14:textFill>
                  <w14:solidFill>
                    <w14:schemeClr w14:val="tx1"/>
                  </w14:solidFill>
                </w14:textFill>
              </w:rPr>
              <w:t>6</w:t>
            </w:r>
            <w:r>
              <w:rPr>
                <w:rFonts w:ascii="黑体" w:hAnsi="黑体" w:eastAsia="黑体" w:cs="黑体"/>
                <w:bCs/>
                <w:color w:val="000000" w:themeColor="text1"/>
                <w:kern w:val="2"/>
                <w:sz w:val="28"/>
                <w:szCs w:val="28"/>
                <w14:textFill>
                  <w14:solidFill>
                    <w14:schemeClr w14:val="tx1"/>
                  </w14:solidFill>
                </w14:textFill>
              </w:rPr>
              <w:t>：供排水设施建设项目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22" w:type="dxa"/>
          </w:tcPr>
          <w:p>
            <w:pPr>
              <w:pStyle w:val="19"/>
              <w:adjustRightInd w:val="0"/>
              <w:snapToGrid w:val="0"/>
              <w:spacing w:line="540" w:lineRule="exact"/>
              <w:ind w:firstLine="480"/>
              <w:rPr>
                <w:rFonts w:eastAsia="楷体_GB2312"/>
                <w:color w:val="000000" w:themeColor="text1"/>
                <w:sz w:val="28"/>
                <w:szCs w:val="28"/>
                <w14:textFill>
                  <w14:solidFill>
                    <w14:schemeClr w14:val="tx1"/>
                  </w14:solidFill>
                </w14:textFill>
              </w:rPr>
            </w:pPr>
            <w:r>
              <w:rPr>
                <w:rFonts w:eastAsia="楷体_GB2312"/>
                <w:b/>
                <w:bCs/>
                <w:color w:val="000000" w:themeColor="text1"/>
                <w:sz w:val="28"/>
                <w:szCs w:val="28"/>
                <w14:textFill>
                  <w14:solidFill>
                    <w14:schemeClr w14:val="tx1"/>
                  </w14:solidFill>
                </w14:textFill>
              </w:rPr>
              <w:t>1、老城区供水管网工程：</w:t>
            </w:r>
            <w:r>
              <w:rPr>
                <w:rFonts w:eastAsia="楷体_GB2312"/>
                <w:color w:val="000000" w:themeColor="text1"/>
                <w:sz w:val="28"/>
                <w:szCs w:val="28"/>
                <w14:textFill>
                  <w14:solidFill>
                    <w14:schemeClr w14:val="tx1"/>
                  </w14:solidFill>
                </w14:textFill>
              </w:rPr>
              <w:t>改造提升五一路、华佗路、解放路、光明路等老旧供水主管网。</w:t>
            </w:r>
          </w:p>
          <w:p>
            <w:pPr>
              <w:pStyle w:val="19"/>
              <w:adjustRightInd w:val="0"/>
              <w:snapToGrid w:val="0"/>
              <w:spacing w:line="540" w:lineRule="exact"/>
              <w:ind w:firstLine="480"/>
              <w:rPr>
                <w:rFonts w:eastAsia="楷体_GB2312"/>
                <w:color w:val="000000" w:themeColor="text1"/>
                <w:sz w:val="28"/>
                <w:szCs w:val="28"/>
                <w14:textFill>
                  <w14:solidFill>
                    <w14:schemeClr w14:val="tx1"/>
                  </w14:solidFill>
                </w14:textFill>
              </w:rPr>
            </w:pPr>
            <w:r>
              <w:rPr>
                <w:rFonts w:eastAsia="楷体_GB2312"/>
                <w:b/>
                <w:bCs/>
                <w:color w:val="000000" w:themeColor="text1"/>
                <w:sz w:val="28"/>
                <w:szCs w:val="28"/>
                <w14:textFill>
                  <w14:solidFill>
                    <w14:schemeClr w14:val="tx1"/>
                  </w14:solidFill>
                </w14:textFill>
              </w:rPr>
              <w:t>2、东、北护城河污水管网改造工程：</w:t>
            </w:r>
            <w:r>
              <w:rPr>
                <w:rFonts w:eastAsia="楷体_GB2312"/>
                <w:color w:val="000000" w:themeColor="text1"/>
                <w:sz w:val="28"/>
                <w:szCs w:val="28"/>
                <w14:textFill>
                  <w14:solidFill>
                    <w14:schemeClr w14:val="tx1"/>
                  </w14:solidFill>
                </w14:textFill>
              </w:rPr>
              <w:t>对护城河局部污水管道及周边排水设施进行治理改造，基本解决护城河水源污染问题。</w:t>
            </w:r>
          </w:p>
          <w:p>
            <w:pPr>
              <w:pStyle w:val="19"/>
              <w:adjustRightInd w:val="0"/>
              <w:snapToGrid w:val="0"/>
              <w:spacing w:line="540" w:lineRule="exact"/>
              <w:ind w:firstLine="480"/>
              <w:rPr>
                <w:rFonts w:eastAsia="楷体_GB2312"/>
                <w:color w:val="000000" w:themeColor="text1"/>
                <w:sz w:val="28"/>
                <w:szCs w:val="28"/>
                <w14:textFill>
                  <w14:solidFill>
                    <w14:schemeClr w14:val="tx1"/>
                  </w14:solidFill>
                </w14:textFill>
              </w:rPr>
            </w:pPr>
            <w:r>
              <w:rPr>
                <w:rFonts w:eastAsia="楷体_GB2312"/>
                <w:b/>
                <w:bCs/>
                <w:color w:val="000000" w:themeColor="text1"/>
                <w:sz w:val="28"/>
                <w:szCs w:val="28"/>
                <w14:textFill>
                  <w14:solidFill>
                    <w14:schemeClr w14:val="tx1"/>
                  </w14:solidFill>
                </w14:textFill>
              </w:rPr>
              <w:t>3、香山污水处理厂建设：</w:t>
            </w:r>
            <w:r>
              <w:rPr>
                <w:rFonts w:eastAsia="楷体_GB2312"/>
                <w:color w:val="000000" w:themeColor="text1"/>
                <w:kern w:val="0"/>
                <w:sz w:val="28"/>
                <w:szCs w:val="28"/>
                <w14:textFill>
                  <w14:solidFill>
                    <w14:schemeClr w14:val="tx1"/>
                  </w14:solidFill>
                </w14:textFill>
              </w:rPr>
              <w:t>新建</w:t>
            </w:r>
            <w:r>
              <w:rPr>
                <w:rFonts w:eastAsia="楷体_GB2312"/>
                <w:color w:val="000000" w:themeColor="text1"/>
                <w:sz w:val="28"/>
                <w:szCs w:val="28"/>
                <w14:textFill>
                  <w14:solidFill>
                    <w14:schemeClr w14:val="tx1"/>
                  </w14:solidFill>
                </w14:textFill>
              </w:rPr>
              <w:t>西区</w:t>
            </w:r>
            <w:r>
              <w:rPr>
                <w:rFonts w:eastAsia="楷体_GB2312"/>
                <w:color w:val="000000" w:themeColor="text1"/>
                <w:kern w:val="0"/>
                <w:sz w:val="28"/>
                <w:szCs w:val="28"/>
                <w14:textFill>
                  <w14:solidFill>
                    <w14:schemeClr w14:val="tx1"/>
                  </w14:solidFill>
                </w14:textFill>
              </w:rPr>
              <w:t>5万吨/天的污水处理厂，完成一期规模3万吨/天工程，</w:t>
            </w:r>
            <w:r>
              <w:rPr>
                <w:rFonts w:eastAsia="楷体_GB2312"/>
                <w:color w:val="000000" w:themeColor="text1"/>
                <w:sz w:val="28"/>
                <w:szCs w:val="28"/>
                <w14:textFill>
                  <w14:solidFill>
                    <w14:schemeClr w14:val="tx1"/>
                  </w14:solidFill>
                </w14:textFill>
              </w:rPr>
              <w:t>提升全市污水处理保障能力和再生水利用能力。</w:t>
            </w:r>
          </w:p>
          <w:p>
            <w:pPr>
              <w:pStyle w:val="19"/>
              <w:adjustRightInd w:val="0"/>
              <w:snapToGrid w:val="0"/>
              <w:spacing w:line="540" w:lineRule="exact"/>
              <w:ind w:firstLine="480"/>
              <w:rPr>
                <w:rFonts w:eastAsia="楷体_GB2312"/>
                <w:color w:val="000000" w:themeColor="text1"/>
                <w:sz w:val="28"/>
                <w:szCs w:val="28"/>
                <w14:textFill>
                  <w14:solidFill>
                    <w14:schemeClr w14:val="tx1"/>
                  </w14:solidFill>
                </w14:textFill>
              </w:rPr>
            </w:pPr>
            <w:r>
              <w:rPr>
                <w:rFonts w:eastAsia="楷体_GB2312"/>
                <w:b/>
                <w:bCs/>
                <w:color w:val="000000" w:themeColor="text1"/>
                <w:sz w:val="28"/>
                <w:szCs w:val="28"/>
                <w14:textFill>
                  <w14:solidFill>
                    <w14:schemeClr w14:val="tx1"/>
                  </w14:solidFill>
                </w14:textFill>
              </w:rPr>
              <w:t>4、宏源污水厂提标改造：</w:t>
            </w:r>
            <w:r>
              <w:rPr>
                <w:rFonts w:eastAsia="楷体_GB2312"/>
                <w:color w:val="000000" w:themeColor="text1"/>
                <w:sz w:val="28"/>
                <w:szCs w:val="28"/>
                <w14:textFill>
                  <w14:solidFill>
                    <w14:schemeClr w14:val="tx1"/>
                  </w14:solidFill>
                </w14:textFill>
              </w:rPr>
              <w:t>对晨鸣污水处理厂排放IV类水经湿地再次生物处理达标III类水后排入小泥河，补充河道水量。</w:t>
            </w:r>
          </w:p>
          <w:p>
            <w:pPr>
              <w:pStyle w:val="19"/>
              <w:adjustRightInd w:val="0"/>
              <w:snapToGrid w:val="0"/>
              <w:spacing w:line="540" w:lineRule="exact"/>
              <w:ind w:firstLine="480"/>
              <w:rPr>
                <w:color w:val="000000" w:themeColor="text1"/>
                <w:sz w:val="24"/>
                <w14:textFill>
                  <w14:solidFill>
                    <w14:schemeClr w14:val="tx1"/>
                  </w14:solidFill>
                </w14:textFill>
              </w:rPr>
            </w:pPr>
            <w:r>
              <w:rPr>
                <w:rFonts w:eastAsia="楷体_GB2312"/>
                <w:b/>
                <w:bCs/>
                <w:color w:val="000000" w:themeColor="text1"/>
                <w:sz w:val="28"/>
                <w:szCs w:val="28"/>
                <w14:textFill>
                  <w14:solidFill>
                    <w14:schemeClr w14:val="tx1"/>
                  </w14:solidFill>
                </w14:textFill>
              </w:rPr>
              <w:t>5、老旧小区雨污管网分流改造项目：</w:t>
            </w:r>
            <w:r>
              <w:rPr>
                <w:rFonts w:eastAsia="楷体_GB2312"/>
                <w:color w:val="000000" w:themeColor="text1"/>
                <w:sz w:val="28"/>
                <w:szCs w:val="28"/>
                <w14:textFill>
                  <w14:solidFill>
                    <w14:schemeClr w14:val="tx1"/>
                  </w14:solidFill>
                </w14:textFill>
              </w:rPr>
              <w:t>重点改造中心城区老旧小区污水管网，实现雨污分流。</w:t>
            </w:r>
          </w:p>
        </w:tc>
      </w:tr>
    </w:tbl>
    <w:p>
      <w:pPr>
        <w:widowControl w:val="0"/>
        <w:adjustRightInd w:val="0"/>
        <w:snapToGrid w:val="0"/>
        <w:spacing w:after="0" w:line="560" w:lineRule="exact"/>
        <w:ind w:firstLine="680" w:firstLineChars="200"/>
        <w:jc w:val="both"/>
        <w:rPr>
          <w:rFonts w:ascii="Times New Roman" w:hAnsi="Times New Roman" w:eastAsia="仿宋_GB2312"/>
          <w:color w:val="000000" w:themeColor="text1"/>
          <w:szCs w:val="32"/>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加快新型信息基础设施建设。</w:t>
      </w:r>
      <w:r>
        <w:rPr>
          <w:rFonts w:ascii="Times New Roman" w:hAnsi="Times New Roman" w:eastAsia="仿宋_GB2312"/>
          <w:color w:val="000000" w:themeColor="text1"/>
          <w:szCs w:val="32"/>
          <w14:textFill>
            <w14:solidFill>
              <w14:schemeClr w14:val="tx1"/>
            </w14:solidFill>
          </w14:textFill>
        </w:rPr>
        <w:t>实施</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宽带许昌</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行动计划，构建高速大容量光通信传输系统，加快</w:t>
      </w:r>
      <w:r>
        <w:rPr>
          <w:rFonts w:ascii="Times New Roman" w:hAnsi="Times New Roman" w:eastAsia="仿宋_GB2312"/>
          <w:bCs/>
          <w:color w:val="000000" w:themeColor="text1"/>
          <w:szCs w:val="32"/>
          <w14:textFill>
            <w14:solidFill>
              <w14:schemeClr w14:val="tx1"/>
            </w14:solidFill>
          </w14:textFill>
        </w:rPr>
        <w:t>5G等新一代信息基础设施建设，</w:t>
      </w:r>
      <w:r>
        <w:rPr>
          <w:rFonts w:ascii="Times New Roman" w:hAnsi="Times New Roman" w:eastAsia="仿宋_GB2312"/>
          <w:color w:val="000000" w:themeColor="text1"/>
          <w:szCs w:val="32"/>
          <w14:textFill>
            <w14:solidFill>
              <w14:schemeClr w14:val="tx1"/>
            </w14:solidFill>
          </w14:textFill>
        </w:rPr>
        <w:t>推进</w:t>
      </w:r>
      <w:r>
        <w:rPr>
          <w:rFonts w:ascii="Times New Roman" w:hAnsi="Times New Roman" w:eastAsia="仿宋_GB2312"/>
          <w:bCs/>
          <w:color w:val="000000" w:themeColor="text1"/>
          <w:szCs w:val="32"/>
          <w14:textFill>
            <w14:solidFill>
              <w14:schemeClr w14:val="tx1"/>
            </w14:solidFill>
          </w14:textFill>
        </w:rPr>
        <w:t>5G+工业互联网、智能网联汽车、医养健康、智慧城市等系列应用场景建设。</w:t>
      </w:r>
      <w:r>
        <w:rPr>
          <w:rFonts w:ascii="Times New Roman" w:hAnsi="Times New Roman" w:eastAsia="仿宋_GB2312"/>
          <w:color w:val="000000" w:themeColor="text1"/>
          <w:szCs w:val="32"/>
          <w14:textFill>
            <w14:solidFill>
              <w14:schemeClr w14:val="tx1"/>
            </w14:solidFill>
          </w14:textFill>
        </w:rPr>
        <w:t>推动融合基础设施对传统基础设施转型升级支撑能力显著提升，推进电网、交通、环保、水资源等城市公共服务设施的智慧化升级，实现电力、水务、燃气、交通路网等全面信息化。加快窄带物联网网络覆盖</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全面提升IP</w:t>
      </w:r>
      <w:r>
        <w:rPr>
          <w:rFonts w:hint="eastAsia" w:ascii="Times New Roman" w:hAnsi="Times New Roman" w:eastAsia="仿宋_GB2312"/>
          <w:color w:val="000000" w:themeColor="text1"/>
          <w:szCs w:val="32"/>
          <w14:textFill>
            <w14:solidFill>
              <w14:schemeClr w14:val="tx1"/>
            </w14:solidFill>
          </w14:textFill>
        </w:rPr>
        <w:t>v</w:t>
      </w:r>
      <w:r>
        <w:rPr>
          <w:rFonts w:ascii="Times New Roman" w:hAnsi="Times New Roman" w:eastAsia="仿宋_GB2312"/>
          <w:color w:val="000000" w:themeColor="text1"/>
          <w:szCs w:val="32"/>
          <w14:textFill>
            <w14:solidFill>
              <w14:schemeClr w14:val="tx1"/>
            </w14:solidFill>
          </w14:textFill>
        </w:rPr>
        <w:t>6用户普及率和网络接入覆盖率。</w:t>
      </w:r>
    </w:p>
    <w:p>
      <w:pPr>
        <w:pStyle w:val="2"/>
        <w:widowControl w:val="0"/>
        <w:adjustRightInd w:val="0"/>
        <w:snapToGrid w:val="0"/>
        <w:ind w:firstLine="340"/>
      </w:pPr>
    </w:p>
    <w:p>
      <w:pPr>
        <w:pStyle w:val="2"/>
        <w:widowControl w:val="0"/>
        <w:adjustRightInd w:val="0"/>
        <w:snapToGrid w:val="0"/>
        <w:ind w:firstLine="340"/>
      </w:pPr>
    </w:p>
    <w:p>
      <w:pPr>
        <w:pStyle w:val="2"/>
        <w:widowControl w:val="0"/>
        <w:adjustRightInd w:val="0"/>
        <w:snapToGrid w:val="0"/>
        <w:ind w:firstLine="340"/>
      </w:pPr>
    </w:p>
    <w:p>
      <w:pPr>
        <w:pStyle w:val="2"/>
        <w:widowControl w:val="0"/>
        <w:adjustRightInd w:val="0"/>
        <w:snapToGrid w:val="0"/>
        <w:ind w:firstLine="340"/>
      </w:pPr>
    </w:p>
    <w:p>
      <w:pPr>
        <w:pStyle w:val="2"/>
        <w:widowControl w:val="0"/>
        <w:adjustRightInd w:val="0"/>
        <w:snapToGrid w:val="0"/>
        <w:ind w:firstLine="340"/>
      </w:pPr>
    </w:p>
    <w:p>
      <w:pPr>
        <w:widowControl w:val="0"/>
        <w:spacing w:after="0" w:line="240" w:lineRule="auto"/>
        <w:rPr>
          <w:rFonts w:ascii="Times New Roman" w:hAnsi="Times New Roman" w:eastAsia="仿宋_GB2312"/>
        </w:rPr>
      </w:pPr>
      <w:r>
        <w:br w:type="page"/>
      </w:r>
    </w:p>
    <w:p>
      <w:pPr>
        <w:pStyle w:val="4"/>
        <w:keepNext w:val="0"/>
        <w:keepLines w:val="0"/>
        <w:widowControl w:val="0"/>
        <w:adjustRightInd w:val="0"/>
        <w:snapToGrid w:val="0"/>
        <w:spacing w:after="0" w:line="600" w:lineRule="exact"/>
      </w:pPr>
      <w:bookmarkStart w:id="79" w:name="_Toc26943"/>
      <w:bookmarkStart w:id="80" w:name="_Toc27547"/>
      <w:r>
        <w:t>第七章  坚持绿色发展理念</w:t>
      </w:r>
      <w:bookmarkEnd w:id="74"/>
      <w:bookmarkEnd w:id="79"/>
      <w:r>
        <w:rPr>
          <w:rFonts w:hint="eastAsia"/>
        </w:rPr>
        <w:t>，</w:t>
      </w:r>
      <w:r>
        <w:t>再上生态环境保护质量新台阶</w:t>
      </w:r>
      <w:bookmarkEnd w:id="80"/>
    </w:p>
    <w:p>
      <w:pPr>
        <w:widowControl w:val="0"/>
        <w:adjustRightInd w:val="0"/>
        <w:snapToGrid w:val="0"/>
        <w:spacing w:after="0" w:line="560" w:lineRule="exact"/>
        <w:ind w:firstLine="640"/>
        <w:rPr>
          <w:rFonts w:ascii="Times New Roman" w:hAnsi="Times New Roman" w:eastAsia="仿宋_GB2312"/>
          <w:bCs/>
          <w:color w:val="000000" w:themeColor="text1"/>
          <w:szCs w:val="32"/>
          <w14:textFill>
            <w14:solidFill>
              <w14:schemeClr w14:val="tx1"/>
            </w14:solidFill>
          </w14:textFill>
        </w:rPr>
      </w:pPr>
    </w:p>
    <w:p>
      <w:pPr>
        <w:widowControl w:val="0"/>
        <w:adjustRightInd w:val="0"/>
        <w:snapToGrid w:val="0"/>
        <w:spacing w:after="0" w:line="560" w:lineRule="exact"/>
        <w:ind w:firstLine="680" w:firstLineChars="200"/>
        <w:rPr>
          <w:rFonts w:ascii="Times New Roman" w:hAnsi="Times New Roman" w:eastAsia="仿宋_GB2312"/>
          <w:bCs/>
          <w:color w:val="000000" w:themeColor="text1"/>
          <w:szCs w:val="32"/>
          <w14:textFill>
            <w14:solidFill>
              <w14:schemeClr w14:val="tx1"/>
            </w14:solidFill>
          </w14:textFill>
        </w:rPr>
      </w:pPr>
      <w:r>
        <w:rPr>
          <w:rFonts w:ascii="Times New Roman" w:hAnsi="Times New Roman" w:eastAsia="仿宋_GB2312"/>
          <w:bCs/>
          <w:color w:val="000000" w:themeColor="text1"/>
          <w:szCs w:val="32"/>
          <w14:textFill>
            <w14:solidFill>
              <w14:schemeClr w14:val="tx1"/>
            </w14:solidFill>
          </w14:textFill>
        </w:rPr>
        <w:t>坚持绿水青山就是金山银山理念，</w:t>
      </w:r>
      <w:r>
        <w:rPr>
          <w:rFonts w:ascii="Times New Roman" w:hAnsi="Times New Roman" w:eastAsia="仿宋_GB2312"/>
          <w:color w:val="000000" w:themeColor="text1"/>
          <w:szCs w:val="32"/>
          <w14:textFill>
            <w14:solidFill>
              <w14:schemeClr w14:val="tx1"/>
            </w14:solidFill>
          </w14:textFill>
        </w:rPr>
        <w:t>深入实施可持续发展战略，促进经济社会发展全面绿色转型，</w:t>
      </w:r>
      <w:r>
        <w:rPr>
          <w:rFonts w:ascii="Times New Roman" w:hAnsi="Times New Roman" w:eastAsia="仿宋_GB2312"/>
          <w:bCs/>
          <w:color w:val="000000" w:themeColor="text1"/>
          <w:szCs w:val="32"/>
          <w14:textFill>
            <w14:solidFill>
              <w14:schemeClr w14:val="tx1"/>
            </w14:solidFill>
          </w14:textFill>
        </w:rPr>
        <w:t>建设人与自然和谐共生的现代化。</w:t>
      </w:r>
    </w:p>
    <w:p>
      <w:pPr>
        <w:pStyle w:val="5"/>
        <w:keepNext w:val="0"/>
        <w:keepLines w:val="0"/>
        <w:widowControl w:val="0"/>
        <w:adjustRightInd w:val="0"/>
        <w:snapToGrid w:val="0"/>
        <w:spacing w:before="297" w:beforeLines="50" w:after="297" w:afterLines="50" w:line="560" w:lineRule="exact"/>
        <w:ind w:firstLine="0" w:firstLineChars="0"/>
      </w:pPr>
      <w:bookmarkStart w:id="81" w:name="_Toc16977"/>
      <w:bookmarkStart w:id="82" w:name="_Toc10416"/>
      <w:r>
        <w:t>第一节  持续</w:t>
      </w:r>
      <w:bookmarkEnd w:id="81"/>
      <w:r>
        <w:t>加强生态环境治理</w:t>
      </w:r>
      <w:bookmarkEnd w:id="82"/>
    </w:p>
    <w:p>
      <w:pPr>
        <w:widowControl w:val="0"/>
        <w:adjustRightInd w:val="0"/>
        <w:snapToGrid w:val="0"/>
        <w:spacing w:after="0" w:line="560" w:lineRule="exact"/>
        <w:ind w:firstLine="680" w:firstLineChars="200"/>
        <w:rPr>
          <w:rFonts w:ascii="Times New Roman" w:hAnsi="Times New Roman" w:eastAsia="仿宋_GB2312"/>
          <w:bCs/>
          <w:color w:val="000000" w:themeColor="text1"/>
          <w:szCs w:val="32"/>
          <w14:textFill>
            <w14:solidFill>
              <w14:schemeClr w14:val="tx1"/>
            </w14:solidFill>
          </w14:textFill>
        </w:rPr>
      </w:pPr>
      <w:r>
        <w:rPr>
          <w:rFonts w:ascii="Times New Roman" w:hAnsi="Times New Roman" w:eastAsia="仿宋_GB2312"/>
          <w:bCs/>
          <w:color w:val="000000" w:themeColor="text1"/>
          <w:szCs w:val="32"/>
          <w14:textFill>
            <w14:solidFill>
              <w14:schemeClr w14:val="tx1"/>
            </w14:solidFill>
          </w14:textFill>
        </w:rPr>
        <w:t>实施最严格的环境保护制度，依法、科学、精准打好升级版的污染防治持久战，持续减少主要污染物排放总量，基本消除群众关注的突出环境污染问题。</w:t>
      </w:r>
    </w:p>
    <w:p>
      <w:pPr>
        <w:widowControl w:val="0"/>
        <w:adjustRightInd w:val="0"/>
        <w:snapToGrid w:val="0"/>
        <w:spacing w:after="0" w:line="560" w:lineRule="exact"/>
        <w:ind w:firstLine="680" w:firstLineChars="200"/>
        <w:jc w:val="both"/>
        <w:rPr>
          <w:rFonts w:ascii="Times New Roman" w:hAnsi="Times New Roman" w:eastAsia="仿宋_GB2312"/>
          <w:bCs/>
          <w:color w:val="000000" w:themeColor="text1"/>
          <w:szCs w:val="32"/>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持续改善大气环境质量。</w:t>
      </w:r>
      <w:r>
        <w:rPr>
          <w:rFonts w:ascii="Times New Roman" w:hAnsi="Times New Roman" w:eastAsia="仿宋_GB2312"/>
          <w:bCs/>
          <w:color w:val="000000" w:themeColor="text1"/>
          <w:szCs w:val="32"/>
          <w14:textFill>
            <w14:solidFill>
              <w14:schemeClr w14:val="tx1"/>
            </w14:solidFill>
          </w14:textFill>
        </w:rPr>
        <w:t>标本兼治、精准发力，全面提高大气污染防治的系统化、科学化和精细化水平。强化温室气体排放控制，推进工业、建筑、交通等重点领域低碳化，大力发展现代服务业、战略新兴产业和节能环保等绿色产业，减少二氧化碳排放。继续实行四级网格管理治理大气污染，精准管控国控站点。综合整治挥发性有机物，采取</w:t>
      </w:r>
      <w:r>
        <w:rPr>
          <w:rFonts w:hint="eastAsia" w:ascii="Times New Roman" w:hAnsi="Times New Roman" w:eastAsia="仿宋_GB2312"/>
          <w:bCs/>
          <w:color w:val="000000" w:themeColor="text1"/>
          <w:szCs w:val="32"/>
          <w14:textFill>
            <w14:solidFill>
              <w14:schemeClr w14:val="tx1"/>
            </w14:solidFill>
          </w14:textFill>
        </w:rPr>
        <w:t>“</w:t>
      </w:r>
      <w:r>
        <w:rPr>
          <w:rFonts w:ascii="Times New Roman" w:hAnsi="Times New Roman" w:eastAsia="仿宋_GB2312"/>
          <w:bCs/>
          <w:color w:val="000000" w:themeColor="text1"/>
          <w:szCs w:val="32"/>
          <w14:textFill>
            <w14:solidFill>
              <w14:schemeClr w14:val="tx1"/>
            </w14:solidFill>
          </w14:textFill>
        </w:rPr>
        <w:t>源头+</w:t>
      </w:r>
      <w:r>
        <w:rPr>
          <w:rFonts w:ascii="Times New Roman" w:hAnsi="Times New Roman" w:eastAsia="仿宋_GB2312"/>
          <w:bCs/>
          <w:color w:val="000000" w:themeColor="text1"/>
          <w:spacing w:val="-6"/>
          <w:szCs w:val="32"/>
          <w14:textFill>
            <w14:solidFill>
              <w14:schemeClr w14:val="tx1"/>
            </w14:solidFill>
          </w14:textFill>
        </w:rPr>
        <w:t>过程+末端</w:t>
      </w:r>
      <w:r>
        <w:rPr>
          <w:rFonts w:hint="eastAsia" w:ascii="Times New Roman" w:hAnsi="Times New Roman" w:eastAsia="仿宋_GB2312"/>
          <w:bCs/>
          <w:color w:val="000000" w:themeColor="text1"/>
          <w:spacing w:val="-6"/>
          <w:szCs w:val="32"/>
          <w14:textFill>
            <w14:solidFill>
              <w14:schemeClr w14:val="tx1"/>
            </w14:solidFill>
          </w14:textFill>
        </w:rPr>
        <w:t>”</w:t>
      </w:r>
      <w:r>
        <w:rPr>
          <w:rFonts w:ascii="Times New Roman" w:hAnsi="Times New Roman" w:eastAsia="仿宋_GB2312"/>
          <w:bCs/>
          <w:color w:val="000000" w:themeColor="text1"/>
          <w:spacing w:val="-6"/>
          <w:szCs w:val="32"/>
          <w14:textFill>
            <w14:solidFill>
              <w14:schemeClr w14:val="tx1"/>
            </w14:solidFill>
          </w14:textFill>
        </w:rPr>
        <w:t>治理模式，分行业精准施策。持续抓好</w:t>
      </w:r>
      <w:r>
        <w:rPr>
          <w:rFonts w:hint="eastAsia" w:ascii="Times New Roman" w:hAnsi="Times New Roman" w:eastAsia="仿宋_GB2312"/>
          <w:bCs/>
          <w:color w:val="000000" w:themeColor="text1"/>
          <w:spacing w:val="-6"/>
          <w:szCs w:val="32"/>
          <w14:textFill>
            <w14:solidFill>
              <w14:schemeClr w14:val="tx1"/>
            </w14:solidFill>
          </w14:textFill>
        </w:rPr>
        <w:t>“</w:t>
      </w:r>
      <w:r>
        <w:rPr>
          <w:rFonts w:ascii="Times New Roman" w:hAnsi="Times New Roman" w:eastAsia="仿宋_GB2312"/>
          <w:bCs/>
          <w:color w:val="000000" w:themeColor="text1"/>
          <w:spacing w:val="-6"/>
          <w:szCs w:val="32"/>
          <w14:textFill>
            <w14:solidFill>
              <w14:schemeClr w14:val="tx1"/>
            </w14:solidFill>
          </w14:textFill>
        </w:rPr>
        <w:t>三散</w:t>
      </w:r>
      <w:r>
        <w:rPr>
          <w:rFonts w:hint="eastAsia" w:ascii="Times New Roman" w:hAnsi="Times New Roman" w:eastAsia="仿宋_GB2312"/>
          <w:bCs/>
          <w:color w:val="000000" w:themeColor="text1"/>
          <w:spacing w:val="-6"/>
          <w:szCs w:val="32"/>
          <w14:textFill>
            <w14:solidFill>
              <w14:schemeClr w14:val="tx1"/>
            </w14:solidFill>
          </w14:textFill>
        </w:rPr>
        <w:t>”</w:t>
      </w:r>
      <w:r>
        <w:rPr>
          <w:rFonts w:ascii="Times New Roman" w:hAnsi="Times New Roman" w:eastAsia="仿宋_GB2312"/>
          <w:bCs/>
          <w:color w:val="000000" w:themeColor="text1"/>
          <w:spacing w:val="-6"/>
          <w:szCs w:val="32"/>
          <w14:textFill>
            <w14:solidFill>
              <w14:schemeClr w14:val="tx1"/>
            </w14:solidFill>
          </w14:textFill>
        </w:rPr>
        <w:t>治</w:t>
      </w:r>
      <w:r>
        <w:rPr>
          <w:rFonts w:hint="eastAsia" w:ascii="Times New Roman" w:hAnsi="Times New Roman" w:eastAsia="仿宋_GB2312"/>
          <w:bCs/>
          <w:color w:val="000000" w:themeColor="text1"/>
          <w:spacing w:val="-6"/>
          <w:szCs w:val="32"/>
          <w14:textFill>
            <w14:solidFill>
              <w14:schemeClr w14:val="tx1"/>
            </w14:solidFill>
          </w14:textFill>
        </w:rPr>
        <w:t>“</w:t>
      </w:r>
      <w:r>
        <w:rPr>
          <w:rFonts w:ascii="Times New Roman" w:hAnsi="Times New Roman" w:eastAsia="仿宋_GB2312"/>
          <w:bCs/>
          <w:color w:val="000000" w:themeColor="text1"/>
          <w:spacing w:val="-6"/>
          <w:szCs w:val="32"/>
          <w14:textFill>
            <w14:solidFill>
              <w14:schemeClr w14:val="tx1"/>
            </w14:solidFill>
          </w14:textFill>
        </w:rPr>
        <w:t>三源</w:t>
      </w:r>
      <w:r>
        <w:rPr>
          <w:rFonts w:hint="eastAsia" w:ascii="Times New Roman" w:hAnsi="Times New Roman" w:eastAsia="仿宋_GB2312"/>
          <w:bCs/>
          <w:color w:val="000000" w:themeColor="text1"/>
          <w:spacing w:val="-6"/>
          <w:szCs w:val="32"/>
          <w14:textFill>
            <w14:solidFill>
              <w14:schemeClr w14:val="tx1"/>
            </w14:solidFill>
          </w14:textFill>
        </w:rPr>
        <w:t>”</w:t>
      </w:r>
      <w:r>
        <w:rPr>
          <w:rFonts w:ascii="Times New Roman" w:hAnsi="Times New Roman" w:eastAsia="仿宋_GB2312"/>
          <w:bCs/>
          <w:color w:val="000000" w:themeColor="text1"/>
          <w:spacing w:val="-6"/>
          <w:szCs w:val="32"/>
          <w14:textFill>
            <w14:solidFill>
              <w14:schemeClr w14:val="tx1"/>
            </w14:solidFill>
          </w14:textFill>
        </w:rPr>
        <w:t>，推广装配式建筑，综合整治扬尘污染。治理移动污染源，配合许昌市推广新能源汽车等节能环保交通工具，发展绿色公交，推动货物运输绿色转型。依托豫能热电，积极发展高值化利用为重点的先进生物质能源，提高清洁能源使用率</w:t>
      </w:r>
      <w:r>
        <w:rPr>
          <w:rFonts w:ascii="Times New Roman" w:hAnsi="Times New Roman" w:eastAsia="仿宋_GB2312"/>
          <w:bCs/>
          <w:color w:val="000000" w:themeColor="text1"/>
          <w:szCs w:val="32"/>
          <w14:textFill>
            <w14:solidFill>
              <w14:schemeClr w14:val="tx1"/>
            </w14:solidFill>
          </w14:textFill>
        </w:rPr>
        <w:t>。</w:t>
      </w:r>
    </w:p>
    <w:p>
      <w:pPr>
        <w:widowControl w:val="0"/>
        <w:adjustRightInd w:val="0"/>
        <w:snapToGrid w:val="0"/>
        <w:spacing w:after="0" w:line="560" w:lineRule="exact"/>
        <w:ind w:firstLine="680" w:firstLineChars="200"/>
        <w:jc w:val="both"/>
        <w:rPr>
          <w:rFonts w:ascii="Times New Roman" w:hAnsi="Times New Roman" w:eastAsia="仿宋_GB2312"/>
          <w:bCs/>
          <w:color w:val="000000" w:themeColor="text1"/>
          <w:szCs w:val="32"/>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强化水污染防治。</w:t>
      </w:r>
      <w:r>
        <w:rPr>
          <w:rFonts w:ascii="Times New Roman" w:hAnsi="Times New Roman" w:eastAsia="仿宋_GB2312"/>
          <w:bCs/>
          <w:color w:val="000000" w:themeColor="text1"/>
          <w:szCs w:val="32"/>
          <w14:textFill>
            <w14:solidFill>
              <w14:schemeClr w14:val="tx1"/>
            </w14:solidFill>
          </w14:textFill>
        </w:rPr>
        <w:t>继续实施工业水污染物排放全过程总量控制，确保辖区工业企业排放污染物浓度达标。加强地表水环境管控，综合整治灞陵河，实施护城河截污整治工程。开展化工企业、加油站、垃圾填埋场等区域地下水污染调查评估，稳步推进地下水污染防治。</w:t>
      </w:r>
    </w:p>
    <w:p>
      <w:pPr>
        <w:widowControl w:val="0"/>
        <w:adjustRightInd w:val="0"/>
        <w:snapToGrid w:val="0"/>
        <w:spacing w:after="0" w:line="560" w:lineRule="exact"/>
        <w:ind w:firstLine="680" w:firstLineChars="200"/>
        <w:jc w:val="both"/>
        <w:rPr>
          <w:rFonts w:ascii="Times New Roman" w:hAnsi="Times New Roman" w:eastAsia="仿宋_GB2312"/>
          <w:bCs/>
          <w:color w:val="000000" w:themeColor="text1"/>
          <w:szCs w:val="32"/>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强化土壤污染控制。</w:t>
      </w:r>
      <w:r>
        <w:rPr>
          <w:rFonts w:ascii="Times New Roman" w:hAnsi="Times New Roman" w:eastAsia="仿宋_GB2312"/>
          <w:bCs/>
          <w:color w:val="000000" w:themeColor="text1"/>
          <w:szCs w:val="32"/>
          <w14:textFill>
            <w14:solidFill>
              <w14:schemeClr w14:val="tx1"/>
            </w14:solidFill>
          </w14:textFill>
        </w:rPr>
        <w:t>加强建设用地准入管理，强化重点监管企业土壤污染隐患排查。加强重点区域土壤污染综合防控，做好许继集团电镀车间疑似污染地块的详调和治理修复。巩固提升农用地风险管控，推进受污染耕地安全利用。</w:t>
      </w:r>
    </w:p>
    <w:p>
      <w:pPr>
        <w:widowControl w:val="0"/>
        <w:adjustRightInd w:val="0"/>
        <w:snapToGrid w:val="0"/>
        <w:spacing w:after="0" w:line="560" w:lineRule="exact"/>
        <w:ind w:firstLine="680" w:firstLineChars="200"/>
        <w:jc w:val="both"/>
        <w:rPr>
          <w:rFonts w:ascii="Times New Roman" w:hAnsi="Times New Roman" w:eastAsia="仿宋_GB2312"/>
          <w:bCs/>
          <w:color w:val="000000" w:themeColor="text1"/>
          <w:szCs w:val="32"/>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强化噪声污染控制。</w:t>
      </w:r>
      <w:r>
        <w:rPr>
          <w:rFonts w:ascii="Times New Roman" w:hAnsi="Times New Roman" w:eastAsia="仿宋_GB2312"/>
          <w:bCs/>
          <w:color w:val="000000" w:themeColor="text1"/>
          <w:szCs w:val="32"/>
          <w14:textFill>
            <w14:solidFill>
              <w14:schemeClr w14:val="tx1"/>
            </w14:solidFill>
          </w14:textFill>
        </w:rPr>
        <w:t>深入开展噪声污染防治，加强机动车管控、建设噪声屏障、安装降噪装置、种植绿化带等措施减轻噪声污染，大力开展</w:t>
      </w:r>
      <w:r>
        <w:rPr>
          <w:rFonts w:hint="eastAsia" w:ascii="Times New Roman" w:hAnsi="Times New Roman" w:eastAsia="仿宋_GB2312"/>
          <w:bCs/>
          <w:color w:val="000000" w:themeColor="text1"/>
          <w:szCs w:val="32"/>
          <w14:textFill>
            <w14:solidFill>
              <w14:schemeClr w14:val="tx1"/>
            </w14:solidFill>
          </w14:textFill>
        </w:rPr>
        <w:t>“</w:t>
      </w:r>
      <w:r>
        <w:rPr>
          <w:rFonts w:ascii="Times New Roman" w:hAnsi="Times New Roman" w:eastAsia="仿宋_GB2312"/>
          <w:bCs/>
          <w:color w:val="000000" w:themeColor="text1"/>
          <w:szCs w:val="32"/>
          <w14:textFill>
            <w14:solidFill>
              <w14:schemeClr w14:val="tx1"/>
            </w14:solidFill>
          </w14:textFill>
        </w:rPr>
        <w:t>宁静社区</w:t>
      </w:r>
      <w:r>
        <w:rPr>
          <w:rFonts w:hint="eastAsia" w:ascii="Times New Roman" w:hAnsi="Times New Roman" w:eastAsia="仿宋_GB2312"/>
          <w:bCs/>
          <w:color w:val="000000" w:themeColor="text1"/>
          <w:szCs w:val="32"/>
          <w14:textFill>
            <w14:solidFill>
              <w14:schemeClr w14:val="tx1"/>
            </w14:solidFill>
          </w14:textFill>
        </w:rPr>
        <w:t>”“</w:t>
      </w:r>
      <w:r>
        <w:rPr>
          <w:rFonts w:ascii="Times New Roman" w:hAnsi="Times New Roman" w:eastAsia="仿宋_GB2312"/>
          <w:bCs/>
          <w:color w:val="000000" w:themeColor="text1"/>
          <w:szCs w:val="32"/>
          <w14:textFill>
            <w14:solidFill>
              <w14:schemeClr w14:val="tx1"/>
            </w14:solidFill>
          </w14:textFill>
        </w:rPr>
        <w:t>宁静街区</w:t>
      </w:r>
      <w:r>
        <w:rPr>
          <w:rFonts w:hint="eastAsia" w:ascii="Times New Roman" w:hAnsi="Times New Roman" w:eastAsia="仿宋_GB2312"/>
          <w:bCs/>
          <w:color w:val="000000" w:themeColor="text1"/>
          <w:szCs w:val="32"/>
          <w14:textFill>
            <w14:solidFill>
              <w14:schemeClr w14:val="tx1"/>
            </w14:solidFill>
          </w14:textFill>
        </w:rPr>
        <w:t>”</w:t>
      </w:r>
      <w:r>
        <w:rPr>
          <w:rFonts w:ascii="Times New Roman" w:hAnsi="Times New Roman" w:eastAsia="仿宋_GB2312"/>
          <w:bCs/>
          <w:color w:val="000000" w:themeColor="text1"/>
          <w:szCs w:val="32"/>
          <w14:textFill>
            <w14:solidFill>
              <w14:schemeClr w14:val="tx1"/>
            </w14:solidFill>
          </w14:textFill>
        </w:rPr>
        <w:t>示范建设。严格防控工业、社会生活和建筑噪声，加强建筑噪声的监管和检查执法，进一步营造和谐环境。</w:t>
      </w:r>
    </w:p>
    <w:p>
      <w:pPr>
        <w:pStyle w:val="5"/>
        <w:keepNext w:val="0"/>
        <w:keepLines w:val="0"/>
        <w:widowControl w:val="0"/>
        <w:adjustRightInd w:val="0"/>
        <w:snapToGrid w:val="0"/>
        <w:spacing w:before="297" w:beforeLines="50" w:after="297" w:afterLines="50" w:line="560" w:lineRule="exact"/>
        <w:ind w:firstLine="0" w:firstLineChars="0"/>
      </w:pPr>
      <w:bookmarkStart w:id="83" w:name="_Toc7529"/>
      <w:bookmarkStart w:id="84" w:name="_Toc17780"/>
      <w:r>
        <w:t xml:space="preserve">第二节  </w:t>
      </w:r>
      <w:bookmarkEnd w:id="83"/>
      <w:r>
        <w:t>加强生态系统建设保护</w:t>
      </w:r>
      <w:bookmarkEnd w:id="84"/>
    </w:p>
    <w:p>
      <w:pPr>
        <w:widowControl w:val="0"/>
        <w:adjustRightInd w:val="0"/>
        <w:snapToGrid w:val="0"/>
        <w:spacing w:after="0" w:line="560" w:lineRule="exact"/>
        <w:ind w:firstLine="680" w:firstLineChars="200"/>
        <w:rPr>
          <w:rFonts w:ascii="Times New Roman" w:hAnsi="Times New Roman" w:eastAsia="仿宋_GB2312"/>
          <w:bCs/>
          <w:color w:val="000000" w:themeColor="text1"/>
          <w:szCs w:val="32"/>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强化园林城市建设。</w:t>
      </w:r>
      <w:r>
        <w:rPr>
          <w:rFonts w:ascii="Times New Roman" w:hAnsi="Times New Roman" w:eastAsia="仿宋_GB2312"/>
          <w:bCs/>
          <w:color w:val="000000" w:themeColor="text1"/>
          <w:szCs w:val="32"/>
          <w14:textFill>
            <w14:solidFill>
              <w14:schemeClr w14:val="tx1"/>
            </w14:solidFill>
          </w14:textFill>
        </w:rPr>
        <w:t>注重城市绿化层次、色彩和植物景观营造，推广海绵绿地建设，推进道路绿色化、生态化改造，做好主干道生态隔离和花卉彩扮、支小路见缝插绿。加强生态廊道建设，提升道路沿线、河湖沿岸绿化品质，重点建设天宝路、灞陵路、阳光大道、文峰路绿化示路，提升辖区八一路、许继大道、延安路等绿化水平。见缝插绿，乔灌花结合，提升老街道、老小区、老庭院绿化水平。高标准规划建设综合性游园，把生态功能与休闲健身、科普教育、文化传承等功能有机融合。巩固外环路两侧现有防护林及崔代张社区西南林海等成果，对具备造林条件的规划林地及时造林，构筑城市外围生态屏障。鼓励单位和个人以投资、捐资、认建、认养等方式，参与城市绿化建设和养护，加快居民社区、机关和企事业单位绿化建设，构筑城市绿色生活圈。实施园林绿化精细化管理，实行永久保护绿地制度，持续提升城市绿化质量。</w:t>
      </w:r>
    </w:p>
    <w:p>
      <w:pPr>
        <w:widowControl w:val="0"/>
        <w:adjustRightInd w:val="0"/>
        <w:snapToGrid w:val="0"/>
        <w:spacing w:after="0" w:line="560" w:lineRule="exact"/>
        <w:ind w:firstLine="680" w:firstLineChars="200"/>
        <w:rPr>
          <w:rFonts w:ascii="Times New Roman" w:hAnsi="Times New Roman" w:eastAsia="仿宋_GB2312"/>
          <w:bCs/>
          <w:color w:val="000000" w:themeColor="text1"/>
          <w:szCs w:val="32"/>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改善水生态环境。</w:t>
      </w:r>
      <w:r>
        <w:rPr>
          <w:rFonts w:ascii="Times New Roman" w:hAnsi="Times New Roman" w:eastAsia="仿宋_GB2312"/>
          <w:bCs/>
          <w:color w:val="000000" w:themeColor="text1"/>
          <w:szCs w:val="32"/>
          <w14:textFill>
            <w14:solidFill>
              <w14:schemeClr w14:val="tx1"/>
            </w14:solidFill>
          </w14:textFill>
        </w:rPr>
        <w:t>结合许昌市</w:t>
      </w:r>
      <w:r>
        <w:rPr>
          <w:rFonts w:hint="eastAsia" w:ascii="Times New Roman" w:hAnsi="Times New Roman" w:eastAsia="仿宋_GB2312"/>
          <w:bCs/>
          <w:color w:val="000000" w:themeColor="text1"/>
          <w:szCs w:val="32"/>
          <w14:textFill>
            <w14:solidFill>
              <w14:schemeClr w14:val="tx1"/>
            </w14:solidFill>
          </w14:textFill>
        </w:rPr>
        <w:t>“</w:t>
      </w:r>
      <w:r>
        <w:rPr>
          <w:rFonts w:ascii="Times New Roman" w:hAnsi="Times New Roman" w:eastAsia="仿宋_GB2312"/>
          <w:bCs/>
          <w:color w:val="000000" w:themeColor="text1"/>
          <w:szCs w:val="32"/>
          <w14:textFill>
            <w14:solidFill>
              <w14:schemeClr w14:val="tx1"/>
            </w14:solidFill>
          </w14:textFill>
        </w:rPr>
        <w:t>五湖四海畔三川、两环一水润莲城</w:t>
      </w:r>
      <w:r>
        <w:rPr>
          <w:rFonts w:hint="eastAsia" w:ascii="Times New Roman" w:hAnsi="Times New Roman" w:eastAsia="仿宋_GB2312"/>
          <w:bCs/>
          <w:color w:val="000000" w:themeColor="text1"/>
          <w:szCs w:val="32"/>
          <w14:textFill>
            <w14:solidFill>
              <w14:schemeClr w14:val="tx1"/>
            </w14:solidFill>
          </w14:textFill>
        </w:rPr>
        <w:t>”</w:t>
      </w:r>
      <w:r>
        <w:rPr>
          <w:rFonts w:ascii="Times New Roman" w:hAnsi="Times New Roman" w:eastAsia="仿宋_GB2312"/>
          <w:bCs/>
          <w:color w:val="000000" w:themeColor="text1"/>
          <w:szCs w:val="32"/>
          <w14:textFill>
            <w14:solidFill>
              <w14:schemeClr w14:val="tx1"/>
            </w14:solidFill>
          </w14:textFill>
        </w:rPr>
        <w:t>生态水系建设，以水系连通、恢复水面为重点</w:t>
      </w:r>
      <w:r>
        <w:rPr>
          <w:rFonts w:hint="eastAsia" w:ascii="Times New Roman" w:hAnsi="Times New Roman" w:eastAsia="仿宋_GB2312"/>
          <w:bCs/>
          <w:color w:val="000000" w:themeColor="text1"/>
          <w:szCs w:val="32"/>
          <w14:textFill>
            <w14:solidFill>
              <w14:schemeClr w14:val="tx1"/>
            </w14:solidFill>
          </w14:textFill>
        </w:rPr>
        <w:t>，</w:t>
      </w:r>
      <w:r>
        <w:rPr>
          <w:rFonts w:ascii="Times New Roman" w:hAnsi="Times New Roman" w:eastAsia="仿宋_GB2312"/>
          <w:bCs/>
          <w:color w:val="000000" w:themeColor="text1"/>
          <w:szCs w:val="32"/>
          <w14:textFill>
            <w14:solidFill>
              <w14:schemeClr w14:val="tx1"/>
            </w14:solidFill>
          </w14:textFill>
        </w:rPr>
        <w:t>坚持四水同治，持续巩固提升拓展水生态文明建设成果。实施灞陵河生态系统修复工程、颖汝干渠调蓄湖工程、幸福渠东支改造工程，营造水生态景观。综合整治老吴营社区寨河和长店沟，恢复农村社区河湖功能，全面提升区域水生态质量。以海绵城市建设为抓</w:t>
      </w:r>
      <w:r>
        <w:rPr>
          <w:rFonts w:hint="eastAsia" w:ascii="Times New Roman" w:hAnsi="Times New Roman" w:eastAsia="仿宋_GB2312"/>
          <w:bCs/>
          <w:color w:val="000000" w:themeColor="text1"/>
          <w:szCs w:val="32"/>
          <w14:textFill>
            <w14:solidFill>
              <w14:schemeClr w14:val="tx1"/>
            </w14:solidFill>
          </w14:textFill>
        </w:rPr>
        <w:t>手</w:t>
      </w:r>
      <w:r>
        <w:rPr>
          <w:rFonts w:ascii="Times New Roman" w:hAnsi="Times New Roman" w:eastAsia="仿宋_GB2312"/>
          <w:bCs/>
          <w:color w:val="000000" w:themeColor="text1"/>
          <w:szCs w:val="32"/>
          <w14:textFill>
            <w14:solidFill>
              <w14:schemeClr w14:val="tx1"/>
            </w14:solidFill>
          </w14:textFill>
        </w:rPr>
        <w:t>，最大限度将雨水就地截流、收集</w:t>
      </w:r>
      <w:r>
        <w:rPr>
          <w:rFonts w:ascii="Times New Roman" w:hAnsi="Times New Roman" w:eastAsia="仿宋_GB2312"/>
          <w:bCs/>
          <w:color w:val="000000" w:themeColor="text1"/>
          <w:spacing w:val="-6"/>
          <w:szCs w:val="32"/>
          <w14:textFill>
            <w14:solidFill>
              <w14:schemeClr w14:val="tx1"/>
            </w14:solidFill>
          </w14:textFill>
        </w:rPr>
        <w:t>利用。加强城市建设沉降水控制管理，严控沉降水道路管网直排。加强湿地恢复和保护，实施再生水输送工程，利用再生水资源建设晨鸣纸业湿地，推进西部水生态系统保护与修复。落实好河湖长制，履行好河湖健康代言人和守护者的重要责任，开展河湖健康评价，保障辖区河湖水生态安全。推进生物多样性保护，推广有利于生物多样性保护的理念与行为规范</w:t>
      </w:r>
      <w:r>
        <w:rPr>
          <w:rFonts w:ascii="Times New Roman" w:hAnsi="Times New Roman" w:eastAsia="仿宋_GB2312"/>
          <w:bCs/>
          <w:color w:val="000000" w:themeColor="text1"/>
          <w:szCs w:val="32"/>
          <w14:textFill>
            <w14:solidFill>
              <w14:schemeClr w14:val="tx1"/>
            </w14:solidFill>
          </w14:textFill>
        </w:rPr>
        <w:t>。</w:t>
      </w:r>
    </w:p>
    <w:tbl>
      <w:tblPr>
        <w:tblStyle w:val="11"/>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22" w:type="dxa"/>
          </w:tcPr>
          <w:p>
            <w:pPr>
              <w:widowControl w:val="0"/>
              <w:adjustRightInd w:val="0"/>
              <w:snapToGrid w:val="0"/>
              <w:spacing w:after="0" w:line="510" w:lineRule="exact"/>
              <w:jc w:val="center"/>
              <w:rPr>
                <w:rFonts w:ascii="黑体" w:hAnsi="黑体" w:eastAsia="黑体" w:cs="黑体"/>
                <w:bCs/>
                <w:color w:val="000000" w:themeColor="text1"/>
                <w:kern w:val="2"/>
                <w:sz w:val="28"/>
                <w:szCs w:val="28"/>
                <w14:textFill>
                  <w14:solidFill>
                    <w14:schemeClr w14:val="tx1"/>
                  </w14:solidFill>
                </w14:textFill>
              </w:rPr>
            </w:pPr>
            <w:r>
              <w:rPr>
                <w:rFonts w:ascii="黑体" w:hAnsi="黑体" w:eastAsia="黑体" w:cs="黑体"/>
                <w:bCs/>
                <w:color w:val="000000" w:themeColor="text1"/>
                <w:kern w:val="2"/>
                <w:sz w:val="28"/>
                <w:szCs w:val="28"/>
                <w14:textFill>
                  <w14:solidFill>
                    <w14:schemeClr w14:val="tx1"/>
                  </w14:solidFill>
                </w14:textFill>
              </w:rPr>
              <w:t>专栏</w:t>
            </w:r>
            <w:r>
              <w:rPr>
                <w:rFonts w:hint="eastAsia" w:ascii="Times New Roman" w:hAnsi="Times New Roman" w:eastAsia="黑体" w:cs="黑体"/>
                <w:bCs/>
                <w:color w:val="000000" w:themeColor="text1"/>
                <w:kern w:val="2"/>
                <w:sz w:val="28"/>
                <w:szCs w:val="28"/>
                <w14:textFill>
                  <w14:solidFill>
                    <w14:schemeClr w14:val="tx1"/>
                  </w14:solidFill>
                </w14:textFill>
              </w:rPr>
              <w:t>7</w:t>
            </w:r>
            <w:r>
              <w:rPr>
                <w:rFonts w:ascii="黑体" w:hAnsi="黑体" w:eastAsia="黑体" w:cs="黑体"/>
                <w:bCs/>
                <w:color w:val="000000" w:themeColor="text1"/>
                <w:kern w:val="2"/>
                <w:sz w:val="28"/>
                <w:szCs w:val="28"/>
                <w14:textFill>
                  <w14:solidFill>
                    <w14:schemeClr w14:val="tx1"/>
                  </w14:solidFill>
                </w14:textFill>
              </w:rPr>
              <w:t>：生态项目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22" w:type="dxa"/>
          </w:tcPr>
          <w:p>
            <w:pPr>
              <w:pStyle w:val="19"/>
              <w:adjustRightInd w:val="0"/>
              <w:snapToGrid w:val="0"/>
              <w:spacing w:line="520" w:lineRule="exact"/>
              <w:ind w:firstLine="600" w:firstLineChars="200"/>
              <w:rPr>
                <w:rFonts w:eastAsia="楷体_GB2312"/>
                <w:color w:val="000000" w:themeColor="text1"/>
                <w:sz w:val="28"/>
                <w:szCs w:val="28"/>
                <w14:textFill>
                  <w14:solidFill>
                    <w14:schemeClr w14:val="tx1"/>
                  </w14:solidFill>
                </w14:textFill>
              </w:rPr>
            </w:pPr>
            <w:r>
              <w:rPr>
                <w:rFonts w:eastAsia="楷体_GB2312"/>
                <w:b/>
                <w:bCs/>
                <w:color w:val="000000" w:themeColor="text1"/>
                <w:sz w:val="28"/>
                <w:szCs w:val="28"/>
                <w14:textFill>
                  <w14:solidFill>
                    <w14:schemeClr w14:val="tx1"/>
                  </w14:solidFill>
                </w14:textFill>
              </w:rPr>
              <w:t>1、道路绿化：</w:t>
            </w:r>
            <w:r>
              <w:rPr>
                <w:rFonts w:eastAsia="楷体_GB2312"/>
                <w:color w:val="000000" w:themeColor="text1"/>
                <w:sz w:val="28"/>
                <w:szCs w:val="28"/>
                <w14:textFill>
                  <w14:solidFill>
                    <w14:schemeClr w14:val="tx1"/>
                  </w14:solidFill>
                </w14:textFill>
              </w:rPr>
              <w:t>实施滨河路、滨河东路、阳光大道、新绿街、科创街、丁香路、龙祥路、陈庄街、翠柳路、玉龙街、天顺街等20条道路绿化。</w:t>
            </w:r>
          </w:p>
          <w:p>
            <w:pPr>
              <w:pStyle w:val="19"/>
              <w:adjustRightInd w:val="0"/>
              <w:snapToGrid w:val="0"/>
              <w:spacing w:line="520" w:lineRule="exact"/>
              <w:ind w:firstLine="600" w:firstLineChars="200"/>
              <w:rPr>
                <w:rFonts w:eastAsia="楷体_GB2312"/>
                <w:color w:val="000000" w:themeColor="text1"/>
                <w:sz w:val="28"/>
                <w:szCs w:val="28"/>
                <w14:textFill>
                  <w14:solidFill>
                    <w14:schemeClr w14:val="tx1"/>
                  </w14:solidFill>
                </w14:textFill>
              </w:rPr>
            </w:pPr>
            <w:r>
              <w:rPr>
                <w:rFonts w:eastAsia="楷体_GB2312"/>
                <w:b/>
                <w:bCs/>
                <w:color w:val="000000" w:themeColor="text1"/>
                <w:sz w:val="28"/>
                <w:szCs w:val="28"/>
                <w14:textFill>
                  <w14:solidFill>
                    <w14:schemeClr w14:val="tx1"/>
                  </w14:solidFill>
                </w14:textFill>
              </w:rPr>
              <w:t>2、游园绿地建设：</w:t>
            </w:r>
            <w:r>
              <w:rPr>
                <w:rFonts w:eastAsia="楷体_GB2312"/>
                <w:color w:val="000000" w:themeColor="text1"/>
                <w:sz w:val="28"/>
                <w:szCs w:val="28"/>
                <w14:textFill>
                  <w14:solidFill>
                    <w14:schemeClr w14:val="tx1"/>
                  </w14:solidFill>
                </w14:textFill>
              </w:rPr>
              <w:t>完成幸福渠灞陵路至灞陵河段滨河游园、幸福渠天宝路至七里店街段滨河等一批游园建设。</w:t>
            </w:r>
          </w:p>
          <w:p>
            <w:pPr>
              <w:pStyle w:val="19"/>
              <w:adjustRightInd w:val="0"/>
              <w:snapToGrid w:val="0"/>
              <w:spacing w:line="520" w:lineRule="exact"/>
              <w:ind w:firstLine="600" w:firstLineChars="200"/>
              <w:rPr>
                <w:rFonts w:eastAsia="楷体_GB2312"/>
                <w:color w:val="000000" w:themeColor="text1"/>
                <w:sz w:val="28"/>
                <w:szCs w:val="28"/>
                <w14:textFill>
                  <w14:solidFill>
                    <w14:schemeClr w14:val="tx1"/>
                  </w14:solidFill>
                </w14:textFill>
              </w:rPr>
            </w:pPr>
            <w:r>
              <w:rPr>
                <w:rFonts w:eastAsia="楷体_GB2312"/>
                <w:b/>
                <w:bCs/>
                <w:color w:val="000000" w:themeColor="text1"/>
                <w:sz w:val="28"/>
                <w:szCs w:val="28"/>
                <w14:textFill>
                  <w14:solidFill>
                    <w14:schemeClr w14:val="tx1"/>
                  </w14:solidFill>
                </w14:textFill>
              </w:rPr>
              <w:t>3、完成中央公园绿化提升，</w:t>
            </w:r>
            <w:r>
              <w:rPr>
                <w:rFonts w:eastAsia="楷体_GB2312"/>
                <w:color w:val="000000" w:themeColor="text1"/>
                <w:sz w:val="28"/>
                <w:szCs w:val="28"/>
                <w14:textFill>
                  <w14:solidFill>
                    <w14:schemeClr w14:val="tx1"/>
                  </w14:solidFill>
                </w14:textFill>
              </w:rPr>
              <w:t>建设颍汝干渠付夏齐郊野公园，建设新绿街片林、京广铁路（天宝路至陈庄街）片林。</w:t>
            </w:r>
          </w:p>
          <w:p>
            <w:pPr>
              <w:pStyle w:val="19"/>
              <w:adjustRightInd w:val="0"/>
              <w:snapToGrid w:val="0"/>
              <w:spacing w:line="520" w:lineRule="exact"/>
              <w:ind w:firstLine="600" w:firstLineChars="200"/>
              <w:rPr>
                <w:rFonts w:eastAsia="楷体_GB2312"/>
                <w:b/>
                <w:bCs/>
                <w:color w:val="000000" w:themeColor="text1"/>
                <w:spacing w:val="-10"/>
                <w:sz w:val="28"/>
                <w:szCs w:val="28"/>
                <w14:textFill>
                  <w14:solidFill>
                    <w14:schemeClr w14:val="tx1"/>
                  </w14:solidFill>
                </w14:textFill>
              </w:rPr>
            </w:pPr>
            <w:r>
              <w:rPr>
                <w:rFonts w:eastAsia="楷体_GB2312"/>
                <w:b/>
                <w:bCs/>
                <w:color w:val="000000" w:themeColor="text1"/>
                <w:sz w:val="28"/>
                <w:szCs w:val="28"/>
                <w14:textFill>
                  <w14:solidFill>
                    <w14:schemeClr w14:val="tx1"/>
                  </w14:solidFill>
                </w14:textFill>
              </w:rPr>
              <w:t>4、灞陵河流域生态修复工程。</w:t>
            </w:r>
            <w:r>
              <w:rPr>
                <w:rFonts w:hint="eastAsia" w:eastAsia="楷体_GB2312"/>
                <w:color w:val="000000" w:themeColor="text1"/>
                <w:spacing w:val="-10"/>
                <w:sz w:val="28"/>
                <w:szCs w:val="28"/>
                <w14:textFill>
                  <w14:solidFill>
                    <w14:schemeClr w14:val="tx1"/>
                  </w14:solidFill>
                </w14:textFill>
              </w:rPr>
              <w:t>实施以西外环以东，五一路以西，天顺街以南，许禹路以北的灞陵河流域水生态系统修复工程。</w:t>
            </w:r>
          </w:p>
          <w:p>
            <w:pPr>
              <w:pStyle w:val="19"/>
              <w:adjustRightInd w:val="0"/>
              <w:snapToGrid w:val="0"/>
              <w:spacing w:line="520" w:lineRule="exact"/>
              <w:ind w:firstLine="600" w:firstLineChars="200"/>
              <w:rPr>
                <w:rFonts w:eastAsia="楷体_GB2312"/>
                <w:color w:val="000000" w:themeColor="text1"/>
                <w:sz w:val="28"/>
                <w:szCs w:val="28"/>
                <w14:textFill>
                  <w14:solidFill>
                    <w14:schemeClr w14:val="tx1"/>
                  </w14:solidFill>
                </w14:textFill>
              </w:rPr>
            </w:pPr>
            <w:r>
              <w:rPr>
                <w:rFonts w:eastAsia="楷体_GB2312"/>
                <w:b/>
                <w:bCs/>
                <w:color w:val="000000" w:themeColor="text1"/>
                <w:sz w:val="28"/>
                <w:szCs w:val="28"/>
                <w14:textFill>
                  <w14:solidFill>
                    <w14:schemeClr w14:val="tx1"/>
                  </w14:solidFill>
                </w14:textFill>
              </w:rPr>
              <w:t>5、颖汝干渠调蓄连通工程</w:t>
            </w:r>
            <w:r>
              <w:rPr>
                <w:rFonts w:eastAsia="楷体_GB2312"/>
                <w:color w:val="000000" w:themeColor="text1"/>
                <w:sz w:val="28"/>
                <w:szCs w:val="28"/>
                <w14:textFill>
                  <w14:solidFill>
                    <w14:schemeClr w14:val="tx1"/>
                  </w14:solidFill>
                </w14:textFill>
              </w:rPr>
              <w:t>：补充老吴营社区寨河水源，提高乡村河道生态修复能力。</w:t>
            </w:r>
          </w:p>
          <w:p>
            <w:pPr>
              <w:pStyle w:val="19"/>
              <w:adjustRightInd w:val="0"/>
              <w:snapToGrid w:val="0"/>
              <w:spacing w:line="520" w:lineRule="exact"/>
              <w:ind w:firstLine="600" w:firstLineChars="200"/>
              <w:rPr>
                <w:rFonts w:eastAsia="楷体_GB2312"/>
                <w:color w:val="000000" w:themeColor="text1"/>
                <w:sz w:val="28"/>
                <w:szCs w:val="28"/>
                <w14:textFill>
                  <w14:solidFill>
                    <w14:schemeClr w14:val="tx1"/>
                  </w14:solidFill>
                </w14:textFill>
              </w:rPr>
            </w:pPr>
            <w:r>
              <w:rPr>
                <w:rFonts w:eastAsia="楷体_GB2312"/>
                <w:b/>
                <w:bCs/>
                <w:color w:val="000000" w:themeColor="text1"/>
                <w:sz w:val="28"/>
                <w:szCs w:val="28"/>
                <w14:textFill>
                  <w14:solidFill>
                    <w14:schemeClr w14:val="tx1"/>
                  </w14:solidFill>
                </w14:textFill>
              </w:rPr>
              <w:t>6、老吴营寨河与干渠调蓄湖环通工程</w:t>
            </w:r>
            <w:r>
              <w:rPr>
                <w:rFonts w:eastAsia="楷体_GB2312"/>
                <w:color w:val="000000" w:themeColor="text1"/>
                <w:sz w:val="28"/>
                <w:szCs w:val="28"/>
                <w14:textFill>
                  <w14:solidFill>
                    <w14:schemeClr w14:val="tx1"/>
                  </w14:solidFill>
                </w14:textFill>
              </w:rPr>
              <w:t>：对老吴营、东李庄、刘铁庄连片治理，通过景观绿化、河道治理、环境整治、村容村貌提升、公共设施建设等，打造老吴营片区</w:t>
            </w:r>
            <w:r>
              <w:rPr>
                <w:rFonts w:hint="eastAsia" w:eastAsia="楷体_GB2312"/>
                <w:color w:val="000000" w:themeColor="text1"/>
                <w:sz w:val="28"/>
                <w:szCs w:val="28"/>
                <w14:textFill>
                  <w14:solidFill>
                    <w14:schemeClr w14:val="tx1"/>
                  </w14:solidFill>
                </w14:textFill>
              </w:rPr>
              <w:t>“</w:t>
            </w:r>
            <w:r>
              <w:rPr>
                <w:rFonts w:eastAsia="楷体_GB2312"/>
                <w:color w:val="000000" w:themeColor="text1"/>
                <w:sz w:val="28"/>
                <w:szCs w:val="28"/>
                <w14:textFill>
                  <w14:solidFill>
                    <w14:schemeClr w14:val="tx1"/>
                  </w14:solidFill>
                </w14:textFill>
              </w:rPr>
              <w:t>水美乡村</w:t>
            </w:r>
            <w:r>
              <w:rPr>
                <w:rFonts w:hint="eastAsia" w:eastAsia="楷体_GB2312"/>
                <w:color w:val="000000" w:themeColor="text1"/>
                <w:sz w:val="28"/>
                <w:szCs w:val="28"/>
                <w14:textFill>
                  <w14:solidFill>
                    <w14:schemeClr w14:val="tx1"/>
                  </w14:solidFill>
                </w14:textFill>
              </w:rPr>
              <w:t>”</w:t>
            </w:r>
            <w:r>
              <w:rPr>
                <w:rFonts w:eastAsia="楷体_GB2312"/>
                <w:color w:val="000000" w:themeColor="text1"/>
                <w:sz w:val="28"/>
                <w:szCs w:val="28"/>
                <w14:textFill>
                  <w14:solidFill>
                    <w14:schemeClr w14:val="tx1"/>
                  </w14:solidFill>
                </w14:textFill>
              </w:rPr>
              <w:t>。</w:t>
            </w:r>
          </w:p>
          <w:p>
            <w:pPr>
              <w:pStyle w:val="19"/>
              <w:adjustRightInd w:val="0"/>
              <w:snapToGrid w:val="0"/>
              <w:spacing w:line="520" w:lineRule="exact"/>
              <w:ind w:firstLine="600" w:firstLineChars="200"/>
              <w:rPr>
                <w:rFonts w:eastAsia="楷体_GB2312"/>
                <w:color w:val="000000" w:themeColor="text1"/>
                <w:sz w:val="28"/>
                <w:szCs w:val="28"/>
                <w14:textFill>
                  <w14:solidFill>
                    <w14:schemeClr w14:val="tx1"/>
                  </w14:solidFill>
                </w14:textFill>
              </w:rPr>
            </w:pPr>
            <w:r>
              <w:rPr>
                <w:rFonts w:eastAsia="楷体_GB2312"/>
                <w:b/>
                <w:bCs/>
                <w:color w:val="000000" w:themeColor="text1"/>
                <w:sz w:val="28"/>
                <w:szCs w:val="28"/>
                <w14:textFill>
                  <w14:solidFill>
                    <w14:schemeClr w14:val="tx1"/>
                  </w14:solidFill>
                </w14:textFill>
              </w:rPr>
              <w:t>7、幸福渠东支提升改造工程</w:t>
            </w:r>
            <w:r>
              <w:rPr>
                <w:rFonts w:eastAsia="楷体_GB2312"/>
                <w:color w:val="000000" w:themeColor="text1"/>
                <w:sz w:val="28"/>
                <w:szCs w:val="28"/>
                <w14:textFill>
                  <w14:solidFill>
                    <w14:schemeClr w14:val="tx1"/>
                  </w14:solidFill>
                </w14:textFill>
              </w:rPr>
              <w:t>：重点改造东支渠，全面提升幸福渠生态景观效果。</w:t>
            </w:r>
          </w:p>
          <w:p>
            <w:pPr>
              <w:pStyle w:val="19"/>
              <w:adjustRightInd w:val="0"/>
              <w:snapToGrid w:val="0"/>
              <w:spacing w:line="520" w:lineRule="exact"/>
              <w:ind w:firstLine="600" w:firstLineChars="200"/>
              <w:rPr>
                <w:rFonts w:eastAsia="楷体_GB2312"/>
                <w:color w:val="000000" w:themeColor="text1"/>
                <w:sz w:val="28"/>
                <w:szCs w:val="28"/>
                <w14:textFill>
                  <w14:solidFill>
                    <w14:schemeClr w14:val="tx1"/>
                  </w14:solidFill>
                </w14:textFill>
              </w:rPr>
            </w:pPr>
            <w:r>
              <w:rPr>
                <w:rFonts w:eastAsia="楷体_GB2312"/>
                <w:b/>
                <w:bCs/>
                <w:color w:val="000000" w:themeColor="text1"/>
                <w:sz w:val="28"/>
                <w:szCs w:val="28"/>
                <w14:textFill>
                  <w14:solidFill>
                    <w14:schemeClr w14:val="tx1"/>
                  </w14:solidFill>
                </w14:textFill>
              </w:rPr>
              <w:t>8、长店沟魏都区段综合治理工程</w:t>
            </w:r>
            <w:r>
              <w:rPr>
                <w:rFonts w:eastAsia="楷体_GB2312"/>
                <w:color w:val="000000" w:themeColor="text1"/>
                <w:sz w:val="28"/>
                <w:szCs w:val="28"/>
                <w14:textFill>
                  <w14:solidFill>
                    <w14:schemeClr w14:val="tx1"/>
                  </w14:solidFill>
                </w14:textFill>
              </w:rPr>
              <w:t>：基本解决长店沟水生态环境差的问题。</w:t>
            </w:r>
          </w:p>
          <w:p>
            <w:pPr>
              <w:pStyle w:val="19"/>
              <w:adjustRightInd w:val="0"/>
              <w:snapToGrid w:val="0"/>
              <w:spacing w:line="520" w:lineRule="exact"/>
              <w:ind w:firstLine="600" w:firstLineChars="200"/>
              <w:rPr>
                <w:rFonts w:eastAsia="楷体_GB2312"/>
                <w:color w:val="000000" w:themeColor="text1"/>
                <w:sz w:val="28"/>
                <w:szCs w:val="28"/>
                <w14:textFill>
                  <w14:solidFill>
                    <w14:schemeClr w14:val="tx1"/>
                  </w14:solidFill>
                </w14:textFill>
              </w:rPr>
            </w:pPr>
            <w:r>
              <w:rPr>
                <w:rFonts w:eastAsia="楷体_GB2312"/>
                <w:b/>
                <w:bCs/>
                <w:color w:val="000000" w:themeColor="text1"/>
                <w:sz w:val="28"/>
                <w:szCs w:val="28"/>
                <w14:textFill>
                  <w14:solidFill>
                    <w14:schemeClr w14:val="tx1"/>
                  </w14:solidFill>
                </w14:textFill>
              </w:rPr>
              <w:t>9、晨鸣纸业湿地工程：</w:t>
            </w:r>
            <w:r>
              <w:rPr>
                <w:rFonts w:eastAsia="楷体_GB2312"/>
                <w:color w:val="000000" w:themeColor="text1"/>
                <w:sz w:val="28"/>
                <w:szCs w:val="28"/>
                <w14:textFill>
                  <w14:solidFill>
                    <w14:schemeClr w14:val="tx1"/>
                  </w14:solidFill>
                </w14:textFill>
              </w:rPr>
              <w:t>利用中水改善周边水生态环境。</w:t>
            </w:r>
          </w:p>
          <w:p>
            <w:pPr>
              <w:pStyle w:val="19"/>
              <w:adjustRightInd w:val="0"/>
              <w:snapToGrid w:val="0"/>
              <w:spacing w:line="520" w:lineRule="exact"/>
              <w:ind w:firstLine="600" w:firstLineChars="200"/>
              <w:rPr>
                <w:rFonts w:eastAsia="楷体_GB2312"/>
                <w:color w:val="000000" w:themeColor="text1"/>
                <w:sz w:val="28"/>
                <w:szCs w:val="28"/>
                <w14:textFill>
                  <w14:solidFill>
                    <w14:schemeClr w14:val="tx1"/>
                  </w14:solidFill>
                </w14:textFill>
              </w:rPr>
            </w:pPr>
            <w:r>
              <w:rPr>
                <w:rFonts w:eastAsia="楷体_GB2312"/>
                <w:b/>
                <w:bCs/>
                <w:color w:val="000000" w:themeColor="text1"/>
                <w:sz w:val="28"/>
                <w:szCs w:val="28"/>
                <w14:textFill>
                  <w14:solidFill>
                    <w14:schemeClr w14:val="tx1"/>
                  </w14:solidFill>
                </w14:textFill>
              </w:rPr>
              <w:t>10、运粮河（天宝路--许由路段）清淤工程</w:t>
            </w:r>
            <w:r>
              <w:rPr>
                <w:rFonts w:eastAsia="楷体_GB2312"/>
                <w:color w:val="000000" w:themeColor="text1"/>
                <w:sz w:val="28"/>
                <w:szCs w:val="28"/>
                <w14:textFill>
                  <w14:solidFill>
                    <w14:schemeClr w14:val="tx1"/>
                  </w14:solidFill>
                </w14:textFill>
              </w:rPr>
              <w:t>：有效提升河流水质。</w:t>
            </w:r>
          </w:p>
          <w:p>
            <w:pPr>
              <w:pStyle w:val="19"/>
              <w:adjustRightInd w:val="0"/>
              <w:snapToGrid w:val="0"/>
              <w:spacing w:line="520" w:lineRule="exact"/>
              <w:ind w:firstLine="600" w:firstLineChars="200"/>
              <w:rPr>
                <w:color w:val="000000" w:themeColor="text1"/>
                <w:sz w:val="24"/>
                <w14:textFill>
                  <w14:solidFill>
                    <w14:schemeClr w14:val="tx1"/>
                  </w14:solidFill>
                </w14:textFill>
              </w:rPr>
            </w:pPr>
            <w:r>
              <w:rPr>
                <w:rFonts w:eastAsia="楷体_GB2312"/>
                <w:b/>
                <w:bCs/>
                <w:color w:val="000000" w:themeColor="text1"/>
                <w:sz w:val="28"/>
                <w:szCs w:val="28"/>
                <w14:textFill>
                  <w14:solidFill>
                    <w14:schemeClr w14:val="tx1"/>
                  </w14:solidFill>
                </w14:textFill>
              </w:rPr>
              <w:t>11、智慧水利平台建设工程：</w:t>
            </w:r>
            <w:r>
              <w:rPr>
                <w:rFonts w:eastAsia="楷体_GB2312"/>
                <w:color w:val="000000" w:themeColor="text1"/>
                <w:sz w:val="28"/>
                <w:szCs w:val="28"/>
                <w14:textFill>
                  <w14:solidFill>
                    <w14:schemeClr w14:val="tx1"/>
                  </w14:solidFill>
                </w14:textFill>
              </w:rPr>
              <w:t>主要建设智能泵站管理、污水处理、河湖管理、水资源管理、城乡供水、水旱灾害防御等智慧水利管理平台。</w:t>
            </w:r>
          </w:p>
        </w:tc>
      </w:tr>
    </w:tbl>
    <w:p>
      <w:pPr>
        <w:pStyle w:val="5"/>
        <w:keepNext w:val="0"/>
        <w:keepLines w:val="0"/>
        <w:widowControl w:val="0"/>
        <w:adjustRightInd w:val="0"/>
        <w:snapToGrid w:val="0"/>
        <w:spacing w:before="297" w:beforeLines="50" w:after="297" w:afterLines="50" w:line="560" w:lineRule="exact"/>
        <w:ind w:firstLine="680"/>
      </w:pPr>
      <w:bookmarkStart w:id="85" w:name="_Toc20819"/>
      <w:r>
        <w:t xml:space="preserve">第三节 </w:t>
      </w:r>
      <w:r>
        <w:rPr>
          <w:rFonts w:hint="eastAsia"/>
        </w:rPr>
        <w:t xml:space="preserve"> </w:t>
      </w:r>
      <w:r>
        <w:t>积极践行绿色发展方式</w:t>
      </w:r>
      <w:bookmarkEnd w:id="85"/>
    </w:p>
    <w:p>
      <w:pPr>
        <w:widowControl w:val="0"/>
        <w:adjustRightInd w:val="0"/>
        <w:snapToGrid w:val="0"/>
        <w:spacing w:after="0" w:line="560" w:lineRule="exact"/>
        <w:ind w:firstLine="680" w:firstLineChars="200"/>
        <w:jc w:val="both"/>
        <w:rPr>
          <w:rFonts w:ascii="Times New Roman" w:hAnsi="Times New Roman" w:eastAsia="仿宋_GB2312"/>
          <w:bCs/>
          <w:color w:val="000000" w:themeColor="text1"/>
          <w:szCs w:val="32"/>
          <w14:textFill>
            <w14:solidFill>
              <w14:schemeClr w14:val="tx1"/>
            </w14:solidFill>
          </w14:textFill>
        </w:rPr>
      </w:pPr>
      <w:r>
        <w:rPr>
          <w:rFonts w:hint="eastAsia" w:ascii="楷体_GB2312" w:hAnsi="楷体_GB2312" w:eastAsia="楷体_GB2312" w:cs="楷体_GB2312"/>
          <w:b/>
          <w:bCs/>
          <w:color w:val="000000" w:themeColor="text1"/>
          <w:szCs w:val="32"/>
          <w14:textFill>
            <w14:solidFill>
              <w14:schemeClr w14:val="tx1"/>
            </w14:solidFill>
          </w14:textFill>
        </w:rPr>
        <w:t>持续推进绿色发展。</w:t>
      </w:r>
      <w:r>
        <w:rPr>
          <w:rFonts w:ascii="Times New Roman" w:hAnsi="Times New Roman" w:eastAsia="仿宋_GB2312"/>
          <w:bCs/>
          <w:color w:val="000000" w:themeColor="text1"/>
          <w:szCs w:val="32"/>
          <w14:textFill>
            <w14:solidFill>
              <w14:schemeClr w14:val="tx1"/>
            </w14:solidFill>
          </w14:textFill>
        </w:rPr>
        <w:t>落实绿色产业指导目录，全面推行能效水效</w:t>
      </w:r>
      <w:r>
        <w:rPr>
          <w:rFonts w:hint="eastAsia" w:ascii="Times New Roman" w:hAnsi="Times New Roman" w:eastAsia="仿宋_GB2312"/>
          <w:bCs/>
          <w:color w:val="000000" w:themeColor="text1"/>
          <w:szCs w:val="32"/>
          <w14:textFill>
            <w14:solidFill>
              <w14:schemeClr w14:val="tx1"/>
            </w14:solidFill>
          </w14:textFill>
        </w:rPr>
        <w:t>“</w:t>
      </w:r>
      <w:r>
        <w:rPr>
          <w:rFonts w:ascii="Times New Roman" w:hAnsi="Times New Roman" w:eastAsia="仿宋_GB2312"/>
          <w:bCs/>
          <w:color w:val="000000" w:themeColor="text1"/>
          <w:szCs w:val="32"/>
          <w14:textFill>
            <w14:solidFill>
              <w14:schemeClr w14:val="tx1"/>
            </w14:solidFill>
          </w14:textFill>
        </w:rPr>
        <w:t>领跑者</w:t>
      </w:r>
      <w:r>
        <w:rPr>
          <w:rFonts w:hint="eastAsia" w:ascii="Times New Roman" w:hAnsi="Times New Roman" w:eastAsia="仿宋_GB2312"/>
          <w:bCs/>
          <w:color w:val="000000" w:themeColor="text1"/>
          <w:szCs w:val="32"/>
          <w14:textFill>
            <w14:solidFill>
              <w14:schemeClr w14:val="tx1"/>
            </w14:solidFill>
          </w14:textFill>
        </w:rPr>
        <w:t>”</w:t>
      </w:r>
      <w:r>
        <w:rPr>
          <w:rFonts w:ascii="Times New Roman" w:hAnsi="Times New Roman" w:eastAsia="仿宋_GB2312"/>
          <w:bCs/>
          <w:color w:val="000000" w:themeColor="text1"/>
          <w:szCs w:val="32"/>
          <w14:textFill>
            <w14:solidFill>
              <w14:schemeClr w14:val="tx1"/>
            </w14:solidFill>
          </w14:textFill>
        </w:rPr>
        <w:t>制度，加强工业企业提标治理和园区循环化改造，淘汰出清落后产能，加快传统产业绿色化、智能化改造，推进绿色技术创新和应用，培育创建绿色工厂、绿色园区，大力发展环境友好型产业，推动产业转型和绿色发展。加快培育绿色产业市场主体，促进绿色产业规模化集聚性发展，推动绿色服务模式创新，以重点企业为抓手构建绿色产业链体系。配合许昌市城市碳汇能力体系建设，推动重点企业积极参与碳排放交易。落实</w:t>
      </w:r>
      <w:r>
        <w:rPr>
          <w:rFonts w:hint="eastAsia" w:ascii="Times New Roman" w:hAnsi="Times New Roman" w:eastAsia="仿宋_GB2312"/>
          <w:bCs/>
          <w:color w:val="000000" w:themeColor="text1"/>
          <w:szCs w:val="32"/>
          <w14:textFill>
            <w14:solidFill>
              <w14:schemeClr w14:val="tx1"/>
            </w14:solidFill>
          </w14:textFill>
        </w:rPr>
        <w:t>“</w:t>
      </w:r>
      <w:r>
        <w:rPr>
          <w:rFonts w:ascii="Times New Roman" w:hAnsi="Times New Roman" w:eastAsia="仿宋_GB2312"/>
          <w:bCs/>
          <w:color w:val="000000" w:themeColor="text1"/>
          <w:szCs w:val="32"/>
          <w14:textFill>
            <w14:solidFill>
              <w14:schemeClr w14:val="tx1"/>
            </w14:solidFill>
          </w14:textFill>
        </w:rPr>
        <w:t>公转铁</w:t>
      </w:r>
      <w:r>
        <w:rPr>
          <w:rFonts w:hint="eastAsia" w:ascii="Times New Roman" w:hAnsi="Times New Roman" w:eastAsia="仿宋_GB2312"/>
          <w:bCs/>
          <w:color w:val="000000" w:themeColor="text1"/>
          <w:szCs w:val="32"/>
          <w14:textFill>
            <w14:solidFill>
              <w14:schemeClr w14:val="tx1"/>
            </w14:solidFill>
          </w14:textFill>
        </w:rPr>
        <w:t>”</w:t>
      </w:r>
      <w:r>
        <w:rPr>
          <w:rFonts w:ascii="Times New Roman" w:hAnsi="Times New Roman" w:eastAsia="仿宋_GB2312"/>
          <w:bCs/>
          <w:color w:val="000000" w:themeColor="text1"/>
          <w:szCs w:val="32"/>
          <w14:textFill>
            <w14:solidFill>
              <w14:schemeClr w14:val="tx1"/>
            </w14:solidFill>
          </w14:textFill>
        </w:rPr>
        <w:t>战略，实现大宗商品运输从公路到铁路的转变。</w:t>
      </w:r>
    </w:p>
    <w:p>
      <w:pPr>
        <w:widowControl w:val="0"/>
        <w:adjustRightInd w:val="0"/>
        <w:snapToGrid w:val="0"/>
        <w:spacing w:after="0" w:line="560" w:lineRule="exact"/>
        <w:ind w:firstLine="680" w:firstLineChars="200"/>
        <w:jc w:val="both"/>
        <w:rPr>
          <w:rFonts w:ascii="Times New Roman" w:hAnsi="Times New Roman" w:eastAsia="仿宋_GB2312"/>
          <w:bCs/>
          <w:color w:val="000000" w:themeColor="text1"/>
          <w:szCs w:val="32"/>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持续推进低碳循环发展。</w:t>
      </w:r>
      <w:r>
        <w:rPr>
          <w:rFonts w:ascii="Times New Roman" w:hAnsi="Times New Roman" w:eastAsia="仿宋_GB2312"/>
          <w:bCs/>
          <w:color w:val="000000" w:themeColor="text1"/>
          <w:szCs w:val="32"/>
          <w14:textFill>
            <w14:solidFill>
              <w14:schemeClr w14:val="tx1"/>
            </w14:solidFill>
          </w14:textFill>
        </w:rPr>
        <w:t>完善能源消费总量和强度</w:t>
      </w:r>
      <w:r>
        <w:rPr>
          <w:rFonts w:hint="eastAsia" w:ascii="Times New Roman" w:hAnsi="Times New Roman" w:eastAsia="仿宋_GB2312"/>
          <w:bCs/>
          <w:color w:val="000000" w:themeColor="text1"/>
          <w:szCs w:val="32"/>
          <w14:textFill>
            <w14:solidFill>
              <w14:schemeClr w14:val="tx1"/>
            </w14:solidFill>
          </w14:textFill>
        </w:rPr>
        <w:t>“</w:t>
      </w:r>
      <w:r>
        <w:rPr>
          <w:rFonts w:ascii="Times New Roman" w:hAnsi="Times New Roman" w:eastAsia="仿宋_GB2312"/>
          <w:bCs/>
          <w:color w:val="000000" w:themeColor="text1"/>
          <w:szCs w:val="32"/>
          <w14:textFill>
            <w14:solidFill>
              <w14:schemeClr w14:val="tx1"/>
            </w14:solidFill>
          </w14:textFill>
        </w:rPr>
        <w:t>双控</w:t>
      </w:r>
      <w:r>
        <w:rPr>
          <w:rFonts w:hint="eastAsia" w:ascii="Times New Roman" w:hAnsi="Times New Roman" w:eastAsia="仿宋_GB2312"/>
          <w:bCs/>
          <w:color w:val="000000" w:themeColor="text1"/>
          <w:szCs w:val="32"/>
          <w14:textFill>
            <w14:solidFill>
              <w14:schemeClr w14:val="tx1"/>
            </w14:solidFill>
          </w14:textFill>
        </w:rPr>
        <w:t>”</w:t>
      </w:r>
      <w:r>
        <w:rPr>
          <w:rFonts w:ascii="Times New Roman" w:hAnsi="Times New Roman" w:eastAsia="仿宋_GB2312"/>
          <w:bCs/>
          <w:color w:val="000000" w:themeColor="text1"/>
          <w:szCs w:val="32"/>
          <w14:textFill>
            <w14:solidFill>
              <w14:schemeClr w14:val="tx1"/>
            </w14:solidFill>
          </w14:textFill>
        </w:rPr>
        <w:t>制度，提高能源利用效率，着力推进结构节能、技术节能、管理节能。大力发展循环经济，强化</w:t>
      </w:r>
      <w:r>
        <w:rPr>
          <w:rFonts w:hint="eastAsia" w:ascii="Times New Roman" w:hAnsi="Times New Roman" w:eastAsia="仿宋_GB2312"/>
          <w:bCs/>
          <w:color w:val="000000" w:themeColor="text1"/>
          <w:szCs w:val="32"/>
          <w14:textFill>
            <w14:solidFill>
              <w14:schemeClr w14:val="tx1"/>
            </w14:solidFill>
          </w14:textFill>
        </w:rPr>
        <w:t>“</w:t>
      </w:r>
      <w:r>
        <w:rPr>
          <w:rFonts w:ascii="Times New Roman" w:hAnsi="Times New Roman" w:eastAsia="仿宋_GB2312"/>
          <w:bCs/>
          <w:color w:val="000000" w:themeColor="text1"/>
          <w:szCs w:val="32"/>
          <w14:textFill>
            <w14:solidFill>
              <w14:schemeClr w14:val="tx1"/>
            </w14:solidFill>
          </w14:textFill>
        </w:rPr>
        <w:t>城市矿产</w:t>
      </w:r>
      <w:r>
        <w:rPr>
          <w:rFonts w:hint="eastAsia" w:ascii="Times New Roman" w:hAnsi="Times New Roman" w:eastAsia="仿宋_GB2312"/>
          <w:bCs/>
          <w:color w:val="000000" w:themeColor="text1"/>
          <w:szCs w:val="32"/>
          <w14:textFill>
            <w14:solidFill>
              <w14:schemeClr w14:val="tx1"/>
            </w14:solidFill>
          </w14:textFill>
        </w:rPr>
        <w:t>”</w:t>
      </w:r>
      <w:r>
        <w:rPr>
          <w:rFonts w:ascii="Times New Roman" w:hAnsi="Times New Roman" w:eastAsia="仿宋_GB2312"/>
          <w:bCs/>
          <w:color w:val="000000" w:themeColor="text1"/>
          <w:szCs w:val="32"/>
          <w14:textFill>
            <w14:solidFill>
              <w14:schemeClr w14:val="tx1"/>
            </w14:solidFill>
          </w14:textFill>
        </w:rPr>
        <w:t>的开发利用，以</w:t>
      </w:r>
      <w:r>
        <w:rPr>
          <w:rFonts w:hint="eastAsia" w:ascii="Times New Roman" w:hAnsi="Times New Roman" w:eastAsia="仿宋_GB2312"/>
          <w:bCs/>
          <w:color w:val="000000" w:themeColor="text1"/>
          <w:szCs w:val="32"/>
          <w14:textFill>
            <w14:solidFill>
              <w14:schemeClr w14:val="tx1"/>
            </w14:solidFill>
          </w14:textFill>
        </w:rPr>
        <w:t>“</w:t>
      </w:r>
      <w:r>
        <w:rPr>
          <w:rFonts w:ascii="Times New Roman" w:hAnsi="Times New Roman" w:eastAsia="仿宋_GB2312"/>
          <w:bCs/>
          <w:color w:val="000000" w:themeColor="text1"/>
          <w:szCs w:val="32"/>
          <w14:textFill>
            <w14:solidFill>
              <w14:schemeClr w14:val="tx1"/>
            </w14:solidFill>
          </w14:textFill>
        </w:rPr>
        <w:t>无废城市</w:t>
      </w:r>
      <w:r>
        <w:rPr>
          <w:rFonts w:hint="eastAsia" w:ascii="Times New Roman" w:hAnsi="Times New Roman" w:eastAsia="仿宋_GB2312"/>
          <w:bCs/>
          <w:color w:val="000000" w:themeColor="text1"/>
          <w:szCs w:val="32"/>
          <w14:textFill>
            <w14:solidFill>
              <w14:schemeClr w14:val="tx1"/>
            </w14:solidFill>
          </w14:textFill>
        </w:rPr>
        <w:t>”</w:t>
      </w:r>
      <w:r>
        <w:rPr>
          <w:rFonts w:ascii="Times New Roman" w:hAnsi="Times New Roman" w:eastAsia="仿宋_GB2312"/>
          <w:bCs/>
          <w:color w:val="000000" w:themeColor="text1"/>
          <w:szCs w:val="32"/>
          <w14:textFill>
            <w14:solidFill>
              <w14:schemeClr w14:val="tx1"/>
            </w14:solidFill>
          </w14:textFill>
        </w:rPr>
        <w:t>建设为抓手，推进旧机电设备、旧家电等重点领域再制造产业发展，建立和完善垃圾分类体系和废旧物资循环利用体系，做好固废危废安全处置。依托静脉产业园，推动餐厨废弃物、建筑垃圾、包装废弃物、电子垃圾、废旧农膜、污泥等资源化利用和无害化处置，强力推动新型无废城市建设EOD（生态环境导向开发）模式试点项目，推进生产和生活系统循环链接，探索可借鉴、可复制、可推广</w:t>
      </w:r>
      <w:r>
        <w:rPr>
          <w:rFonts w:hint="eastAsia" w:ascii="Times New Roman" w:hAnsi="Times New Roman" w:eastAsia="仿宋_GB2312"/>
          <w:bCs/>
          <w:color w:val="000000" w:themeColor="text1"/>
          <w:szCs w:val="32"/>
          <w14:textFill>
            <w14:solidFill>
              <w14:schemeClr w14:val="tx1"/>
            </w14:solidFill>
          </w14:textFill>
        </w:rPr>
        <w:t>“</w:t>
      </w:r>
      <w:r>
        <w:rPr>
          <w:rFonts w:ascii="Times New Roman" w:hAnsi="Times New Roman" w:eastAsia="仿宋_GB2312"/>
          <w:bCs/>
          <w:color w:val="000000" w:themeColor="text1"/>
          <w:szCs w:val="32"/>
          <w14:textFill>
            <w14:solidFill>
              <w14:schemeClr w14:val="tx1"/>
            </w14:solidFill>
          </w14:textFill>
        </w:rPr>
        <w:t>无废城市</w:t>
      </w:r>
      <w:r>
        <w:rPr>
          <w:rFonts w:hint="eastAsia" w:ascii="Times New Roman" w:hAnsi="Times New Roman" w:eastAsia="仿宋_GB2312"/>
          <w:bCs/>
          <w:color w:val="000000" w:themeColor="text1"/>
          <w:szCs w:val="32"/>
          <w14:textFill>
            <w14:solidFill>
              <w14:schemeClr w14:val="tx1"/>
            </w14:solidFill>
          </w14:textFill>
        </w:rPr>
        <w:t>”</w:t>
      </w:r>
      <w:r>
        <w:rPr>
          <w:rFonts w:ascii="Times New Roman" w:hAnsi="Times New Roman" w:eastAsia="仿宋_GB2312"/>
          <w:bCs/>
          <w:color w:val="000000" w:themeColor="text1"/>
          <w:szCs w:val="32"/>
          <w14:textFill>
            <w14:solidFill>
              <w14:schemeClr w14:val="tx1"/>
            </w14:solidFill>
          </w14:textFill>
        </w:rPr>
        <w:t>建设的魏都路径。强化水资源总量强度指标双约束，以</w:t>
      </w:r>
      <w:r>
        <w:rPr>
          <w:rFonts w:hint="eastAsia" w:ascii="Times New Roman" w:hAnsi="Times New Roman" w:eastAsia="仿宋_GB2312"/>
          <w:bCs/>
          <w:color w:val="000000" w:themeColor="text1"/>
          <w:szCs w:val="32"/>
          <w14:textFill>
            <w14:solidFill>
              <w14:schemeClr w14:val="tx1"/>
            </w14:solidFill>
          </w14:textFill>
        </w:rPr>
        <w:t>“</w:t>
      </w:r>
      <w:r>
        <w:rPr>
          <w:rFonts w:ascii="Times New Roman" w:hAnsi="Times New Roman" w:eastAsia="仿宋_GB2312"/>
          <w:bCs/>
          <w:color w:val="000000" w:themeColor="text1"/>
          <w:szCs w:val="32"/>
          <w14:textFill>
            <w14:solidFill>
              <w14:schemeClr w14:val="tx1"/>
            </w14:solidFill>
          </w14:textFill>
        </w:rPr>
        <w:t>海绵城市</w:t>
      </w:r>
      <w:r>
        <w:rPr>
          <w:rFonts w:hint="eastAsia" w:ascii="Times New Roman" w:hAnsi="Times New Roman" w:eastAsia="仿宋_GB2312"/>
          <w:bCs/>
          <w:color w:val="000000" w:themeColor="text1"/>
          <w:szCs w:val="32"/>
          <w14:textFill>
            <w14:solidFill>
              <w14:schemeClr w14:val="tx1"/>
            </w14:solidFill>
          </w14:textFill>
        </w:rPr>
        <w:t>”</w:t>
      </w:r>
      <w:r>
        <w:rPr>
          <w:rFonts w:ascii="Times New Roman" w:hAnsi="Times New Roman" w:eastAsia="仿宋_GB2312"/>
          <w:bCs/>
          <w:color w:val="000000" w:themeColor="text1"/>
          <w:szCs w:val="32"/>
          <w14:textFill>
            <w14:solidFill>
              <w14:schemeClr w14:val="tx1"/>
            </w14:solidFill>
          </w14:textFill>
        </w:rPr>
        <w:t>建设为抓手，加强雨水、再生水资源的开发利用，全面提升水资源利用效率。持续实施节水行动</w:t>
      </w:r>
      <w:r>
        <w:rPr>
          <w:rFonts w:hint="eastAsia" w:ascii="Times New Roman" w:hAnsi="Times New Roman" w:eastAsia="仿宋_GB2312"/>
          <w:bCs/>
          <w:color w:val="000000" w:themeColor="text1"/>
          <w:szCs w:val="32"/>
          <w14:textFill>
            <w14:solidFill>
              <w14:schemeClr w14:val="tx1"/>
            </w14:solidFill>
          </w14:textFill>
        </w:rPr>
        <w:t>，</w:t>
      </w:r>
      <w:r>
        <w:rPr>
          <w:rFonts w:ascii="Times New Roman" w:hAnsi="Times New Roman" w:eastAsia="仿宋_GB2312"/>
          <w:bCs/>
          <w:color w:val="000000" w:themeColor="text1"/>
          <w:szCs w:val="32"/>
          <w14:textFill>
            <w14:solidFill>
              <w14:schemeClr w14:val="tx1"/>
            </w14:solidFill>
          </w14:textFill>
        </w:rPr>
        <w:t xml:space="preserve"> 加大节水宣传教育力度</w:t>
      </w:r>
      <w:r>
        <w:rPr>
          <w:rFonts w:hint="eastAsia" w:ascii="Times New Roman" w:hAnsi="Times New Roman" w:eastAsia="仿宋_GB2312"/>
          <w:bCs/>
          <w:color w:val="000000" w:themeColor="text1"/>
          <w:szCs w:val="32"/>
          <w14:textFill>
            <w14:solidFill>
              <w14:schemeClr w14:val="tx1"/>
            </w14:solidFill>
          </w14:textFill>
        </w:rPr>
        <w:t>，</w:t>
      </w:r>
      <w:r>
        <w:rPr>
          <w:rFonts w:ascii="Times New Roman" w:hAnsi="Times New Roman" w:eastAsia="仿宋_GB2312"/>
          <w:bCs/>
          <w:color w:val="000000" w:themeColor="text1"/>
          <w:szCs w:val="32"/>
          <w14:textFill>
            <w14:solidFill>
              <w14:schemeClr w14:val="tx1"/>
            </w14:solidFill>
          </w14:textFill>
        </w:rPr>
        <w:t>建立节水评价机制</w:t>
      </w:r>
      <w:r>
        <w:rPr>
          <w:rFonts w:hint="eastAsia" w:ascii="Times New Roman" w:hAnsi="Times New Roman" w:eastAsia="仿宋_GB2312"/>
          <w:bCs/>
          <w:color w:val="000000" w:themeColor="text1"/>
          <w:szCs w:val="32"/>
          <w14:textFill>
            <w14:solidFill>
              <w14:schemeClr w14:val="tx1"/>
            </w14:solidFill>
          </w14:textFill>
        </w:rPr>
        <w:t>，</w:t>
      </w:r>
      <w:r>
        <w:rPr>
          <w:rFonts w:ascii="Times New Roman" w:hAnsi="Times New Roman" w:eastAsia="仿宋_GB2312"/>
          <w:bCs/>
          <w:color w:val="000000" w:themeColor="text1"/>
          <w:szCs w:val="32"/>
          <w14:textFill>
            <w14:solidFill>
              <w14:schemeClr w14:val="tx1"/>
            </w14:solidFill>
          </w14:textFill>
        </w:rPr>
        <w:t>扎实推进节水型企业、节水型单位、节水型居民小区等载体建设</w:t>
      </w:r>
      <w:r>
        <w:rPr>
          <w:rFonts w:hint="eastAsia" w:ascii="Times New Roman" w:hAnsi="Times New Roman" w:eastAsia="仿宋_GB2312"/>
          <w:bCs/>
          <w:color w:val="000000" w:themeColor="text1"/>
          <w:szCs w:val="32"/>
          <w14:textFill>
            <w14:solidFill>
              <w14:schemeClr w14:val="tx1"/>
            </w14:solidFill>
          </w14:textFill>
        </w:rPr>
        <w:t>，</w:t>
      </w:r>
      <w:r>
        <w:rPr>
          <w:rFonts w:ascii="Times New Roman" w:hAnsi="Times New Roman" w:eastAsia="仿宋_GB2312"/>
          <w:bCs/>
          <w:color w:val="000000" w:themeColor="text1"/>
          <w:szCs w:val="32"/>
          <w14:textFill>
            <w14:solidFill>
              <w14:schemeClr w14:val="tx1"/>
            </w14:solidFill>
          </w14:textFill>
        </w:rPr>
        <w:t>在全社会形成节水的浓厚氛围。深入开展绿色生活创建，实行奖励和强制相结合的绿色消费政策，大力开展绿色机关、绿色家庭、绿色学校、绿色社区、绿色商场、绿色建筑创建活动，倡导和践行简约适度、绿色低碳的生活理念和生活方式，推动绿色消费，畅通绿色产品销售渠道，促进绿色发展。配合许昌市加快充电设施建设，推动新能源汽车应用规模化和公交车、出租车、物流车电动化。</w:t>
      </w:r>
    </w:p>
    <w:p>
      <w:pPr>
        <w:widowControl w:val="0"/>
        <w:adjustRightInd w:val="0"/>
        <w:snapToGrid w:val="0"/>
        <w:spacing w:after="0" w:line="560" w:lineRule="exact"/>
        <w:ind w:firstLine="680" w:firstLineChars="200"/>
        <w:jc w:val="both"/>
        <w:rPr>
          <w:rFonts w:ascii="Times New Roman" w:hAnsi="Times New Roman" w:eastAsia="仿宋_GB2312"/>
          <w:bCs/>
          <w:color w:val="000000" w:themeColor="text1"/>
          <w:szCs w:val="32"/>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健全绿色发展政策体系。</w:t>
      </w:r>
      <w:r>
        <w:rPr>
          <w:rFonts w:ascii="Times New Roman" w:hAnsi="Times New Roman" w:eastAsia="仿宋_GB2312"/>
          <w:bCs/>
          <w:color w:val="000000" w:themeColor="text1"/>
          <w:szCs w:val="32"/>
          <w14:textFill>
            <w14:solidFill>
              <w14:schemeClr w14:val="tx1"/>
            </w14:solidFill>
          </w14:textFill>
        </w:rPr>
        <w:t>落实好税收优惠政策，大力支持产业绿色转型、绿色技术创新、绿色产业培育、绿色生活创建等。积极争取许昌市绿色金融发展基金，吸引更多社会</w:t>
      </w:r>
      <w:r>
        <w:rPr>
          <w:rFonts w:ascii="Times New Roman" w:hAnsi="Times New Roman" w:eastAsia="仿宋_GB2312"/>
          <w:bCs/>
          <w:color w:val="000000" w:themeColor="text1"/>
          <w:spacing w:val="-6"/>
          <w:szCs w:val="32"/>
          <w14:textFill>
            <w14:solidFill>
              <w14:schemeClr w14:val="tx1"/>
            </w14:solidFill>
          </w14:textFill>
        </w:rPr>
        <w:t>资本投资绿色产业。健全污水处理和垃圾处理收费机制、节约用水价格机制、节能环保电价机制，引导社会走上集约化道路</w:t>
      </w:r>
      <w:r>
        <w:rPr>
          <w:rFonts w:ascii="Times New Roman" w:hAnsi="Times New Roman" w:eastAsia="仿宋_GB2312"/>
          <w:bCs/>
          <w:color w:val="000000" w:themeColor="text1"/>
          <w:szCs w:val="32"/>
          <w14:textFill>
            <w14:solidFill>
              <w14:schemeClr w14:val="tx1"/>
            </w14:solidFill>
          </w14:textFill>
        </w:rPr>
        <w:t>。</w:t>
      </w:r>
    </w:p>
    <w:p>
      <w:pPr>
        <w:pStyle w:val="5"/>
        <w:keepNext w:val="0"/>
        <w:keepLines w:val="0"/>
        <w:widowControl w:val="0"/>
        <w:adjustRightInd w:val="0"/>
        <w:snapToGrid w:val="0"/>
        <w:spacing w:before="297" w:beforeLines="50" w:after="297" w:afterLines="50" w:line="560" w:lineRule="exact"/>
        <w:ind w:firstLine="0" w:firstLineChars="0"/>
      </w:pPr>
      <w:bookmarkStart w:id="86" w:name="_Toc11430"/>
      <w:r>
        <w:t>第四节  健全现代生态文明治理体系</w:t>
      </w:r>
      <w:bookmarkEnd w:id="86"/>
    </w:p>
    <w:p>
      <w:pPr>
        <w:widowControl w:val="0"/>
        <w:adjustRightInd w:val="0"/>
        <w:snapToGrid w:val="0"/>
        <w:spacing w:after="0" w:line="560" w:lineRule="exact"/>
        <w:ind w:firstLine="680" w:firstLineChars="200"/>
        <w:rPr>
          <w:rFonts w:ascii="Times New Roman" w:hAnsi="Times New Roman" w:eastAsia="仿宋_GB2312"/>
          <w:bCs/>
          <w:color w:val="000000" w:themeColor="text1"/>
          <w:szCs w:val="32"/>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构建生态治理监管体系。</w:t>
      </w:r>
      <w:r>
        <w:rPr>
          <w:rFonts w:ascii="Times New Roman" w:hAnsi="Times New Roman" w:eastAsia="仿宋_GB2312"/>
          <w:bCs/>
          <w:color w:val="000000" w:themeColor="text1"/>
          <w:szCs w:val="32"/>
          <w14:textFill>
            <w14:solidFill>
              <w14:schemeClr w14:val="tx1"/>
            </w14:solidFill>
          </w14:textFill>
        </w:rPr>
        <w:t>以生态保护红线、环境质量底线、资源利用上线和生态环境准入清单（</w:t>
      </w:r>
      <w:r>
        <w:rPr>
          <w:rFonts w:hint="eastAsia" w:ascii="Times New Roman" w:hAnsi="Times New Roman" w:eastAsia="仿宋_GB2312"/>
          <w:bCs/>
          <w:color w:val="000000" w:themeColor="text1"/>
          <w:szCs w:val="32"/>
          <w14:textFill>
            <w14:solidFill>
              <w14:schemeClr w14:val="tx1"/>
            </w14:solidFill>
          </w14:textFill>
        </w:rPr>
        <w:t>“</w:t>
      </w:r>
      <w:r>
        <w:rPr>
          <w:rFonts w:ascii="Times New Roman" w:hAnsi="Times New Roman" w:eastAsia="仿宋_GB2312"/>
          <w:bCs/>
          <w:color w:val="000000" w:themeColor="text1"/>
          <w:szCs w:val="32"/>
          <w14:textFill>
            <w14:solidFill>
              <w14:schemeClr w14:val="tx1"/>
            </w14:solidFill>
          </w14:textFill>
        </w:rPr>
        <w:t>三线一单</w:t>
      </w:r>
      <w:r>
        <w:rPr>
          <w:rFonts w:hint="eastAsia" w:ascii="Times New Roman" w:hAnsi="Times New Roman" w:eastAsia="仿宋_GB2312"/>
          <w:bCs/>
          <w:color w:val="000000" w:themeColor="text1"/>
          <w:szCs w:val="32"/>
          <w14:textFill>
            <w14:solidFill>
              <w14:schemeClr w14:val="tx1"/>
            </w14:solidFill>
          </w14:textFill>
        </w:rPr>
        <w:t>”</w:t>
      </w:r>
      <w:r>
        <w:rPr>
          <w:rFonts w:ascii="Times New Roman" w:hAnsi="Times New Roman" w:eastAsia="仿宋_GB2312"/>
          <w:bCs/>
          <w:color w:val="000000" w:themeColor="text1"/>
          <w:szCs w:val="32"/>
          <w14:textFill>
            <w14:solidFill>
              <w14:schemeClr w14:val="tx1"/>
            </w14:solidFill>
          </w14:textFill>
        </w:rPr>
        <w:t>）为抓手，实施分类管控，构建源头严防、过程严管、后果严惩的全过程监管体系。积极推行生态环境第三方治理，配合许昌市开展园区污染防治第三方治理示范，建立健全</w:t>
      </w:r>
      <w:r>
        <w:rPr>
          <w:rFonts w:hint="eastAsia" w:ascii="Times New Roman" w:hAnsi="Times New Roman" w:eastAsia="仿宋_GB2312"/>
          <w:bCs/>
          <w:color w:val="000000" w:themeColor="text1"/>
          <w:szCs w:val="32"/>
          <w14:textFill>
            <w14:solidFill>
              <w14:schemeClr w14:val="tx1"/>
            </w14:solidFill>
          </w14:textFill>
        </w:rPr>
        <w:t>“</w:t>
      </w:r>
      <w:r>
        <w:rPr>
          <w:rFonts w:ascii="Times New Roman" w:hAnsi="Times New Roman" w:eastAsia="仿宋_GB2312"/>
          <w:bCs/>
          <w:color w:val="000000" w:themeColor="text1"/>
          <w:szCs w:val="32"/>
          <w14:textFill>
            <w14:solidFill>
              <w14:schemeClr w14:val="tx1"/>
            </w14:solidFill>
          </w14:textFill>
        </w:rPr>
        <w:t>污染者付费+第三方治理</w:t>
      </w:r>
      <w:r>
        <w:rPr>
          <w:rFonts w:hint="eastAsia" w:ascii="Times New Roman" w:hAnsi="Times New Roman" w:eastAsia="仿宋_GB2312"/>
          <w:bCs/>
          <w:color w:val="000000" w:themeColor="text1"/>
          <w:szCs w:val="32"/>
          <w14:textFill>
            <w14:solidFill>
              <w14:schemeClr w14:val="tx1"/>
            </w14:solidFill>
          </w14:textFill>
        </w:rPr>
        <w:t>”</w:t>
      </w:r>
      <w:r>
        <w:rPr>
          <w:rFonts w:ascii="Times New Roman" w:hAnsi="Times New Roman" w:eastAsia="仿宋_GB2312"/>
          <w:bCs/>
          <w:color w:val="000000" w:themeColor="text1"/>
          <w:szCs w:val="32"/>
          <w14:textFill>
            <w14:solidFill>
              <w14:schemeClr w14:val="tx1"/>
            </w14:solidFill>
          </w14:textFill>
        </w:rPr>
        <w:t>等新模式。</w:t>
      </w:r>
    </w:p>
    <w:p>
      <w:pPr>
        <w:widowControl w:val="0"/>
        <w:adjustRightInd w:val="0"/>
        <w:snapToGrid w:val="0"/>
        <w:spacing w:after="0" w:line="560" w:lineRule="exact"/>
        <w:ind w:firstLine="680" w:firstLineChars="200"/>
        <w:rPr>
          <w:rFonts w:ascii="Times New Roman" w:hAnsi="Times New Roman" w:eastAsia="仿宋_GB2312"/>
          <w:bCs/>
          <w:color w:val="000000" w:themeColor="text1"/>
          <w:szCs w:val="32"/>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开展固定污染源清理整顿。</w:t>
      </w:r>
      <w:r>
        <w:rPr>
          <w:rFonts w:ascii="Times New Roman" w:hAnsi="Times New Roman" w:eastAsia="仿宋_GB2312"/>
          <w:bCs/>
          <w:color w:val="000000" w:themeColor="text1"/>
          <w:szCs w:val="32"/>
          <w14:textFill>
            <w14:solidFill>
              <w14:schemeClr w14:val="tx1"/>
            </w14:solidFill>
          </w14:textFill>
        </w:rPr>
        <w:t>加强以排污许可为核心的固定污染源监管，严厉打击无证排放。严格执行重点排污单位环境信用分级分类监管，推进环境保护领域严惩失信行为惩戒行动，完善环境信用体系。严格实行生态环境损害赔偿制度，加强生态环境保护综合执法队伍建设，落实生态文明建设考核和责任追究制度。</w:t>
      </w:r>
      <w:bookmarkStart w:id="87" w:name="_Toc30011"/>
      <w:bookmarkStart w:id="88" w:name="_Toc55780669"/>
      <w:bookmarkStart w:id="89" w:name="_Toc17065"/>
    </w:p>
    <w:p>
      <w:pPr>
        <w:widowControl w:val="0"/>
        <w:adjustRightInd w:val="0"/>
        <w:snapToGrid w:val="0"/>
        <w:spacing w:after="0" w:line="560" w:lineRule="exact"/>
        <w:ind w:firstLine="680" w:firstLineChars="200"/>
        <w:rPr>
          <w:rFonts w:ascii="Times New Roman" w:hAnsi="Times New Roman" w:eastAsia="仿宋_GB2312"/>
          <w:bCs/>
          <w:color w:val="000000" w:themeColor="text1"/>
          <w:szCs w:val="32"/>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提升智慧监管能力。</w:t>
      </w:r>
      <w:r>
        <w:rPr>
          <w:rFonts w:ascii="Times New Roman" w:hAnsi="Times New Roman" w:eastAsia="仿宋_GB2312"/>
          <w:bCs/>
          <w:color w:val="000000" w:themeColor="text1"/>
          <w:szCs w:val="32"/>
          <w14:textFill>
            <w14:solidFill>
              <w14:schemeClr w14:val="tx1"/>
            </w14:solidFill>
          </w14:textFill>
        </w:rPr>
        <w:t>开展生态系统保护成效监测评估，加强监测数据的集成分析和综合利用，及时发现变化、预警风险，推动问题早发现、早处置、早整改。强化生态环境风险防控和生态环境问题突发事件应急管理，妥善处置环境突发事件，维护生态环境安全。完善环保信息公开和举报制度，强化社会监督。加强生态环境保护宣传教育，大力弘扬生态文化，增强全社会生态环保意识。</w:t>
      </w:r>
    </w:p>
    <w:p>
      <w:pPr>
        <w:pStyle w:val="2"/>
        <w:widowControl w:val="0"/>
        <w:adjustRightInd w:val="0"/>
        <w:snapToGrid w:val="0"/>
        <w:ind w:firstLine="340"/>
      </w:pPr>
    </w:p>
    <w:p>
      <w:pPr>
        <w:pStyle w:val="2"/>
        <w:widowControl w:val="0"/>
        <w:adjustRightInd w:val="0"/>
        <w:snapToGrid w:val="0"/>
        <w:ind w:firstLine="340"/>
      </w:pPr>
    </w:p>
    <w:p>
      <w:pPr>
        <w:pStyle w:val="2"/>
        <w:widowControl w:val="0"/>
        <w:adjustRightInd w:val="0"/>
        <w:snapToGrid w:val="0"/>
        <w:ind w:firstLine="340"/>
      </w:pPr>
    </w:p>
    <w:p>
      <w:pPr>
        <w:pStyle w:val="2"/>
        <w:widowControl w:val="0"/>
        <w:adjustRightInd w:val="0"/>
        <w:snapToGrid w:val="0"/>
        <w:ind w:firstLine="340"/>
      </w:pPr>
    </w:p>
    <w:p>
      <w:pPr>
        <w:pStyle w:val="2"/>
        <w:widowControl w:val="0"/>
        <w:adjustRightInd w:val="0"/>
        <w:snapToGrid w:val="0"/>
        <w:ind w:firstLine="340"/>
      </w:pPr>
    </w:p>
    <w:p>
      <w:pPr>
        <w:pStyle w:val="2"/>
        <w:widowControl w:val="0"/>
        <w:adjustRightInd w:val="0"/>
        <w:snapToGrid w:val="0"/>
        <w:ind w:firstLine="340"/>
      </w:pPr>
    </w:p>
    <w:p>
      <w:pPr>
        <w:pStyle w:val="2"/>
        <w:widowControl w:val="0"/>
        <w:adjustRightInd w:val="0"/>
        <w:snapToGrid w:val="0"/>
        <w:ind w:firstLine="340"/>
      </w:pPr>
    </w:p>
    <w:p>
      <w:pPr>
        <w:pStyle w:val="2"/>
        <w:widowControl w:val="0"/>
        <w:adjustRightInd w:val="0"/>
        <w:snapToGrid w:val="0"/>
        <w:ind w:firstLine="340"/>
      </w:pPr>
    </w:p>
    <w:p>
      <w:pPr>
        <w:pStyle w:val="2"/>
        <w:widowControl w:val="0"/>
        <w:adjustRightInd w:val="0"/>
        <w:snapToGrid w:val="0"/>
        <w:ind w:firstLine="340"/>
      </w:pPr>
    </w:p>
    <w:p>
      <w:pPr>
        <w:pStyle w:val="2"/>
        <w:widowControl w:val="0"/>
        <w:adjustRightInd w:val="0"/>
        <w:snapToGrid w:val="0"/>
        <w:ind w:firstLine="340"/>
      </w:pPr>
    </w:p>
    <w:p>
      <w:pPr>
        <w:pStyle w:val="2"/>
        <w:widowControl w:val="0"/>
        <w:adjustRightInd w:val="0"/>
        <w:snapToGrid w:val="0"/>
        <w:ind w:firstLine="340"/>
      </w:pPr>
    </w:p>
    <w:p>
      <w:pPr>
        <w:pStyle w:val="2"/>
        <w:widowControl w:val="0"/>
        <w:adjustRightInd w:val="0"/>
        <w:snapToGrid w:val="0"/>
        <w:ind w:firstLine="340"/>
      </w:pPr>
    </w:p>
    <w:p>
      <w:pPr>
        <w:pStyle w:val="2"/>
        <w:widowControl w:val="0"/>
        <w:adjustRightInd w:val="0"/>
        <w:snapToGrid w:val="0"/>
        <w:ind w:firstLine="340"/>
      </w:pPr>
    </w:p>
    <w:p>
      <w:pPr>
        <w:pStyle w:val="2"/>
        <w:widowControl w:val="0"/>
        <w:adjustRightInd w:val="0"/>
        <w:snapToGrid w:val="0"/>
        <w:ind w:firstLine="340"/>
      </w:pPr>
    </w:p>
    <w:p>
      <w:pPr>
        <w:pStyle w:val="2"/>
        <w:widowControl w:val="0"/>
        <w:adjustRightInd w:val="0"/>
        <w:snapToGrid w:val="0"/>
        <w:ind w:firstLine="340"/>
      </w:pPr>
    </w:p>
    <w:p>
      <w:pPr>
        <w:pStyle w:val="2"/>
        <w:widowControl w:val="0"/>
        <w:adjustRightInd w:val="0"/>
        <w:snapToGrid w:val="0"/>
        <w:ind w:firstLine="340"/>
      </w:pPr>
    </w:p>
    <w:p>
      <w:pPr>
        <w:pStyle w:val="4"/>
        <w:keepNext w:val="0"/>
        <w:keepLines w:val="0"/>
        <w:widowControl w:val="0"/>
        <w:numPr>
          <w:ilvl w:val="0"/>
          <w:numId w:val="1"/>
        </w:numPr>
        <w:adjustRightInd w:val="0"/>
        <w:snapToGrid w:val="0"/>
        <w:spacing w:after="0" w:line="600" w:lineRule="exact"/>
      </w:pPr>
      <w:bookmarkStart w:id="90" w:name="_Toc28042"/>
      <w:bookmarkStart w:id="91" w:name="_Toc17769"/>
      <w:r>
        <w:rPr>
          <w:rFonts w:hint="eastAsia"/>
        </w:rPr>
        <w:t>深入</w:t>
      </w:r>
      <w:r>
        <w:t>推进改革开放</w:t>
      </w:r>
      <w:r>
        <w:rPr>
          <w:rFonts w:hint="eastAsia"/>
        </w:rPr>
        <w:t>，</w:t>
      </w:r>
      <w:r>
        <w:t>激发对内对外</w:t>
      </w:r>
    </w:p>
    <w:p>
      <w:pPr>
        <w:pStyle w:val="4"/>
        <w:keepNext w:val="0"/>
        <w:keepLines w:val="0"/>
        <w:widowControl w:val="0"/>
        <w:adjustRightInd w:val="0"/>
        <w:snapToGrid w:val="0"/>
        <w:spacing w:after="0" w:line="600" w:lineRule="exact"/>
      </w:pPr>
      <w:r>
        <w:t>发展新</w:t>
      </w:r>
      <w:bookmarkEnd w:id="87"/>
      <w:r>
        <w:t>活力</w:t>
      </w:r>
      <w:bookmarkEnd w:id="88"/>
      <w:bookmarkEnd w:id="89"/>
      <w:bookmarkEnd w:id="90"/>
      <w:bookmarkEnd w:id="91"/>
    </w:p>
    <w:p>
      <w:pPr>
        <w:widowControl w:val="0"/>
        <w:adjustRightInd w:val="0"/>
        <w:snapToGrid w:val="0"/>
        <w:spacing w:after="0" w:line="590" w:lineRule="exact"/>
        <w:ind w:firstLine="640"/>
        <w:rPr>
          <w:rFonts w:ascii="Times New Roman" w:hAnsi="Times New Roman" w:eastAsia="仿宋_GB2312"/>
          <w:bCs/>
          <w:color w:val="000000" w:themeColor="text1"/>
          <w:szCs w:val="32"/>
          <w14:textFill>
            <w14:solidFill>
              <w14:schemeClr w14:val="tx1"/>
            </w14:solidFill>
          </w14:textFill>
        </w:rPr>
      </w:pPr>
    </w:p>
    <w:p>
      <w:pPr>
        <w:widowControl w:val="0"/>
        <w:adjustRightInd w:val="0"/>
        <w:snapToGrid w:val="0"/>
        <w:spacing w:after="0" w:line="590" w:lineRule="exact"/>
        <w:ind w:firstLine="640"/>
        <w:rPr>
          <w:rFonts w:ascii="Times New Roman" w:hAnsi="Times New Roman" w:eastAsia="仿宋_GB2312"/>
          <w:bCs/>
          <w:color w:val="000000" w:themeColor="text1"/>
          <w:szCs w:val="32"/>
          <w14:textFill>
            <w14:solidFill>
              <w14:schemeClr w14:val="tx1"/>
            </w14:solidFill>
          </w14:textFill>
        </w:rPr>
      </w:pPr>
      <w:r>
        <w:rPr>
          <w:rFonts w:ascii="Times New Roman" w:hAnsi="Times New Roman" w:eastAsia="仿宋_GB2312"/>
          <w:bCs/>
          <w:color w:val="000000" w:themeColor="text1"/>
          <w:szCs w:val="32"/>
          <w14:textFill>
            <w14:solidFill>
              <w14:schemeClr w14:val="tx1"/>
            </w14:solidFill>
          </w14:textFill>
        </w:rPr>
        <w:t>坚持以改革破解难题，以开放寻求突破，强化有效投资，激发潜在消费，积极融入国内国际双循环大格局。</w:t>
      </w:r>
    </w:p>
    <w:p>
      <w:pPr>
        <w:pStyle w:val="5"/>
        <w:keepNext w:val="0"/>
        <w:keepLines w:val="0"/>
        <w:widowControl w:val="0"/>
        <w:adjustRightInd w:val="0"/>
        <w:snapToGrid w:val="0"/>
        <w:spacing w:before="297" w:beforeLines="50" w:after="297" w:afterLines="50" w:line="580" w:lineRule="exact"/>
        <w:ind w:firstLine="0" w:firstLineChars="0"/>
      </w:pPr>
      <w:bookmarkStart w:id="92" w:name="_Toc816"/>
      <w:bookmarkStart w:id="93" w:name="_Toc7425"/>
      <w:r>
        <w:t>第一节   加快城乡融合发展试验区改革</w:t>
      </w:r>
      <w:bookmarkEnd w:id="92"/>
      <w:bookmarkEnd w:id="93"/>
    </w:p>
    <w:p>
      <w:pPr>
        <w:widowControl w:val="0"/>
        <w:adjustRightInd w:val="0"/>
        <w:snapToGrid w:val="0"/>
        <w:spacing w:after="0" w:line="590" w:lineRule="exact"/>
        <w:ind w:firstLine="640"/>
        <w:rPr>
          <w:rFonts w:ascii="Times New Roman" w:hAnsi="Times New Roman" w:eastAsia="仿宋_GB2312"/>
          <w:bCs/>
          <w:color w:val="000000" w:themeColor="text1"/>
          <w:szCs w:val="32"/>
          <w14:textFill>
            <w14:solidFill>
              <w14:schemeClr w14:val="tx1"/>
            </w14:solidFill>
          </w14:textFill>
        </w:rPr>
      </w:pPr>
      <w:r>
        <w:rPr>
          <w:rFonts w:ascii="Times New Roman" w:hAnsi="Times New Roman" w:eastAsia="仿宋_GB2312"/>
          <w:bCs/>
          <w:color w:val="000000" w:themeColor="text1"/>
          <w:szCs w:val="32"/>
          <w14:textFill>
            <w14:solidFill>
              <w14:schemeClr w14:val="tx1"/>
            </w14:solidFill>
          </w14:textFill>
        </w:rPr>
        <w:t>以搭建城中村改造合作平台为重点，加快探索农村集体经营性建设用地入市制度、城乡基本公共服务均等化和城乡基础设施一化体化发展的体制机制，为全省城乡融合发展提供可复制推广的经验。</w:t>
      </w:r>
    </w:p>
    <w:p>
      <w:pPr>
        <w:pStyle w:val="5"/>
        <w:keepNext w:val="0"/>
        <w:keepLines w:val="0"/>
        <w:widowControl w:val="0"/>
        <w:adjustRightInd w:val="0"/>
        <w:snapToGrid w:val="0"/>
        <w:spacing w:before="297" w:beforeLines="50" w:after="297" w:afterLines="50" w:line="580" w:lineRule="exact"/>
        <w:ind w:firstLine="0" w:firstLineChars="0"/>
      </w:pPr>
      <w:bookmarkStart w:id="94" w:name="_Toc1658"/>
      <w:bookmarkStart w:id="95" w:name="_Toc29985"/>
      <w:r>
        <w:t>第二节  持续优化营商环境</w:t>
      </w:r>
      <w:bookmarkEnd w:id="94"/>
      <w:bookmarkEnd w:id="95"/>
    </w:p>
    <w:p>
      <w:pPr>
        <w:widowControl w:val="0"/>
        <w:adjustRightInd w:val="0"/>
        <w:snapToGrid w:val="0"/>
        <w:spacing w:after="0" w:line="590" w:lineRule="exact"/>
        <w:ind w:firstLine="641"/>
        <w:jc w:val="both"/>
        <w:rPr>
          <w:rFonts w:ascii="Times New Roman" w:hAnsi="Times New Roman" w:eastAsia="仿宋_GB2312"/>
          <w:bCs/>
          <w:color w:val="000000" w:themeColor="text1"/>
          <w:szCs w:val="32"/>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放宽市场准入。</w:t>
      </w:r>
      <w:r>
        <w:rPr>
          <w:rFonts w:ascii="Times New Roman" w:hAnsi="Times New Roman" w:eastAsia="仿宋_GB2312"/>
          <w:color w:val="000000" w:themeColor="text1"/>
          <w:spacing w:val="2"/>
          <w:szCs w:val="32"/>
          <w14:textFill>
            <w14:solidFill>
              <w14:schemeClr w14:val="tx1"/>
            </w14:solidFill>
          </w14:textFill>
        </w:rPr>
        <w:t>放宽小微企业、个体工商户登记经营场所限制，实行住所（经营场所）自主申报承诺制。探索推进</w:t>
      </w:r>
      <w:r>
        <w:rPr>
          <w:rFonts w:hint="eastAsia" w:ascii="Times New Roman" w:hAnsi="Times New Roman" w:eastAsia="仿宋_GB2312"/>
          <w:color w:val="000000" w:themeColor="text1"/>
          <w:spacing w:val="2"/>
          <w:szCs w:val="32"/>
          <w14:textFill>
            <w14:solidFill>
              <w14:schemeClr w14:val="tx1"/>
            </w14:solidFill>
          </w14:textFill>
        </w:rPr>
        <w:t>“</w:t>
      </w:r>
      <w:r>
        <w:rPr>
          <w:rFonts w:ascii="Times New Roman" w:hAnsi="Times New Roman" w:eastAsia="仿宋_GB2312"/>
          <w:color w:val="000000" w:themeColor="text1"/>
          <w:spacing w:val="2"/>
          <w:szCs w:val="32"/>
          <w14:textFill>
            <w14:solidFill>
              <w14:schemeClr w14:val="tx1"/>
            </w14:solidFill>
          </w14:textFill>
        </w:rPr>
        <w:t>一业一证</w:t>
      </w:r>
      <w:r>
        <w:rPr>
          <w:rFonts w:hint="eastAsia" w:ascii="Times New Roman" w:hAnsi="Times New Roman" w:eastAsia="仿宋_GB2312"/>
          <w:color w:val="000000" w:themeColor="text1"/>
          <w:spacing w:val="2"/>
          <w:szCs w:val="32"/>
          <w14:textFill>
            <w14:solidFill>
              <w14:schemeClr w14:val="tx1"/>
            </w14:solidFill>
          </w14:textFill>
        </w:rPr>
        <w:t>”</w:t>
      </w:r>
      <w:r>
        <w:rPr>
          <w:rFonts w:ascii="Times New Roman" w:hAnsi="Times New Roman" w:eastAsia="仿宋_GB2312"/>
          <w:color w:val="000000" w:themeColor="text1"/>
          <w:spacing w:val="2"/>
          <w:szCs w:val="32"/>
          <w14:textFill>
            <w14:solidFill>
              <w14:schemeClr w14:val="tx1"/>
            </w14:solidFill>
          </w14:textFill>
        </w:rPr>
        <w:t>改革，将一个行业准入涉及的多张许可证整合为一张许可证。全面实施市场准入负面清单制度，持续放宽基础设施、社会事业、服务业等重点领域市场准入。支持个体工商户发展，促进灵活就业，降低小微企业等经</w:t>
      </w:r>
      <w:r>
        <w:rPr>
          <w:rFonts w:ascii="Times New Roman" w:hAnsi="Times New Roman" w:eastAsia="仿宋_GB2312"/>
          <w:bCs/>
          <w:color w:val="000000" w:themeColor="text1"/>
          <w:spacing w:val="2"/>
          <w:szCs w:val="32"/>
          <w14:textFill>
            <w14:solidFill>
              <w14:schemeClr w14:val="tx1"/>
            </w14:solidFill>
          </w14:textFill>
        </w:rPr>
        <w:t>营成本，激发创新创业活力。</w:t>
      </w:r>
    </w:p>
    <w:p>
      <w:pPr>
        <w:widowControl w:val="0"/>
        <w:adjustRightInd w:val="0"/>
        <w:snapToGrid w:val="0"/>
        <w:spacing w:after="0" w:line="590" w:lineRule="exact"/>
        <w:ind w:firstLine="643"/>
        <w:jc w:val="both"/>
        <w:rPr>
          <w:rFonts w:ascii="Times New Roman" w:hAnsi="Times New Roman" w:eastAsia="仿宋_GB2312"/>
          <w:bCs/>
          <w:color w:val="000000" w:themeColor="text1"/>
          <w:szCs w:val="32"/>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加快政府职能转变。</w:t>
      </w:r>
      <w:r>
        <w:rPr>
          <w:rFonts w:ascii="Times New Roman" w:hAnsi="Times New Roman" w:eastAsia="仿宋_GB2312"/>
          <w:bCs/>
          <w:color w:val="000000" w:themeColor="text1"/>
          <w:szCs w:val="32"/>
          <w14:textFill>
            <w14:solidFill>
              <w14:schemeClr w14:val="tx1"/>
            </w14:solidFill>
          </w14:textFill>
        </w:rPr>
        <w:t>全面实行政府权责清单管理制度，实施涉企经营许可事项清单管理，加强事中事后监管，对新产业新业态实行包容审慎监管。大力发展</w:t>
      </w:r>
      <w:r>
        <w:rPr>
          <w:rFonts w:hint="eastAsia" w:ascii="Times New Roman" w:hAnsi="Times New Roman" w:eastAsia="仿宋_GB2312"/>
          <w:bCs/>
          <w:color w:val="000000" w:themeColor="text1"/>
          <w:szCs w:val="32"/>
          <w14:textFill>
            <w14:solidFill>
              <w14:schemeClr w14:val="tx1"/>
            </w14:solidFill>
          </w14:textFill>
        </w:rPr>
        <w:t>“</w:t>
      </w:r>
      <w:r>
        <w:rPr>
          <w:rFonts w:ascii="Times New Roman" w:hAnsi="Times New Roman" w:eastAsia="仿宋_GB2312"/>
          <w:bCs/>
          <w:color w:val="000000" w:themeColor="text1"/>
          <w:szCs w:val="32"/>
          <w14:textFill>
            <w14:solidFill>
              <w14:schemeClr w14:val="tx1"/>
            </w14:solidFill>
          </w14:textFill>
        </w:rPr>
        <w:t>互联网+政务</w:t>
      </w:r>
      <w:r>
        <w:rPr>
          <w:rFonts w:hint="eastAsia" w:ascii="Times New Roman" w:hAnsi="Times New Roman" w:eastAsia="仿宋_GB2312"/>
          <w:bCs/>
          <w:color w:val="000000" w:themeColor="text1"/>
          <w:szCs w:val="32"/>
          <w14:textFill>
            <w14:solidFill>
              <w14:schemeClr w14:val="tx1"/>
            </w14:solidFill>
          </w14:textFill>
        </w:rPr>
        <w:t>”</w:t>
      </w:r>
      <w:r>
        <w:rPr>
          <w:rFonts w:ascii="Times New Roman" w:hAnsi="Times New Roman" w:eastAsia="仿宋_GB2312"/>
          <w:bCs/>
          <w:color w:val="000000" w:themeColor="text1"/>
          <w:szCs w:val="32"/>
          <w14:textFill>
            <w14:solidFill>
              <w14:schemeClr w14:val="tx1"/>
            </w14:solidFill>
          </w14:textFill>
        </w:rPr>
        <w:t>，推进跨部门、跨行业数据共享，线上线下无缝衔接，提升一体化政务服务水平。深化</w:t>
      </w:r>
      <w:r>
        <w:rPr>
          <w:rFonts w:hint="eastAsia" w:ascii="Times New Roman" w:hAnsi="Times New Roman" w:eastAsia="仿宋_GB2312"/>
          <w:bCs/>
          <w:color w:val="000000" w:themeColor="text1"/>
          <w:szCs w:val="32"/>
          <w14:textFill>
            <w14:solidFill>
              <w14:schemeClr w14:val="tx1"/>
            </w14:solidFill>
          </w14:textFill>
        </w:rPr>
        <w:t>“</w:t>
      </w:r>
      <w:r>
        <w:rPr>
          <w:rFonts w:ascii="Times New Roman" w:hAnsi="Times New Roman" w:eastAsia="仿宋_GB2312"/>
          <w:bCs/>
          <w:color w:val="000000" w:themeColor="text1"/>
          <w:szCs w:val="32"/>
          <w14:textFill>
            <w14:solidFill>
              <w14:schemeClr w14:val="tx1"/>
            </w14:solidFill>
          </w14:textFill>
        </w:rPr>
        <w:t>四个一百</w:t>
      </w:r>
      <w:r>
        <w:rPr>
          <w:rFonts w:hint="eastAsia" w:ascii="Times New Roman" w:hAnsi="Times New Roman" w:eastAsia="仿宋_GB2312"/>
          <w:bCs/>
          <w:color w:val="000000" w:themeColor="text1"/>
          <w:szCs w:val="32"/>
          <w14:textFill>
            <w14:solidFill>
              <w14:schemeClr w14:val="tx1"/>
            </w14:solidFill>
          </w14:textFill>
        </w:rPr>
        <w:t>”</w:t>
      </w:r>
      <w:r>
        <w:rPr>
          <w:rFonts w:ascii="Times New Roman" w:hAnsi="Times New Roman" w:eastAsia="仿宋_GB2312"/>
          <w:bCs/>
          <w:color w:val="000000" w:themeColor="text1"/>
          <w:szCs w:val="32"/>
          <w14:textFill>
            <w14:solidFill>
              <w14:schemeClr w14:val="tx1"/>
            </w14:solidFill>
          </w14:textFill>
        </w:rPr>
        <w:t>专项行动，落实好规范化、常态化政企沟通机制和企业服务制度，畅通政企双向沟通渠道，构建亲清政商关系。成立优化营商环境办公室，全面推进魏都区优化营商环境工作，营造良好的经济发展氛围。建立完善县级领导干部联系企业制度，帮助企业破难解困，依法保护企业家合法权益，坚定企业发展信心。加强知识产权保护和社会信用体系建设，推进</w:t>
      </w:r>
      <w:r>
        <w:rPr>
          <w:rFonts w:hint="eastAsia" w:ascii="Times New Roman" w:hAnsi="Times New Roman" w:eastAsia="仿宋_GB2312"/>
          <w:bCs/>
          <w:color w:val="000000" w:themeColor="text1"/>
          <w:szCs w:val="32"/>
          <w14:textFill>
            <w14:solidFill>
              <w14:schemeClr w14:val="tx1"/>
            </w14:solidFill>
          </w14:textFill>
        </w:rPr>
        <w:t>“</w:t>
      </w:r>
      <w:r>
        <w:rPr>
          <w:rFonts w:ascii="Times New Roman" w:hAnsi="Times New Roman" w:eastAsia="仿宋_GB2312"/>
          <w:bCs/>
          <w:color w:val="000000" w:themeColor="text1"/>
          <w:szCs w:val="32"/>
          <w14:textFill>
            <w14:solidFill>
              <w14:schemeClr w14:val="tx1"/>
            </w14:solidFill>
          </w14:textFill>
        </w:rPr>
        <w:t>双随机、一公开</w:t>
      </w:r>
      <w:r>
        <w:rPr>
          <w:rFonts w:hint="eastAsia" w:ascii="Times New Roman" w:hAnsi="Times New Roman" w:eastAsia="仿宋_GB2312"/>
          <w:bCs/>
          <w:color w:val="000000" w:themeColor="text1"/>
          <w:szCs w:val="32"/>
          <w14:textFill>
            <w14:solidFill>
              <w14:schemeClr w14:val="tx1"/>
            </w14:solidFill>
          </w14:textFill>
        </w:rPr>
        <w:t>”</w:t>
      </w:r>
      <w:r>
        <w:rPr>
          <w:rFonts w:ascii="Times New Roman" w:hAnsi="Times New Roman" w:eastAsia="仿宋_GB2312"/>
          <w:bCs/>
          <w:color w:val="000000" w:themeColor="text1"/>
          <w:szCs w:val="32"/>
          <w14:textFill>
            <w14:solidFill>
              <w14:schemeClr w14:val="tx1"/>
            </w14:solidFill>
          </w14:textFill>
        </w:rPr>
        <w:t>跨部门联合监管，提升监管执法的规范性和透明度，营造公平竞争的社会环境。</w:t>
      </w:r>
    </w:p>
    <w:p>
      <w:pPr>
        <w:pStyle w:val="5"/>
        <w:keepNext w:val="0"/>
        <w:keepLines w:val="0"/>
        <w:widowControl w:val="0"/>
        <w:adjustRightInd w:val="0"/>
        <w:snapToGrid w:val="0"/>
        <w:spacing w:before="297" w:beforeLines="50" w:after="297" w:afterLines="50" w:line="580" w:lineRule="exact"/>
        <w:ind w:firstLine="0" w:firstLineChars="0"/>
      </w:pPr>
      <w:bookmarkStart w:id="96" w:name="_Toc9974"/>
      <w:bookmarkStart w:id="97" w:name="_Toc2138"/>
      <w:r>
        <w:t>第三节  以开放促发展</w:t>
      </w:r>
      <w:bookmarkEnd w:id="96"/>
      <w:bookmarkEnd w:id="97"/>
    </w:p>
    <w:p>
      <w:pPr>
        <w:widowControl w:val="0"/>
        <w:adjustRightInd w:val="0"/>
        <w:snapToGrid w:val="0"/>
        <w:spacing w:after="0" w:line="590" w:lineRule="exact"/>
        <w:ind w:firstLine="641"/>
        <w:rPr>
          <w:rFonts w:ascii="Times New Roman" w:hAnsi="Times New Roman" w:eastAsia="仿宋_GB2312"/>
          <w:bCs/>
          <w:color w:val="000000" w:themeColor="text1"/>
          <w:szCs w:val="32"/>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提升对外开放水平。</w:t>
      </w:r>
      <w:r>
        <w:rPr>
          <w:rFonts w:ascii="Times New Roman" w:hAnsi="Times New Roman" w:eastAsia="仿宋_GB2312"/>
          <w:bCs/>
          <w:color w:val="000000" w:themeColor="text1"/>
          <w:szCs w:val="32"/>
          <w14:textFill>
            <w14:solidFill>
              <w14:schemeClr w14:val="tx1"/>
            </w14:solidFill>
          </w14:textFill>
        </w:rPr>
        <w:t>坚持以企业为主体，以市场为导向，以项目为抓手，以开放寻求突破，推动开放向更高层次、更高水平迈进。加强与京津冀、长三角、粤港澳地区合作交流，深化郑许城市群等区域合作，用好发达地区资金、技术、人才等要素，实现借力发展。把握国家支持中部地区承接东部沿海和国外产业转移机遇，依托产业集聚区主平台吸引优质项目落地，实现由</w:t>
      </w:r>
      <w:r>
        <w:rPr>
          <w:rFonts w:hint="eastAsia" w:ascii="Times New Roman" w:hAnsi="Times New Roman" w:eastAsia="仿宋_GB2312"/>
          <w:bCs/>
          <w:color w:val="000000" w:themeColor="text1"/>
          <w:szCs w:val="32"/>
          <w14:textFill>
            <w14:solidFill>
              <w14:schemeClr w14:val="tx1"/>
            </w14:solidFill>
          </w14:textFill>
        </w:rPr>
        <w:t>“</w:t>
      </w:r>
      <w:r>
        <w:rPr>
          <w:rFonts w:ascii="Times New Roman" w:hAnsi="Times New Roman" w:eastAsia="仿宋_GB2312"/>
          <w:bCs/>
          <w:color w:val="000000" w:themeColor="text1"/>
          <w:szCs w:val="32"/>
          <w14:textFill>
            <w14:solidFill>
              <w14:schemeClr w14:val="tx1"/>
            </w14:solidFill>
          </w14:textFill>
        </w:rPr>
        <w:t>承接产业转移</w:t>
      </w:r>
      <w:r>
        <w:rPr>
          <w:rFonts w:hint="eastAsia" w:ascii="Times New Roman" w:hAnsi="Times New Roman" w:eastAsia="仿宋_GB2312"/>
          <w:bCs/>
          <w:color w:val="000000" w:themeColor="text1"/>
          <w:szCs w:val="32"/>
          <w14:textFill>
            <w14:solidFill>
              <w14:schemeClr w14:val="tx1"/>
            </w14:solidFill>
          </w14:textFill>
        </w:rPr>
        <w:t>”</w:t>
      </w:r>
      <w:r>
        <w:rPr>
          <w:rFonts w:ascii="Times New Roman" w:hAnsi="Times New Roman" w:eastAsia="仿宋_GB2312"/>
          <w:bCs/>
          <w:color w:val="000000" w:themeColor="text1"/>
          <w:szCs w:val="32"/>
          <w14:textFill>
            <w14:solidFill>
              <w14:schemeClr w14:val="tx1"/>
            </w14:solidFill>
          </w14:textFill>
        </w:rPr>
        <w:t>向</w:t>
      </w:r>
      <w:r>
        <w:rPr>
          <w:rFonts w:hint="eastAsia" w:ascii="Times New Roman" w:hAnsi="Times New Roman" w:eastAsia="仿宋_GB2312"/>
          <w:bCs/>
          <w:color w:val="000000" w:themeColor="text1"/>
          <w:szCs w:val="32"/>
          <w14:textFill>
            <w14:solidFill>
              <w14:schemeClr w14:val="tx1"/>
            </w14:solidFill>
          </w14:textFill>
        </w:rPr>
        <w:t>“</w:t>
      </w:r>
      <w:r>
        <w:rPr>
          <w:rFonts w:ascii="Times New Roman" w:hAnsi="Times New Roman" w:eastAsia="仿宋_GB2312"/>
          <w:bCs/>
          <w:color w:val="000000" w:themeColor="text1"/>
          <w:szCs w:val="32"/>
          <w14:textFill>
            <w14:solidFill>
              <w14:schemeClr w14:val="tx1"/>
            </w14:solidFill>
          </w14:textFill>
        </w:rPr>
        <w:t>承接产业布局和转移</w:t>
      </w:r>
      <w:r>
        <w:rPr>
          <w:rFonts w:hint="eastAsia" w:ascii="Times New Roman" w:hAnsi="Times New Roman" w:eastAsia="仿宋_GB2312"/>
          <w:bCs/>
          <w:color w:val="000000" w:themeColor="text1"/>
          <w:szCs w:val="32"/>
          <w14:textFill>
            <w14:solidFill>
              <w14:schemeClr w14:val="tx1"/>
            </w14:solidFill>
          </w14:textFill>
        </w:rPr>
        <w:t>”</w:t>
      </w:r>
      <w:r>
        <w:rPr>
          <w:rFonts w:ascii="Times New Roman" w:hAnsi="Times New Roman" w:eastAsia="仿宋_GB2312"/>
          <w:bCs/>
          <w:color w:val="000000" w:themeColor="text1"/>
          <w:szCs w:val="32"/>
          <w14:textFill>
            <w14:solidFill>
              <w14:schemeClr w14:val="tx1"/>
            </w14:solidFill>
          </w14:textFill>
        </w:rPr>
        <w:t>跃进。积极融入</w:t>
      </w:r>
      <w:r>
        <w:rPr>
          <w:rFonts w:hint="eastAsia" w:ascii="Times New Roman" w:hAnsi="Times New Roman" w:eastAsia="仿宋_GB2312"/>
          <w:bCs/>
          <w:color w:val="000000" w:themeColor="text1"/>
          <w:szCs w:val="32"/>
          <w14:textFill>
            <w14:solidFill>
              <w14:schemeClr w14:val="tx1"/>
            </w14:solidFill>
          </w14:textFill>
        </w:rPr>
        <w:t>“</w:t>
      </w:r>
      <w:r>
        <w:rPr>
          <w:rFonts w:ascii="Times New Roman" w:hAnsi="Times New Roman" w:eastAsia="仿宋_GB2312"/>
          <w:bCs/>
          <w:color w:val="000000" w:themeColor="text1"/>
          <w:szCs w:val="32"/>
          <w14:textFill>
            <w14:solidFill>
              <w14:schemeClr w14:val="tx1"/>
            </w14:solidFill>
          </w14:textFill>
        </w:rPr>
        <w:t>一带一路</w:t>
      </w:r>
      <w:r>
        <w:rPr>
          <w:rFonts w:hint="eastAsia" w:ascii="Times New Roman" w:hAnsi="Times New Roman" w:eastAsia="仿宋_GB2312"/>
          <w:bCs/>
          <w:color w:val="000000" w:themeColor="text1"/>
          <w:szCs w:val="32"/>
          <w14:textFill>
            <w14:solidFill>
              <w14:schemeClr w14:val="tx1"/>
            </w14:solidFill>
          </w14:textFill>
        </w:rPr>
        <w:t>”</w:t>
      </w:r>
      <w:r>
        <w:rPr>
          <w:rFonts w:ascii="Times New Roman" w:hAnsi="Times New Roman" w:eastAsia="仿宋_GB2312"/>
          <w:bCs/>
          <w:color w:val="000000" w:themeColor="text1"/>
          <w:szCs w:val="32"/>
          <w14:textFill>
            <w14:solidFill>
              <w14:schemeClr w14:val="tx1"/>
            </w14:solidFill>
          </w14:textFill>
        </w:rPr>
        <w:t>建设，支持有条件的企业走出去开辟海外市场。</w:t>
      </w:r>
    </w:p>
    <w:p>
      <w:pPr>
        <w:widowControl w:val="0"/>
        <w:adjustRightInd w:val="0"/>
        <w:snapToGrid w:val="0"/>
        <w:spacing w:after="0" w:line="590" w:lineRule="exact"/>
        <w:ind w:firstLine="643"/>
        <w:rPr>
          <w:rFonts w:ascii="Times New Roman" w:hAnsi="Times New Roman" w:eastAsia="仿宋_GB2312"/>
          <w:bCs/>
          <w:color w:val="000000" w:themeColor="text1"/>
          <w:szCs w:val="32"/>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创新招商引资方式。</w:t>
      </w:r>
      <w:r>
        <w:rPr>
          <w:rFonts w:ascii="Times New Roman" w:hAnsi="Times New Roman" w:eastAsia="仿宋_GB2312"/>
          <w:bCs/>
          <w:color w:val="000000" w:themeColor="text1"/>
          <w:szCs w:val="32"/>
          <w14:textFill>
            <w14:solidFill>
              <w14:schemeClr w14:val="tx1"/>
            </w14:solidFill>
          </w14:textFill>
        </w:rPr>
        <w:t>聚焦延链补链强链、三大产业培育和传统产业升级等开展精准招商。强化以商招商、资本招商、产业链招商，由单一招商引资向招才引智引技并重转变，建设承接产业转移示范区和共建产业园区。坚持</w:t>
      </w:r>
      <w:r>
        <w:rPr>
          <w:rFonts w:hint="eastAsia" w:ascii="Times New Roman" w:hAnsi="Times New Roman" w:eastAsia="仿宋_GB2312"/>
          <w:bCs/>
          <w:color w:val="000000" w:themeColor="text1"/>
          <w:szCs w:val="32"/>
          <w14:textFill>
            <w14:solidFill>
              <w14:schemeClr w14:val="tx1"/>
            </w14:solidFill>
          </w14:textFill>
        </w:rPr>
        <w:t>“</w:t>
      </w:r>
      <w:r>
        <w:rPr>
          <w:rFonts w:ascii="Times New Roman" w:hAnsi="Times New Roman" w:eastAsia="仿宋_GB2312"/>
          <w:bCs/>
          <w:color w:val="000000" w:themeColor="text1"/>
          <w:szCs w:val="32"/>
          <w14:textFill>
            <w14:solidFill>
              <w14:schemeClr w14:val="tx1"/>
            </w14:solidFill>
          </w14:textFill>
        </w:rPr>
        <w:t>二分之一</w:t>
      </w:r>
      <w:r>
        <w:rPr>
          <w:rFonts w:hint="eastAsia" w:ascii="Times New Roman" w:hAnsi="Times New Roman" w:eastAsia="仿宋_GB2312"/>
          <w:bCs/>
          <w:color w:val="000000" w:themeColor="text1"/>
          <w:szCs w:val="32"/>
          <w14:textFill>
            <w14:solidFill>
              <w14:schemeClr w14:val="tx1"/>
            </w14:solidFill>
          </w14:textFill>
        </w:rPr>
        <w:t>”</w:t>
      </w:r>
      <w:r>
        <w:rPr>
          <w:rFonts w:ascii="Times New Roman" w:hAnsi="Times New Roman" w:eastAsia="仿宋_GB2312"/>
          <w:bCs/>
          <w:color w:val="000000" w:themeColor="text1"/>
          <w:szCs w:val="32"/>
          <w14:textFill>
            <w14:solidFill>
              <w14:schemeClr w14:val="tx1"/>
            </w14:solidFill>
          </w14:textFill>
        </w:rPr>
        <w:t>工作法，加强跟踪问效，提高招商项目签约率、落地率、开工率。扩大文化、旅游、教育、医疗、养老等领域对外合作，加强跟踪对接儿童游乐园、呼叫中心、全自动生活垃圾裂解成套装备等招商项目，争取尽快落地。</w:t>
      </w:r>
    </w:p>
    <w:p>
      <w:pPr>
        <w:pStyle w:val="5"/>
        <w:keepNext w:val="0"/>
        <w:keepLines w:val="0"/>
        <w:widowControl w:val="0"/>
        <w:adjustRightInd w:val="0"/>
        <w:snapToGrid w:val="0"/>
        <w:spacing w:before="297" w:beforeLines="50" w:after="297" w:afterLines="50" w:line="580" w:lineRule="exact"/>
        <w:ind w:firstLine="0" w:firstLineChars="0"/>
      </w:pPr>
      <w:bookmarkStart w:id="98" w:name="_Toc7688"/>
      <w:bookmarkStart w:id="99" w:name="_Toc5681"/>
      <w:r>
        <w:t>第四节  创新投融资机制</w:t>
      </w:r>
      <w:bookmarkEnd w:id="98"/>
      <w:bookmarkEnd w:id="99"/>
    </w:p>
    <w:p>
      <w:pPr>
        <w:widowControl w:val="0"/>
        <w:adjustRightInd w:val="0"/>
        <w:snapToGrid w:val="0"/>
        <w:spacing w:after="0" w:line="560" w:lineRule="exact"/>
        <w:ind w:firstLine="680" w:firstLineChars="200"/>
        <w:rPr>
          <w:rFonts w:ascii="Times New Roman" w:hAnsi="Times New Roman" w:eastAsia="仿宋_GB2312"/>
          <w:bCs/>
          <w:color w:val="000000" w:themeColor="text1"/>
          <w:szCs w:val="32"/>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扩大融资资产规模。</w:t>
      </w:r>
      <w:r>
        <w:rPr>
          <w:rFonts w:ascii="Times New Roman" w:hAnsi="Times New Roman" w:eastAsia="仿宋_GB2312"/>
          <w:bCs/>
          <w:color w:val="000000" w:themeColor="text1"/>
          <w:szCs w:val="32"/>
          <w14:textFill>
            <w14:solidFill>
              <w14:schemeClr w14:val="tx1"/>
            </w14:solidFill>
          </w14:textFill>
        </w:rPr>
        <w:t>依托魏都投资总公司，利用土地开发、城建配套设施、市政道路等资源，以多种方式引资合作，提高优势资源的开发、经营和利用价值，变资源为资产，不断扩大净资产规模，巩固土地整理、地产开发、金融、园林绿化、公共事业、城市基础设施建设等领域投资优势，形成投入、产出、再投入的良性循环，促进资产不断增值，持续做大做强政府性投融资平台。</w:t>
      </w:r>
    </w:p>
    <w:p>
      <w:pPr>
        <w:widowControl w:val="0"/>
        <w:adjustRightInd w:val="0"/>
        <w:snapToGrid w:val="0"/>
        <w:spacing w:after="0" w:line="560" w:lineRule="exact"/>
        <w:ind w:firstLine="680" w:firstLineChars="200"/>
        <w:jc w:val="both"/>
        <w:rPr>
          <w:rFonts w:ascii="Times New Roman" w:hAnsi="Times New Roman" w:eastAsia="仿宋_GB2312"/>
          <w:bCs/>
          <w:color w:val="000000" w:themeColor="text1"/>
          <w:szCs w:val="32"/>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强化直接融资能力。</w:t>
      </w:r>
      <w:r>
        <w:rPr>
          <w:rFonts w:ascii="Times New Roman" w:hAnsi="Times New Roman" w:eastAsia="仿宋_GB2312"/>
          <w:bCs/>
          <w:color w:val="000000" w:themeColor="text1"/>
          <w:szCs w:val="32"/>
          <w14:textFill>
            <w14:solidFill>
              <w14:schemeClr w14:val="tx1"/>
            </w14:solidFill>
          </w14:textFill>
        </w:rPr>
        <w:t>依托政府性投融资平台，积极引进战略投资者，试点创新安置房建设融资模式，通过包装发行ABS</w:t>
      </w:r>
      <w:r>
        <w:rPr>
          <w:rStyle w:val="13"/>
          <w:rFonts w:ascii="Times New Roman" w:hAnsi="Times New Roman" w:eastAsia="仿宋_GB2312"/>
          <w:bCs/>
          <w:color w:val="000000" w:themeColor="text1"/>
          <w:szCs w:val="32"/>
          <w14:textFill>
            <w14:solidFill>
              <w14:schemeClr w14:val="tx1"/>
            </w14:solidFill>
          </w14:textFill>
        </w:rPr>
        <w:footnoteReference w:id="0"/>
      </w:r>
      <w:r>
        <w:rPr>
          <w:rFonts w:ascii="Times New Roman" w:hAnsi="Times New Roman" w:eastAsia="仿宋_GB2312"/>
          <w:bCs/>
          <w:color w:val="000000" w:themeColor="text1"/>
          <w:szCs w:val="32"/>
          <w14:textFill>
            <w14:solidFill>
              <w14:schemeClr w14:val="tx1"/>
            </w14:solidFill>
          </w14:textFill>
        </w:rPr>
        <w:t>项目收益债进行直接融资。积极开拓投资领</w:t>
      </w:r>
      <w:r>
        <w:rPr>
          <w:rFonts w:ascii="Times New Roman" w:hAnsi="Times New Roman" w:eastAsia="仿宋_GB2312"/>
          <w:color w:val="000000" w:themeColor="text1"/>
          <w:szCs w:val="32"/>
          <w14:textFill>
            <w14:solidFill>
              <w14:schemeClr w14:val="tx1"/>
            </w14:solidFill>
          </w14:textFill>
        </w:rPr>
        <w:t>域，合理确定投资组合，</w:t>
      </w:r>
      <w:r>
        <w:rPr>
          <w:rFonts w:ascii="Times New Roman" w:hAnsi="Times New Roman" w:eastAsia="仿宋_GB2312"/>
          <w:bCs/>
          <w:color w:val="000000" w:themeColor="text1"/>
          <w:szCs w:val="32"/>
          <w14:textFill>
            <w14:solidFill>
              <w14:schemeClr w14:val="tx1"/>
            </w14:solidFill>
          </w14:textFill>
        </w:rPr>
        <w:t>尝试采用金融租赁、信托基金等方式加快创新资本的形成。以优质企业、优质项目为股权投资为重点，促进科技、资本和产业的紧密融合，打造具有实体产业的融资盈利模式，助力魏都区产业快速发展。</w:t>
      </w:r>
    </w:p>
    <w:p>
      <w:pPr>
        <w:pStyle w:val="5"/>
        <w:keepNext w:val="0"/>
        <w:keepLines w:val="0"/>
        <w:widowControl w:val="0"/>
        <w:adjustRightInd w:val="0"/>
        <w:snapToGrid w:val="0"/>
        <w:spacing w:before="297" w:beforeLines="50" w:after="297" w:afterLines="50" w:line="560" w:lineRule="exact"/>
        <w:ind w:firstLine="0" w:firstLineChars="0"/>
      </w:pPr>
      <w:bookmarkStart w:id="100" w:name="_Toc8591"/>
      <w:bookmarkStart w:id="101" w:name="_Toc20024"/>
      <w:r>
        <w:t>第五节  扩内需促消费</w:t>
      </w:r>
      <w:bookmarkEnd w:id="100"/>
      <w:bookmarkEnd w:id="101"/>
    </w:p>
    <w:p>
      <w:pPr>
        <w:widowControl w:val="0"/>
        <w:adjustRightInd w:val="0"/>
        <w:snapToGrid w:val="0"/>
        <w:spacing w:after="0" w:line="560" w:lineRule="exact"/>
        <w:ind w:firstLine="680" w:firstLineChars="200"/>
        <w:rPr>
          <w:rFonts w:ascii="Times New Roman" w:hAnsi="Times New Roman" w:eastAsia="仿宋_GB2312"/>
          <w:bCs/>
          <w:color w:val="000000" w:themeColor="text1"/>
          <w:szCs w:val="32"/>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扩大有效投资。</w:t>
      </w:r>
      <w:r>
        <w:rPr>
          <w:rFonts w:ascii="Times New Roman" w:hAnsi="Times New Roman" w:eastAsia="仿宋_GB2312"/>
          <w:bCs/>
          <w:color w:val="000000" w:themeColor="text1"/>
          <w:szCs w:val="32"/>
          <w14:textFill>
            <w14:solidFill>
              <w14:schemeClr w14:val="tx1"/>
            </w14:solidFill>
          </w14:textFill>
        </w:rPr>
        <w:t>拓展投资空间，优化投资结构，保持投资合理增长，发挥投资在促消费、调结构、增功能、强后劲、促协调的支持作用。提高投资强度，加快补齐基础设施、市政工程、公共安全、生态环保、公共卫生、防灾减灾民生保障等领域短板，加大强基础、增功能、利长远的重大工程和重大项目建设投资。以提高传统产业创新能力和水平重点，鼓励企业加大设备更新和技术改造投资，推动传统产业高端化、智能化、绿色化。扩大新兴产业投资，推动先进制造业发展，增强新产业</w:t>
      </w:r>
      <w:r>
        <w:rPr>
          <w:rFonts w:hint="eastAsia" w:ascii="Times New Roman" w:hAnsi="Times New Roman" w:eastAsia="仿宋_GB2312"/>
          <w:bCs/>
          <w:color w:val="000000" w:themeColor="text1"/>
          <w:szCs w:val="32"/>
          <w14:textFill>
            <w14:solidFill>
              <w14:schemeClr w14:val="tx1"/>
            </w14:solidFill>
          </w14:textFill>
        </w:rPr>
        <w:t>、</w:t>
      </w:r>
      <w:r>
        <w:rPr>
          <w:rFonts w:ascii="Times New Roman" w:hAnsi="Times New Roman" w:eastAsia="仿宋_GB2312"/>
          <w:bCs/>
          <w:color w:val="000000" w:themeColor="text1"/>
          <w:szCs w:val="32"/>
          <w14:textFill>
            <w14:solidFill>
              <w14:schemeClr w14:val="tx1"/>
            </w14:solidFill>
          </w14:textFill>
        </w:rPr>
        <w:t>新业态</w:t>
      </w:r>
      <w:r>
        <w:rPr>
          <w:rFonts w:hint="eastAsia" w:ascii="Times New Roman" w:hAnsi="Times New Roman" w:eastAsia="仿宋_GB2312"/>
          <w:bCs/>
          <w:color w:val="000000" w:themeColor="text1"/>
          <w:szCs w:val="32"/>
          <w14:textFill>
            <w14:solidFill>
              <w14:schemeClr w14:val="tx1"/>
            </w14:solidFill>
          </w14:textFill>
        </w:rPr>
        <w:t>、</w:t>
      </w:r>
      <w:r>
        <w:rPr>
          <w:rFonts w:ascii="Times New Roman" w:hAnsi="Times New Roman" w:eastAsia="仿宋_GB2312"/>
          <w:bCs/>
          <w:color w:val="000000" w:themeColor="text1"/>
          <w:szCs w:val="32"/>
          <w14:textFill>
            <w14:solidFill>
              <w14:schemeClr w14:val="tx1"/>
            </w14:solidFill>
          </w14:textFill>
        </w:rPr>
        <w:t>新需求</w:t>
      </w:r>
      <w:r>
        <w:rPr>
          <w:rFonts w:hint="eastAsia" w:ascii="Times New Roman" w:hAnsi="Times New Roman" w:eastAsia="仿宋_GB2312"/>
          <w:bCs/>
          <w:color w:val="000000" w:themeColor="text1"/>
          <w:szCs w:val="32"/>
          <w14:textFill>
            <w14:solidFill>
              <w14:schemeClr w14:val="tx1"/>
            </w14:solidFill>
          </w14:textFill>
        </w:rPr>
        <w:t>、</w:t>
      </w:r>
      <w:r>
        <w:rPr>
          <w:rFonts w:ascii="Times New Roman" w:hAnsi="Times New Roman" w:eastAsia="仿宋_GB2312"/>
          <w:bCs/>
          <w:color w:val="000000" w:themeColor="text1"/>
          <w:szCs w:val="32"/>
          <w14:textFill>
            <w14:solidFill>
              <w14:schemeClr w14:val="tx1"/>
            </w14:solidFill>
          </w14:textFill>
        </w:rPr>
        <w:t>新模式的能力。创新政府引导、市场主导的投融资机制，撬动社会资本积极投入基础设施和公共服务领域，激发民间投资活力。</w:t>
      </w:r>
    </w:p>
    <w:p>
      <w:pPr>
        <w:pStyle w:val="2"/>
        <w:widowControl w:val="0"/>
        <w:adjustRightInd w:val="0"/>
        <w:snapToGrid w:val="0"/>
        <w:spacing w:after="0"/>
        <w:ind w:firstLine="680" w:firstLineChars="200"/>
        <w:rPr>
          <w:bCs/>
          <w:color w:val="000000" w:themeColor="text1"/>
          <w:szCs w:val="32"/>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培育新兴消费。</w:t>
      </w:r>
      <w:r>
        <w:rPr>
          <w:bCs/>
          <w:color w:val="000000" w:themeColor="text1"/>
          <w:szCs w:val="32"/>
          <w14:textFill>
            <w14:solidFill>
              <w14:schemeClr w14:val="tx1"/>
            </w14:solidFill>
          </w14:textFill>
        </w:rPr>
        <w:t>推进线上线下融合，积极发展在线下单、无接触配送等</w:t>
      </w:r>
      <w:r>
        <w:rPr>
          <w:rFonts w:hint="eastAsia"/>
          <w:bCs/>
          <w:color w:val="000000" w:themeColor="text1"/>
          <w:szCs w:val="32"/>
          <w14:textFill>
            <w14:solidFill>
              <w14:schemeClr w14:val="tx1"/>
            </w14:solidFill>
          </w14:textFill>
        </w:rPr>
        <w:t>“</w:t>
      </w:r>
      <w:r>
        <w:rPr>
          <w:bCs/>
          <w:color w:val="000000" w:themeColor="text1"/>
          <w:szCs w:val="32"/>
          <w14:textFill>
            <w14:solidFill>
              <w14:schemeClr w14:val="tx1"/>
            </w14:solidFill>
          </w14:textFill>
        </w:rPr>
        <w:t>云经济</w:t>
      </w:r>
      <w:r>
        <w:rPr>
          <w:rFonts w:hint="eastAsia"/>
          <w:bCs/>
          <w:color w:val="000000" w:themeColor="text1"/>
          <w:szCs w:val="32"/>
          <w14:textFill>
            <w14:solidFill>
              <w14:schemeClr w14:val="tx1"/>
            </w14:solidFill>
          </w14:textFill>
        </w:rPr>
        <w:t>”“</w:t>
      </w:r>
      <w:r>
        <w:rPr>
          <w:bCs/>
          <w:color w:val="000000" w:themeColor="text1"/>
          <w:szCs w:val="32"/>
          <w14:textFill>
            <w14:solidFill>
              <w14:schemeClr w14:val="tx1"/>
            </w14:solidFill>
          </w14:textFill>
        </w:rPr>
        <w:t>云消费</w:t>
      </w:r>
      <w:r>
        <w:rPr>
          <w:rFonts w:hint="eastAsia"/>
          <w:bCs/>
          <w:color w:val="000000" w:themeColor="text1"/>
          <w:szCs w:val="32"/>
          <w14:textFill>
            <w14:solidFill>
              <w14:schemeClr w14:val="tx1"/>
            </w14:solidFill>
          </w14:textFill>
        </w:rPr>
        <w:t>”</w:t>
      </w:r>
      <w:r>
        <w:rPr>
          <w:bCs/>
          <w:color w:val="000000" w:themeColor="text1"/>
          <w:szCs w:val="32"/>
          <w14:textFill>
            <w14:solidFill>
              <w14:schemeClr w14:val="tx1"/>
            </w14:solidFill>
          </w14:textFill>
        </w:rPr>
        <w:t>新模式，培育网络消费、定制消费、体验消费等消费新热点，推动线下服务消费加速</w:t>
      </w:r>
      <w:r>
        <w:rPr>
          <w:rFonts w:hint="eastAsia"/>
          <w:bCs/>
          <w:color w:val="000000" w:themeColor="text1"/>
          <w:szCs w:val="32"/>
          <w14:textFill>
            <w14:solidFill>
              <w14:schemeClr w14:val="tx1"/>
            </w14:solidFill>
          </w14:textFill>
        </w:rPr>
        <w:t>“</w:t>
      </w:r>
      <w:r>
        <w:rPr>
          <w:bCs/>
          <w:color w:val="000000" w:themeColor="text1"/>
          <w:szCs w:val="32"/>
          <w14:textFill>
            <w14:solidFill>
              <w14:schemeClr w14:val="tx1"/>
            </w14:solidFill>
          </w14:textFill>
        </w:rPr>
        <w:t>触网</w:t>
      </w:r>
      <w:r>
        <w:rPr>
          <w:rFonts w:hint="eastAsia"/>
          <w:bCs/>
          <w:color w:val="000000" w:themeColor="text1"/>
          <w:szCs w:val="32"/>
          <w14:textFill>
            <w14:solidFill>
              <w14:schemeClr w14:val="tx1"/>
            </w14:solidFill>
          </w14:textFill>
        </w:rPr>
        <w:t>”</w:t>
      </w:r>
      <w:r>
        <w:rPr>
          <w:bCs/>
          <w:color w:val="000000" w:themeColor="text1"/>
          <w:szCs w:val="32"/>
          <w14:textFill>
            <w14:solidFill>
              <w14:schemeClr w14:val="tx1"/>
            </w14:solidFill>
          </w14:textFill>
        </w:rPr>
        <w:t>，释放线上经济潜力。</w:t>
      </w:r>
    </w:p>
    <w:p>
      <w:pPr>
        <w:pStyle w:val="2"/>
        <w:widowControl w:val="0"/>
        <w:adjustRightInd w:val="0"/>
        <w:snapToGrid w:val="0"/>
        <w:spacing w:after="0"/>
        <w:ind w:firstLine="680" w:firstLineChars="200"/>
        <w:rPr>
          <w:bCs/>
          <w:color w:val="000000" w:themeColor="text1"/>
          <w:szCs w:val="32"/>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鼓励传统消费。</w:t>
      </w:r>
      <w:r>
        <w:rPr>
          <w:bCs/>
          <w:color w:val="000000" w:themeColor="text1"/>
          <w:szCs w:val="32"/>
          <w14:textFill>
            <w14:solidFill>
              <w14:schemeClr w14:val="tx1"/>
            </w14:solidFill>
          </w14:textFill>
        </w:rPr>
        <w:t>鼓励大型商贸企业在户外特定区域，利用节假日自主开展形式多样的促销活动。支持限上企业开展家电以旧换新活动，积极挖潜新增限上商贸企业，支持发展首店经济。鼓励传统商场改造为多功能、综合性新型消费载体，完善便利店、社区菜市场等便民消费设施，对社区早餐店、家政服务网点、理发店及提供养老、托育服务的生活服务经营场所给予用地、办证、内部改造等方面支持。</w:t>
      </w:r>
    </w:p>
    <w:p>
      <w:pPr>
        <w:pStyle w:val="2"/>
        <w:widowControl w:val="0"/>
        <w:adjustRightInd w:val="0"/>
        <w:snapToGrid w:val="0"/>
        <w:spacing w:after="0"/>
        <w:ind w:firstLine="680" w:firstLineChars="200"/>
        <w:rPr>
          <w:bCs/>
          <w:color w:val="000000" w:themeColor="text1"/>
          <w:szCs w:val="32"/>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提振特色消费。</w:t>
      </w:r>
      <w:r>
        <w:rPr>
          <w:bCs/>
          <w:color w:val="000000" w:themeColor="text1"/>
          <w:szCs w:val="32"/>
          <w14:textFill>
            <w14:solidFill>
              <w14:schemeClr w14:val="tx1"/>
            </w14:solidFill>
          </w14:textFill>
        </w:rPr>
        <w:t>刺激餐饮消费，鼓励企业弘扬传统特色，创新提升菜品，推介优质特色餐饮。以曹魏古城特色商业街为引领，发展壮大夜间经济和时尚休闲消费。降低健康、养老、育幼、文旅</w:t>
      </w:r>
      <w:r>
        <w:rPr>
          <w:rFonts w:hint="eastAsia"/>
          <w:bCs/>
          <w:color w:val="000000" w:themeColor="text1"/>
          <w:szCs w:val="32"/>
          <w14:textFill>
            <w14:solidFill>
              <w14:schemeClr w14:val="tx1"/>
            </w14:solidFill>
          </w14:textFill>
        </w:rPr>
        <w:t>、</w:t>
      </w:r>
      <w:r>
        <w:rPr>
          <w:bCs/>
          <w:color w:val="000000" w:themeColor="text1"/>
          <w:szCs w:val="32"/>
          <w14:textFill>
            <w14:solidFill>
              <w14:schemeClr w14:val="tx1"/>
            </w14:solidFill>
          </w14:textFill>
        </w:rPr>
        <w:t>体育等服务业准入门槛，推动生活性服务业向高品质和多样化发展。</w:t>
      </w:r>
    </w:p>
    <w:p>
      <w:pPr>
        <w:widowControl w:val="0"/>
        <w:adjustRightInd w:val="0"/>
        <w:snapToGrid w:val="0"/>
        <w:spacing w:after="0" w:line="560" w:lineRule="exact"/>
        <w:ind w:firstLine="680" w:firstLineChars="200"/>
        <w:rPr>
          <w:rFonts w:ascii="仿宋_GB2312" w:hAnsi="仿宋_GB2312" w:eastAsia="仿宋_GB2312" w:cs="仿宋_GB2312"/>
        </w:rPr>
      </w:pPr>
      <w:bookmarkStart w:id="102" w:name="_Toc8181"/>
      <w:bookmarkStart w:id="103" w:name="_Toc29043"/>
      <w:r>
        <w:rPr>
          <w:rFonts w:hint="eastAsia" w:ascii="楷体_GB2312" w:hAnsi="楷体_GB2312" w:eastAsia="楷体_GB2312" w:cs="楷体_GB2312"/>
          <w:b/>
          <w:bCs/>
          <w:color w:val="000000" w:themeColor="text1"/>
          <w:szCs w:val="32"/>
          <w14:textFill>
            <w14:solidFill>
              <w14:schemeClr w14:val="tx1"/>
            </w14:solidFill>
          </w14:textFill>
        </w:rPr>
        <w:t>增强消费能力。</w:t>
      </w:r>
      <w:r>
        <w:rPr>
          <w:rFonts w:hint="eastAsia" w:ascii="仿宋_GB2312" w:hAnsi="仿宋_GB2312" w:eastAsia="仿宋_GB2312" w:cs="仿宋_GB2312"/>
        </w:rPr>
        <w:t>适当增加公共消费，发挥其杠杆作用，激发居民消费意愿，增强消费能力。优化消费市场环境，加大消费者权益保护力度，推进消费领域诚信体系建设，营造安全放心的消费市场环境</w:t>
      </w:r>
      <w:bookmarkStart w:id="104" w:name="_Toc4760"/>
      <w:bookmarkStart w:id="105" w:name="_Toc47930319"/>
      <w:bookmarkStart w:id="106" w:name="_Toc55780671"/>
      <w:bookmarkStart w:id="107" w:name="_Toc13162"/>
      <w:r>
        <w:rPr>
          <w:rFonts w:hint="eastAsia" w:ascii="仿宋_GB2312" w:hAnsi="仿宋_GB2312" w:eastAsia="仿宋_GB2312" w:cs="仿宋_GB2312"/>
        </w:rPr>
        <w:t>。</w:t>
      </w:r>
      <w:bookmarkEnd w:id="102"/>
      <w:bookmarkEnd w:id="103"/>
    </w:p>
    <w:p>
      <w:pPr>
        <w:pStyle w:val="2"/>
        <w:widowControl w:val="0"/>
        <w:adjustRightInd w:val="0"/>
        <w:snapToGrid w:val="0"/>
        <w:ind w:firstLine="340"/>
      </w:pPr>
    </w:p>
    <w:p>
      <w:pPr>
        <w:pStyle w:val="2"/>
        <w:widowControl w:val="0"/>
        <w:adjustRightInd w:val="0"/>
        <w:snapToGrid w:val="0"/>
        <w:ind w:firstLine="340"/>
      </w:pPr>
    </w:p>
    <w:p>
      <w:pPr>
        <w:pStyle w:val="2"/>
        <w:widowControl w:val="0"/>
        <w:adjustRightInd w:val="0"/>
        <w:snapToGrid w:val="0"/>
        <w:ind w:firstLine="340"/>
      </w:pPr>
    </w:p>
    <w:p>
      <w:pPr>
        <w:pStyle w:val="2"/>
        <w:widowControl w:val="0"/>
        <w:adjustRightInd w:val="0"/>
        <w:snapToGrid w:val="0"/>
        <w:ind w:firstLine="340"/>
      </w:pPr>
    </w:p>
    <w:p>
      <w:pPr>
        <w:pStyle w:val="2"/>
        <w:widowControl w:val="0"/>
        <w:adjustRightInd w:val="0"/>
        <w:snapToGrid w:val="0"/>
        <w:ind w:firstLine="340"/>
      </w:pPr>
    </w:p>
    <w:p>
      <w:pPr>
        <w:pStyle w:val="2"/>
        <w:widowControl w:val="0"/>
        <w:adjustRightInd w:val="0"/>
        <w:snapToGrid w:val="0"/>
        <w:ind w:firstLine="340"/>
      </w:pPr>
    </w:p>
    <w:p>
      <w:pPr>
        <w:pStyle w:val="2"/>
        <w:widowControl w:val="0"/>
        <w:adjustRightInd w:val="0"/>
        <w:snapToGrid w:val="0"/>
        <w:ind w:firstLine="340"/>
      </w:pPr>
    </w:p>
    <w:p>
      <w:pPr>
        <w:pStyle w:val="2"/>
        <w:widowControl w:val="0"/>
        <w:adjustRightInd w:val="0"/>
        <w:snapToGrid w:val="0"/>
        <w:ind w:firstLine="340"/>
      </w:pPr>
    </w:p>
    <w:p>
      <w:pPr>
        <w:pStyle w:val="2"/>
        <w:widowControl w:val="0"/>
        <w:adjustRightInd w:val="0"/>
        <w:snapToGrid w:val="0"/>
        <w:ind w:firstLine="340"/>
      </w:pPr>
    </w:p>
    <w:p>
      <w:pPr>
        <w:pStyle w:val="2"/>
        <w:widowControl w:val="0"/>
        <w:adjustRightInd w:val="0"/>
        <w:snapToGrid w:val="0"/>
        <w:ind w:firstLine="340"/>
      </w:pPr>
    </w:p>
    <w:p>
      <w:pPr>
        <w:pStyle w:val="2"/>
        <w:widowControl w:val="0"/>
        <w:adjustRightInd w:val="0"/>
        <w:snapToGrid w:val="0"/>
        <w:ind w:firstLine="340"/>
      </w:pPr>
    </w:p>
    <w:p>
      <w:pPr>
        <w:pStyle w:val="2"/>
        <w:widowControl w:val="0"/>
        <w:adjustRightInd w:val="0"/>
        <w:snapToGrid w:val="0"/>
        <w:ind w:firstLine="340"/>
      </w:pPr>
    </w:p>
    <w:p>
      <w:pPr>
        <w:pStyle w:val="4"/>
        <w:keepNext w:val="0"/>
        <w:keepLines w:val="0"/>
        <w:widowControl w:val="0"/>
        <w:adjustRightInd w:val="0"/>
        <w:snapToGrid w:val="0"/>
        <w:spacing w:after="0" w:line="600" w:lineRule="exact"/>
      </w:pPr>
      <w:bookmarkStart w:id="108" w:name="_Toc28076"/>
      <w:bookmarkStart w:id="109" w:name="_Toc29774"/>
      <w:r>
        <w:t>第九章  改善人民生活质量，实现人民幸福感获得</w:t>
      </w:r>
      <w:r>
        <w:rPr>
          <w:rFonts w:hint="eastAsia"/>
        </w:rPr>
        <w:t>感</w:t>
      </w:r>
      <w:r>
        <w:t>新提升</w:t>
      </w:r>
      <w:bookmarkEnd w:id="104"/>
      <w:bookmarkEnd w:id="105"/>
      <w:bookmarkEnd w:id="106"/>
      <w:bookmarkEnd w:id="107"/>
      <w:bookmarkEnd w:id="108"/>
      <w:bookmarkEnd w:id="109"/>
    </w:p>
    <w:p>
      <w:pPr>
        <w:widowControl w:val="0"/>
        <w:adjustRightInd w:val="0"/>
        <w:snapToGrid w:val="0"/>
        <w:spacing w:after="0" w:line="590" w:lineRule="exact"/>
        <w:ind w:firstLine="680" w:firstLineChars="200"/>
        <w:rPr>
          <w:rFonts w:ascii="Times New Roman" w:hAnsi="Times New Roman" w:eastAsia="仿宋_GB2312"/>
          <w:color w:val="000000" w:themeColor="text1"/>
          <w:szCs w:val="32"/>
          <w14:textFill>
            <w14:solidFill>
              <w14:schemeClr w14:val="tx1"/>
            </w14:solidFill>
          </w14:textFill>
        </w:rPr>
      </w:pPr>
      <w:bookmarkStart w:id="110" w:name="_Hlk33213038"/>
    </w:p>
    <w:p>
      <w:pPr>
        <w:widowControl w:val="0"/>
        <w:adjustRightInd w:val="0"/>
        <w:snapToGrid w:val="0"/>
        <w:spacing w:after="0" w:line="560" w:lineRule="exact"/>
        <w:ind w:firstLine="680" w:firstLineChars="200"/>
        <w:rPr>
          <w:rFonts w:ascii="Times New Roman" w:hAnsi="Times New Roman" w:eastAsia="仿宋_GB2312"/>
          <w:color w:val="000000" w:themeColor="text1"/>
          <w:szCs w:val="32"/>
          <w14:textFill>
            <w14:solidFill>
              <w14:schemeClr w14:val="tx1"/>
            </w14:solidFill>
          </w14:textFill>
        </w:rPr>
      </w:pPr>
      <w:r>
        <w:rPr>
          <w:rFonts w:ascii="Times New Roman" w:hAnsi="Times New Roman" w:eastAsia="仿宋_GB2312"/>
          <w:color w:val="000000" w:themeColor="text1"/>
          <w:szCs w:val="32"/>
          <w14:textFill>
            <w14:solidFill>
              <w14:schemeClr w14:val="tx1"/>
            </w14:solidFill>
          </w14:textFill>
        </w:rPr>
        <w:t>紧紧围绕满足魏都人民过上更加美好生活的新期待、新要求，办实办好民生实事，健全基本公共服务体系，推动民生福祉达到新高度。</w:t>
      </w:r>
    </w:p>
    <w:p>
      <w:pPr>
        <w:pStyle w:val="5"/>
        <w:keepNext w:val="0"/>
        <w:keepLines w:val="0"/>
        <w:widowControl w:val="0"/>
        <w:adjustRightInd w:val="0"/>
        <w:snapToGrid w:val="0"/>
        <w:spacing w:before="297" w:beforeLines="50" w:after="297" w:afterLines="50" w:line="560" w:lineRule="exact"/>
        <w:ind w:firstLine="0" w:firstLineChars="0"/>
      </w:pPr>
      <w:bookmarkStart w:id="111" w:name="_Toc13351"/>
      <w:bookmarkStart w:id="112" w:name="_Toc20051"/>
      <w:r>
        <w:rPr>
          <w:rFonts w:hint="eastAsia"/>
        </w:rPr>
        <w:t xml:space="preserve">第一节  </w:t>
      </w:r>
      <w:r>
        <w:t>推进更高质量充分就业</w:t>
      </w:r>
      <w:bookmarkEnd w:id="111"/>
      <w:bookmarkEnd w:id="112"/>
    </w:p>
    <w:p>
      <w:pPr>
        <w:widowControl w:val="0"/>
        <w:adjustRightInd w:val="0"/>
        <w:snapToGrid w:val="0"/>
        <w:spacing w:after="0" w:line="560" w:lineRule="exact"/>
        <w:ind w:firstLine="680" w:firstLineChars="200"/>
        <w:rPr>
          <w:rFonts w:ascii="Times New Roman" w:hAnsi="Times New Roman" w:eastAsia="仿宋_GB2312"/>
          <w:color w:val="000000" w:themeColor="text1"/>
          <w:szCs w:val="32"/>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强化就业优先政策。</w:t>
      </w:r>
      <w:r>
        <w:rPr>
          <w:rFonts w:ascii="Times New Roman" w:hAnsi="Times New Roman" w:eastAsia="仿宋_GB2312"/>
          <w:color w:val="000000" w:themeColor="text1"/>
          <w:szCs w:val="32"/>
          <w14:textFill>
            <w14:solidFill>
              <w14:schemeClr w14:val="tx1"/>
            </w14:solidFill>
          </w14:textFill>
        </w:rPr>
        <w:t>坚持经济发展就业导向，完善促进创业带动就业、多渠道灵活就业机制，健全就业公共服务体系，营造公平就业环境，解决好魏都区重点企业的高新技术人才需求，满足中、小企业用工需求，重点解决好高校毕业生、退役军人、下岗职工、农民工、返乡人员等重点人群的就业问题，扩大公益性岗位安置，帮扶残疾人、零就业家庭成员就业，让群众就业更充分、工作更稳定。</w:t>
      </w:r>
    </w:p>
    <w:p>
      <w:pPr>
        <w:widowControl w:val="0"/>
        <w:adjustRightInd w:val="0"/>
        <w:snapToGrid w:val="0"/>
        <w:spacing w:after="0" w:line="560" w:lineRule="exact"/>
        <w:ind w:firstLine="680" w:firstLineChars="200"/>
        <w:rPr>
          <w:rFonts w:ascii="Times New Roman" w:hAnsi="Times New Roman" w:eastAsia="仿宋_GB2312"/>
          <w:color w:val="000000" w:themeColor="text1"/>
          <w:szCs w:val="32"/>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促进就业结构优化。</w:t>
      </w:r>
      <w:r>
        <w:rPr>
          <w:rFonts w:ascii="Times New Roman" w:hAnsi="Times New Roman" w:eastAsia="仿宋_GB2312"/>
          <w:color w:val="000000" w:themeColor="text1"/>
          <w:szCs w:val="32"/>
          <w14:textFill>
            <w14:solidFill>
              <w14:schemeClr w14:val="tx1"/>
            </w14:solidFill>
          </w14:textFill>
        </w:rPr>
        <w:t>支持和规范发展新就业形态，完善创业带动就业、多渠道灵活就业保障制度，加强创业孵化示范基地建设，推动创业载体升级。不断提高城乡居民收入水平，坚持居民收入增长和经济增长同步。健全企事业职工工资正常增长机制，落实和完善按要素分配政策制度，多渠道</w:t>
      </w:r>
      <w:r>
        <w:rPr>
          <w:rFonts w:ascii="Times New Roman" w:hAnsi="Times New Roman" w:eastAsia="仿宋_GB2312"/>
          <w:color w:val="000000" w:themeColor="text1"/>
          <w:spacing w:val="-6"/>
          <w:szCs w:val="32"/>
          <w14:textFill>
            <w14:solidFill>
              <w14:schemeClr w14:val="tx1"/>
            </w14:solidFill>
          </w14:textFill>
        </w:rPr>
        <w:t>增加居民经营性收入、工资性收入、财产性收入和转移性收</w:t>
      </w:r>
      <w:r>
        <w:rPr>
          <w:rFonts w:ascii="Times New Roman" w:hAnsi="Times New Roman" w:eastAsia="仿宋_GB2312"/>
          <w:color w:val="000000" w:themeColor="text1"/>
          <w:szCs w:val="32"/>
          <w14:textFill>
            <w14:solidFill>
              <w14:schemeClr w14:val="tx1"/>
            </w14:solidFill>
          </w14:textFill>
        </w:rPr>
        <w:t>入。</w:t>
      </w:r>
    </w:p>
    <w:p>
      <w:pPr>
        <w:pStyle w:val="5"/>
        <w:keepNext w:val="0"/>
        <w:keepLines w:val="0"/>
        <w:widowControl w:val="0"/>
        <w:adjustRightInd w:val="0"/>
        <w:snapToGrid w:val="0"/>
        <w:spacing w:before="297" w:beforeLines="50" w:after="297" w:afterLines="50" w:line="560" w:lineRule="exact"/>
        <w:ind w:firstLine="0" w:firstLineChars="0"/>
      </w:pPr>
      <w:bookmarkStart w:id="113" w:name="_Toc10741"/>
      <w:bookmarkStart w:id="114" w:name="_Toc16350"/>
      <w:r>
        <w:rPr>
          <w:rFonts w:hint="eastAsia"/>
        </w:rPr>
        <w:t xml:space="preserve">第二节  </w:t>
      </w:r>
      <w:r>
        <w:t>加快推进魏都教育现代化</w:t>
      </w:r>
      <w:bookmarkEnd w:id="113"/>
      <w:bookmarkEnd w:id="114"/>
    </w:p>
    <w:p>
      <w:pPr>
        <w:widowControl w:val="0"/>
        <w:adjustRightInd w:val="0"/>
        <w:snapToGrid w:val="0"/>
        <w:spacing w:after="0" w:line="560" w:lineRule="exact"/>
        <w:ind w:firstLine="680" w:firstLineChars="200"/>
        <w:jc w:val="both"/>
        <w:rPr>
          <w:rFonts w:ascii="Times New Roman" w:hAnsi="Times New Roman" w:eastAsia="仿宋_GB2312"/>
          <w:color w:val="000000" w:themeColor="text1"/>
          <w:szCs w:val="32"/>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提升魏都教育事业的现代化水平。</w:t>
      </w:r>
      <w:r>
        <w:rPr>
          <w:rFonts w:ascii="Times New Roman" w:hAnsi="Times New Roman" w:eastAsia="仿宋_GB2312"/>
          <w:color w:val="000000" w:themeColor="text1"/>
          <w:szCs w:val="32"/>
          <w14:textFill>
            <w14:solidFill>
              <w14:schemeClr w14:val="tx1"/>
            </w14:solidFill>
          </w14:textFill>
        </w:rPr>
        <w:t>深入实施教育高质量发展新三年攻坚计划，按照国家高等教育办学标准，引进社会资金创办许昌陶瓷学院，实现高校建设零突破。在双创宜居区内引进社会和民间资金规划建设一批高中学校，拟新建和改扩建一批中小学和公办幼儿园，促进义务教育优质均衡发展，推进学前教育优质普惠发展，满足辖区人民群众入学需求。</w:t>
      </w:r>
    </w:p>
    <w:p>
      <w:pPr>
        <w:widowControl w:val="0"/>
        <w:adjustRightInd w:val="0"/>
        <w:snapToGrid w:val="0"/>
        <w:spacing w:after="0" w:line="560" w:lineRule="exact"/>
        <w:ind w:firstLine="680" w:firstLineChars="200"/>
        <w:jc w:val="both"/>
        <w:rPr>
          <w:rFonts w:ascii="Times New Roman" w:hAnsi="Times New Roman" w:eastAsia="仿宋_GB2312"/>
          <w:color w:val="000000" w:themeColor="text1"/>
          <w:szCs w:val="32"/>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构建现代职业教育体系。</w:t>
      </w:r>
      <w:r>
        <w:rPr>
          <w:rFonts w:ascii="Times New Roman" w:hAnsi="Times New Roman" w:eastAsia="仿宋_GB2312"/>
          <w:color w:val="000000" w:themeColor="text1"/>
          <w:szCs w:val="32"/>
          <w14:textFill>
            <w14:solidFill>
              <w14:schemeClr w14:val="tx1"/>
            </w14:solidFill>
          </w14:textFill>
        </w:rPr>
        <w:t>加快构建适应产业升级需求、产教深度融合、灵活开放的现代职业教育体系，在双创宜居示范区内规划建设职业教育中心，依托纪年科技、德通振动、爱彼爱和等知名企业，大力实施</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校企合作、产教融合</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育人模式，为智造企业培养生产管理服务一线需要的技术应用型人才。</w:t>
      </w:r>
    </w:p>
    <w:p>
      <w:pPr>
        <w:widowControl w:val="0"/>
        <w:adjustRightInd w:val="0"/>
        <w:snapToGrid w:val="0"/>
        <w:spacing w:after="0" w:line="560" w:lineRule="exact"/>
        <w:ind w:firstLine="680" w:firstLineChars="200"/>
        <w:jc w:val="both"/>
        <w:rPr>
          <w:rFonts w:ascii="Times New Roman" w:hAnsi="Times New Roman" w:eastAsia="仿宋_GB2312"/>
          <w:color w:val="000000" w:themeColor="text1"/>
          <w:szCs w:val="32"/>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纵深推进教育综合改革。</w:t>
      </w:r>
      <w:r>
        <w:rPr>
          <w:rFonts w:ascii="Times New Roman" w:hAnsi="Times New Roman" w:eastAsia="仿宋_GB2312"/>
          <w:color w:val="000000" w:themeColor="text1"/>
          <w:szCs w:val="32"/>
          <w14:textFill>
            <w14:solidFill>
              <w14:schemeClr w14:val="tx1"/>
            </w14:solidFill>
          </w14:textFill>
        </w:rPr>
        <w:t>强力推进校长职级制、教师</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县管校聘</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、集团化办学等重点改革事项，协同推进教科研机制、教育督导机制。深化</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精品学校</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创建，全力打造智慧教育、智慧校园、智慧评价体系，全面加快全区教育信息化2.0进程。</w:t>
      </w:r>
    </w:p>
    <w:p>
      <w:pPr>
        <w:pStyle w:val="5"/>
        <w:keepNext w:val="0"/>
        <w:keepLines w:val="0"/>
        <w:widowControl w:val="0"/>
        <w:adjustRightInd w:val="0"/>
        <w:snapToGrid w:val="0"/>
        <w:spacing w:before="297" w:beforeLines="50" w:after="297" w:afterLines="50" w:line="560" w:lineRule="exact"/>
        <w:ind w:firstLine="0" w:firstLineChars="0"/>
      </w:pPr>
      <w:bookmarkStart w:id="115" w:name="_Toc26033"/>
      <w:bookmarkStart w:id="116" w:name="_Toc22063"/>
      <w:r>
        <w:rPr>
          <w:rFonts w:hint="eastAsia"/>
        </w:rPr>
        <w:t xml:space="preserve">第三节  </w:t>
      </w:r>
      <w:r>
        <w:t>建设健康新魏都</w:t>
      </w:r>
      <w:bookmarkEnd w:id="115"/>
      <w:bookmarkEnd w:id="116"/>
    </w:p>
    <w:p>
      <w:pPr>
        <w:widowControl w:val="0"/>
        <w:adjustRightInd w:val="0"/>
        <w:snapToGrid w:val="0"/>
        <w:spacing w:after="0" w:line="560" w:lineRule="exact"/>
        <w:ind w:firstLine="680" w:firstLineChars="200"/>
        <w:jc w:val="both"/>
        <w:rPr>
          <w:rFonts w:ascii="Times New Roman" w:hAnsi="Times New Roman" w:eastAsia="仿宋_GB2312"/>
          <w:color w:val="000000" w:themeColor="text1"/>
          <w:szCs w:val="32"/>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推动医防融合。</w:t>
      </w:r>
      <w:r>
        <w:rPr>
          <w:rFonts w:ascii="Times New Roman" w:hAnsi="Times New Roman" w:eastAsia="仿宋_GB2312"/>
          <w:color w:val="000000" w:themeColor="text1"/>
          <w:szCs w:val="32"/>
          <w14:textFill>
            <w14:solidFill>
              <w14:schemeClr w14:val="tx1"/>
            </w14:solidFill>
          </w14:textFill>
        </w:rPr>
        <w:t>将健康融入城市发展，预防为主、防治结合，构建适应城乡居民健康需求、全生命周期、全人群健康服务体系，推动健康服务从疾病管理向健康管理转变。坚持基本医疗卫生事业公益属性，优化完善疾病预防控制管理体制。</w:t>
      </w:r>
    </w:p>
    <w:p>
      <w:pPr>
        <w:pStyle w:val="3"/>
        <w:widowControl w:val="0"/>
        <w:adjustRightInd w:val="0"/>
        <w:snapToGrid w:val="0"/>
        <w:spacing w:after="0"/>
        <w:ind w:firstLine="683"/>
        <w:jc w:val="both"/>
        <w:rPr>
          <w:color w:val="000000" w:themeColor="text1"/>
          <w:szCs w:val="32"/>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完善应急体制。</w:t>
      </w:r>
      <w:r>
        <w:rPr>
          <w:color w:val="000000" w:themeColor="text1"/>
          <w:szCs w:val="32"/>
          <w14:textFill>
            <w14:solidFill>
              <w14:schemeClr w14:val="tx1"/>
            </w14:solidFill>
          </w14:textFill>
        </w:rPr>
        <w:t>优化公共卫生应急管理体系运行机制， 增强重大突发公共卫生事件应对处置能力。实施卫生应急能力提升工程，加强应急指挥、实验室检测网络、应急医疗救治、紧急医学救援能力、物资保障体系建设，初步建成统一</w:t>
      </w:r>
      <w:r>
        <w:rPr>
          <w:color w:val="000000" w:themeColor="text1"/>
          <w:spacing w:val="-6"/>
          <w:szCs w:val="32"/>
          <w14:textFill>
            <w14:solidFill>
              <w14:schemeClr w14:val="tx1"/>
            </w14:solidFill>
          </w14:textFill>
        </w:rPr>
        <w:t>指挥、结构合理、反应灵敏、协调有序、运转高效的运行机</w:t>
      </w:r>
      <w:r>
        <w:rPr>
          <w:color w:val="000000" w:themeColor="text1"/>
          <w:szCs w:val="32"/>
          <w14:textFill>
            <w14:solidFill>
              <w14:schemeClr w14:val="tx1"/>
            </w14:solidFill>
          </w14:textFill>
        </w:rPr>
        <w:t>制。</w:t>
      </w:r>
    </w:p>
    <w:p>
      <w:pPr>
        <w:pStyle w:val="3"/>
        <w:widowControl w:val="0"/>
        <w:adjustRightInd w:val="0"/>
        <w:snapToGrid w:val="0"/>
        <w:spacing w:after="0"/>
        <w:ind w:firstLine="683"/>
        <w:jc w:val="both"/>
        <w:rPr>
          <w:color w:val="000000" w:themeColor="text1"/>
          <w:szCs w:val="32"/>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加强优质医疗资源扩容和均衡布局。</w:t>
      </w:r>
      <w:r>
        <w:rPr>
          <w:color w:val="000000" w:themeColor="text1"/>
          <w:szCs w:val="32"/>
          <w14:textFill>
            <w14:solidFill>
              <w14:schemeClr w14:val="tx1"/>
            </w14:solidFill>
          </w14:textFill>
        </w:rPr>
        <w:t>实施公共卫生服务提质工程，规范化提升区综合医院、社区卫生服务中心（站）建设，全面补齐公共卫生服务能力短板。实施医疗服务提质增效工程，加快推进医联体建设与发展，促进医疗卫生工作重心下移和资源下沉。</w:t>
      </w:r>
    </w:p>
    <w:p>
      <w:pPr>
        <w:widowControl w:val="0"/>
        <w:adjustRightInd w:val="0"/>
        <w:snapToGrid w:val="0"/>
        <w:spacing w:after="0" w:line="560" w:lineRule="exact"/>
        <w:ind w:firstLine="680" w:firstLineChars="200"/>
        <w:jc w:val="both"/>
        <w:rPr>
          <w:rFonts w:ascii="Times New Roman" w:hAnsi="Times New Roman" w:eastAsia="仿宋_GB2312"/>
          <w:color w:val="000000" w:themeColor="text1"/>
          <w:szCs w:val="32"/>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实施中医药传承创新提升工程。</w:t>
      </w:r>
      <w:r>
        <w:rPr>
          <w:rFonts w:ascii="Times New Roman" w:hAnsi="Times New Roman" w:eastAsia="仿宋_GB2312"/>
          <w:color w:val="000000" w:themeColor="text1"/>
          <w:szCs w:val="32"/>
          <w14:textFill>
            <w14:solidFill>
              <w14:schemeClr w14:val="tx1"/>
            </w14:solidFill>
          </w14:textFill>
        </w:rPr>
        <w:t>加强中医药人才队伍建设，持续开展基层中医药人才培养、全科医生培训项目。打造</w:t>
      </w:r>
      <w:r>
        <w:rPr>
          <w:rFonts w:hint="eastAsia" w:ascii="Times New Roman" w:hAnsi="Times New Roman" w:eastAsia="仿宋_GB2312"/>
          <w:color w:val="000000" w:themeColor="text1"/>
          <w:szCs w:val="32"/>
          <w14:textFill>
            <w14:solidFill>
              <w14:schemeClr w14:val="tx1"/>
            </w14:solidFill>
          </w14:textFill>
        </w:rPr>
        <w:t>以</w:t>
      </w:r>
      <w:r>
        <w:rPr>
          <w:rFonts w:ascii="Times New Roman" w:hAnsi="Times New Roman" w:eastAsia="仿宋_GB2312"/>
          <w:color w:val="000000" w:themeColor="text1"/>
          <w:szCs w:val="32"/>
          <w14:textFill>
            <w14:solidFill>
              <w14:schemeClr w14:val="tx1"/>
            </w14:solidFill>
          </w14:textFill>
        </w:rPr>
        <w:t>中医药文化传播和体验为特色的中医药服务体验馆或主题公园、生态廊道、健康步道等中医药宣教基地。让中医药在新时代焕发新活力。实施基层服务能力提升工程，提升</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15分钟健康服务圈</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质量。</w:t>
      </w:r>
    </w:p>
    <w:p>
      <w:pPr>
        <w:pStyle w:val="3"/>
        <w:widowControl w:val="0"/>
        <w:adjustRightInd w:val="0"/>
        <w:snapToGrid w:val="0"/>
        <w:spacing w:after="0"/>
        <w:ind w:firstLine="683"/>
        <w:jc w:val="both"/>
        <w:rPr>
          <w:color w:val="000000" w:themeColor="text1"/>
          <w:szCs w:val="32"/>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加强健康卫生设施建设。</w:t>
      </w:r>
      <w:r>
        <w:rPr>
          <w:color w:val="000000" w:themeColor="text1"/>
          <w:szCs w:val="32"/>
          <w14:textFill>
            <w14:solidFill>
              <w14:schemeClr w14:val="tx1"/>
            </w14:solidFill>
          </w14:textFill>
        </w:rPr>
        <w:t>巩固提升全国健康促进区、国家慢性病综合防控示范区创建成果，规划建设一批体育场、室外体育活动广场、体育馆、游泳馆（池）、全民健身综合馆和大型体育场馆，在河道湖泊沿岸、滩地建设健身步道，新建或改扩建体育公园，提升</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15分钟健身圈</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质量。积极营造全民健身氛围，广泛开展全民健身活动和赛事活动，提高人民群众身体素质。</w:t>
      </w:r>
    </w:p>
    <w:p>
      <w:pPr>
        <w:pStyle w:val="5"/>
        <w:keepNext w:val="0"/>
        <w:keepLines w:val="0"/>
        <w:widowControl w:val="0"/>
        <w:adjustRightInd w:val="0"/>
        <w:snapToGrid w:val="0"/>
        <w:spacing w:before="297" w:beforeLines="50" w:after="297" w:afterLines="50" w:line="560" w:lineRule="exact"/>
        <w:ind w:firstLine="0" w:firstLineChars="0"/>
      </w:pPr>
      <w:bookmarkStart w:id="117" w:name="_Toc25476"/>
      <w:bookmarkStart w:id="118" w:name="_Toc8718"/>
      <w:r>
        <w:rPr>
          <w:rFonts w:hint="eastAsia"/>
        </w:rPr>
        <w:t xml:space="preserve">第四节  </w:t>
      </w:r>
      <w:r>
        <w:t>建成现代化养老体系</w:t>
      </w:r>
      <w:bookmarkEnd w:id="117"/>
      <w:bookmarkEnd w:id="118"/>
    </w:p>
    <w:p>
      <w:pPr>
        <w:widowControl w:val="0"/>
        <w:adjustRightInd w:val="0"/>
        <w:snapToGrid w:val="0"/>
        <w:spacing w:after="0" w:line="560" w:lineRule="exact"/>
        <w:ind w:firstLine="680" w:firstLineChars="200"/>
        <w:rPr>
          <w:rFonts w:ascii="Times New Roman" w:hAnsi="Times New Roman" w:eastAsia="仿宋_GB2312"/>
          <w:color w:val="000000" w:themeColor="text1"/>
          <w:szCs w:val="32"/>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完善基层养老服务体系。</w:t>
      </w:r>
      <w:r>
        <w:rPr>
          <w:rFonts w:ascii="Times New Roman" w:hAnsi="Times New Roman" w:eastAsia="仿宋_GB2312"/>
          <w:color w:val="000000" w:themeColor="text1"/>
          <w:szCs w:val="32"/>
          <w14:textFill>
            <w14:solidFill>
              <w14:schemeClr w14:val="tx1"/>
            </w14:solidFill>
          </w14:textFill>
        </w:rPr>
        <w:t>积极应对人口老龄化，全面建成以</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居家为基础、社区为依托、机构为补充、医养相结合</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的覆盖全区的现代社会养老服务体系，满足不同层次的养老服务需求。将社区居家养老服务设施建设纳入社区配套用房建设范围，街道办事处综合养老服务中心全覆盖，生活照料、医疗护理、精神慰藉、紧急救援等基本养老服务覆盖所有居家老年人。</w:t>
      </w:r>
    </w:p>
    <w:p>
      <w:pPr>
        <w:widowControl w:val="0"/>
        <w:adjustRightInd w:val="0"/>
        <w:snapToGrid w:val="0"/>
        <w:spacing w:after="0" w:line="560" w:lineRule="exact"/>
        <w:ind w:firstLine="680" w:firstLineChars="200"/>
        <w:rPr>
          <w:rFonts w:ascii="Times New Roman" w:hAnsi="Times New Roman" w:eastAsia="仿宋_GB2312"/>
          <w:color w:val="000000" w:themeColor="text1"/>
          <w:szCs w:val="32"/>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推进养老产业融合发展。</w:t>
      </w:r>
      <w:r>
        <w:rPr>
          <w:rFonts w:ascii="Times New Roman" w:hAnsi="Times New Roman" w:eastAsia="仿宋_GB2312"/>
          <w:color w:val="000000" w:themeColor="text1"/>
          <w:szCs w:val="32"/>
          <w14:textFill>
            <w14:solidFill>
              <w14:schemeClr w14:val="tx1"/>
            </w14:solidFill>
          </w14:textFill>
        </w:rPr>
        <w:t>大力发展养老服务业，实现养老与医疗、家政、保险、教育、健身、旅游等相关领域互动发展，吸引更多社会力量投入。</w:t>
      </w:r>
    </w:p>
    <w:p>
      <w:pPr>
        <w:widowControl w:val="0"/>
        <w:adjustRightInd w:val="0"/>
        <w:snapToGrid w:val="0"/>
        <w:spacing w:after="0" w:line="560" w:lineRule="exact"/>
        <w:ind w:firstLine="680" w:firstLineChars="200"/>
        <w:rPr>
          <w:rFonts w:ascii="Times New Roman" w:hAnsi="Times New Roman" w:eastAsia="仿宋_GB2312"/>
          <w:color w:val="000000" w:themeColor="text1"/>
          <w:szCs w:val="32"/>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发展智慧养老。</w:t>
      </w:r>
      <w:r>
        <w:rPr>
          <w:rFonts w:ascii="Times New Roman" w:hAnsi="Times New Roman" w:eastAsia="仿宋_GB2312"/>
          <w:color w:val="000000" w:themeColor="text1"/>
          <w:szCs w:val="32"/>
          <w14:textFill>
            <w14:solidFill>
              <w14:schemeClr w14:val="tx1"/>
            </w14:solidFill>
          </w14:textFill>
        </w:rPr>
        <w:t>加快推进智慧养老服务项目，建设智慧养老应用示范基地，构建智慧养老服务网络，推动</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互联网＋应用</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与养老服务深度融合，打造魏都区多层次、普惠型、广覆盖的</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智慧健康养老服务体系</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w:t>
      </w:r>
    </w:p>
    <w:p>
      <w:pPr>
        <w:pStyle w:val="5"/>
        <w:keepNext w:val="0"/>
        <w:keepLines w:val="0"/>
        <w:widowControl w:val="0"/>
        <w:adjustRightInd w:val="0"/>
        <w:snapToGrid w:val="0"/>
        <w:spacing w:before="297" w:beforeLines="50" w:after="297" w:afterLines="50" w:line="560" w:lineRule="exact"/>
        <w:ind w:firstLine="0" w:firstLineChars="0"/>
      </w:pPr>
      <w:bookmarkStart w:id="119" w:name="_Toc16419"/>
      <w:bookmarkStart w:id="120" w:name="_Toc8301"/>
      <w:r>
        <w:rPr>
          <w:rFonts w:hint="eastAsia"/>
        </w:rPr>
        <w:t xml:space="preserve">第五节  </w:t>
      </w:r>
      <w:r>
        <w:t>完善覆盖全民的社会保障体系</w:t>
      </w:r>
      <w:bookmarkEnd w:id="119"/>
      <w:bookmarkEnd w:id="120"/>
    </w:p>
    <w:p>
      <w:pPr>
        <w:pStyle w:val="16"/>
        <w:widowControl w:val="0"/>
        <w:adjustRightInd w:val="0"/>
        <w:snapToGrid w:val="0"/>
        <w:spacing w:after="0" w:line="560" w:lineRule="exact"/>
        <w:ind w:left="0" w:leftChars="0" w:firstLine="680"/>
        <w:rPr>
          <w:rFonts w:ascii="Times New Roman" w:hAnsi="Times New Roman" w:eastAsia="仿宋_GB2312"/>
          <w:color w:val="000000" w:themeColor="text1"/>
          <w:szCs w:val="32"/>
          <w14:textFill>
            <w14:solidFill>
              <w14:schemeClr w14:val="tx1"/>
            </w14:solidFill>
          </w14:textFill>
        </w:rPr>
      </w:pPr>
      <w:r>
        <w:rPr>
          <w:rFonts w:ascii="Times New Roman" w:hAnsi="Times New Roman" w:eastAsia="仿宋_GB2312"/>
          <w:color w:val="000000" w:themeColor="text1"/>
          <w:szCs w:val="32"/>
          <w14:textFill>
            <w14:solidFill>
              <w14:schemeClr w14:val="tx1"/>
            </w14:solidFill>
          </w14:textFill>
        </w:rPr>
        <w:t>积极落实国家社会保险有关政策，继续扩大社会保险覆盖面，逐步实现</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人人享有社会保险</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。坚持</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房用不炒</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定位，促进房地产市场平稳健康发展。完善基本养老保险制度，促进基本养老保险基金长期平衡。建立新型社会救助体系，加强低保动态管理，完善低保标准与物价上涨挂钩的联动机制。加大临时救助力度，在街道办事处设立临时救助储备金。强化残疾人福利保障，持续做好残疾人</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两补</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工作。健全留守儿童和困境儿童关爱服务体系，提升未成年人救助保护机构服务能力。加快推进街道办事处救助管理所、社区救助服务点的建设，实现对流浪乞讨工作全覆盖。全面落实慈善法，健全魏都慈善总会运作机制，规划化、制度化、透明化提升慈善资金的接受、管理和使用全过程，充分发挥慈善资金济难救困的作用。</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widowControl w:val="0"/>
              <w:adjustRightInd w:val="0"/>
              <w:snapToGrid w:val="0"/>
              <w:spacing w:after="0" w:line="510" w:lineRule="exact"/>
              <w:jc w:val="center"/>
              <w:rPr>
                <w:rFonts w:ascii="黑体" w:hAnsi="黑体" w:eastAsia="黑体" w:cs="黑体"/>
                <w:bCs/>
                <w:color w:val="000000" w:themeColor="text1"/>
                <w:kern w:val="2"/>
                <w:sz w:val="28"/>
                <w:szCs w:val="28"/>
                <w14:textFill>
                  <w14:solidFill>
                    <w14:schemeClr w14:val="tx1"/>
                  </w14:solidFill>
                </w14:textFill>
              </w:rPr>
            </w:pPr>
            <w:r>
              <w:rPr>
                <w:rFonts w:ascii="黑体" w:hAnsi="黑体" w:eastAsia="黑体" w:cs="黑体"/>
                <w:bCs/>
                <w:color w:val="000000" w:themeColor="text1"/>
                <w:kern w:val="2"/>
                <w:sz w:val="28"/>
                <w:szCs w:val="28"/>
                <w14:textFill>
                  <w14:solidFill>
                    <w14:schemeClr w14:val="tx1"/>
                  </w14:solidFill>
                </w14:textFill>
              </w:rPr>
              <w:t>专栏</w:t>
            </w:r>
            <w:r>
              <w:rPr>
                <w:rFonts w:hint="eastAsia" w:ascii="Times New Roman" w:hAnsi="Times New Roman" w:eastAsia="黑体" w:cs="黑体"/>
                <w:bCs/>
                <w:color w:val="000000" w:themeColor="text1"/>
                <w:kern w:val="2"/>
                <w:sz w:val="28"/>
                <w:szCs w:val="28"/>
                <w14:textFill>
                  <w14:solidFill>
                    <w14:schemeClr w14:val="tx1"/>
                  </w14:solidFill>
                </w14:textFill>
              </w:rPr>
              <w:t>8</w:t>
            </w:r>
            <w:r>
              <w:rPr>
                <w:rFonts w:ascii="黑体" w:hAnsi="黑体" w:eastAsia="黑体" w:cs="黑体"/>
                <w:bCs/>
                <w:color w:val="000000" w:themeColor="text1"/>
                <w:kern w:val="2"/>
                <w:sz w:val="28"/>
                <w:szCs w:val="28"/>
                <w14:textFill>
                  <w14:solidFill>
                    <w14:schemeClr w14:val="tx1"/>
                  </w14:solidFill>
                </w14:textFill>
              </w:rPr>
              <w:t xml:space="preserve"> 社会事业项目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pStyle w:val="16"/>
              <w:widowControl w:val="0"/>
              <w:adjustRightInd w:val="0"/>
              <w:snapToGrid w:val="0"/>
              <w:spacing w:after="0" w:line="520" w:lineRule="exact"/>
              <w:ind w:left="0" w:leftChars="0" w:firstLine="602"/>
              <w:rPr>
                <w:rFonts w:ascii="Times New Roman" w:hAnsi="Times New Roman" w:eastAsia="楷体_GB2312"/>
                <w:color w:val="000000" w:themeColor="text1"/>
                <w:sz w:val="28"/>
                <w:szCs w:val="28"/>
                <w14:textFill>
                  <w14:solidFill>
                    <w14:schemeClr w14:val="tx1"/>
                  </w14:solidFill>
                </w14:textFill>
              </w:rPr>
            </w:pPr>
            <w:r>
              <w:rPr>
                <w:rFonts w:ascii="Times New Roman" w:hAnsi="Times New Roman" w:eastAsia="楷体_GB2312"/>
                <w:b/>
                <w:bCs/>
                <w:color w:val="000000" w:themeColor="text1"/>
                <w:sz w:val="28"/>
                <w:szCs w:val="28"/>
                <w14:textFill>
                  <w14:solidFill>
                    <w14:schemeClr w14:val="tx1"/>
                  </w14:solidFill>
                </w14:textFill>
              </w:rPr>
              <w:t>新建项目：</w:t>
            </w:r>
            <w:r>
              <w:rPr>
                <w:rFonts w:ascii="Times New Roman" w:hAnsi="Times New Roman" w:eastAsia="楷体_GB2312"/>
                <w:color w:val="000000" w:themeColor="text1"/>
                <w:sz w:val="28"/>
                <w:szCs w:val="28"/>
                <w14:textFill>
                  <w14:solidFill>
                    <w14:schemeClr w14:val="tx1"/>
                  </w14:solidFill>
                </w14:textFill>
              </w:rPr>
              <w:t>灞陵办事处康复养老中心、魏都区应急物资储备库、樊沟文化综合体、许昌百康园养老养生国际城、魏都区人民法院审判法庭（一期）、文峰路小学、魏都区户外活动设施项目、魏都区学前教育集团项目、魏都区新建学校操场地下空间综合利用项目、许昌市人民医院门诊东楼新建项目</w:t>
            </w:r>
          </w:p>
          <w:p>
            <w:pPr>
              <w:pStyle w:val="16"/>
              <w:widowControl w:val="0"/>
              <w:adjustRightInd w:val="0"/>
              <w:snapToGrid w:val="0"/>
              <w:spacing w:after="0" w:line="520" w:lineRule="exact"/>
              <w:ind w:left="0" w:leftChars="0" w:firstLine="602"/>
              <w:rPr>
                <w:rFonts w:ascii="Times New Roman" w:hAnsi="Times New Roman" w:eastAsia="仿宋_GB2312"/>
                <w:color w:val="000000" w:themeColor="text1"/>
                <w:szCs w:val="32"/>
                <w14:textFill>
                  <w14:solidFill>
                    <w14:schemeClr w14:val="tx1"/>
                  </w14:solidFill>
                </w14:textFill>
              </w:rPr>
            </w:pPr>
            <w:r>
              <w:rPr>
                <w:rFonts w:ascii="Times New Roman" w:hAnsi="Times New Roman" w:eastAsia="楷体_GB2312"/>
                <w:b/>
                <w:bCs/>
                <w:color w:val="000000" w:themeColor="text1"/>
                <w:sz w:val="28"/>
                <w:szCs w:val="28"/>
                <w14:textFill>
                  <w14:solidFill>
                    <w14:schemeClr w14:val="tx1"/>
                  </w14:solidFill>
                </w14:textFill>
              </w:rPr>
              <w:t>续建项目：</w:t>
            </w:r>
            <w:r>
              <w:rPr>
                <w:rFonts w:ascii="Times New Roman" w:hAnsi="Times New Roman" w:eastAsia="楷体_GB2312"/>
                <w:color w:val="000000" w:themeColor="text1"/>
                <w:sz w:val="28"/>
                <w:szCs w:val="28"/>
                <w14:textFill>
                  <w14:solidFill>
                    <w14:schemeClr w14:val="tx1"/>
                  </w14:solidFill>
                </w14:textFill>
              </w:rPr>
              <w:t>许昌市优乐养怡园医养结合养老项目</w:t>
            </w:r>
          </w:p>
        </w:tc>
      </w:tr>
    </w:tbl>
    <w:p>
      <w:pPr>
        <w:pStyle w:val="20"/>
        <w:widowControl w:val="0"/>
        <w:adjustRightInd w:val="0"/>
        <w:snapToGrid w:val="0"/>
        <w:spacing w:after="0" w:line="590" w:lineRule="exact"/>
        <w:outlineLvl w:val="0"/>
        <w:rPr>
          <w:rFonts w:ascii="Times New Roman" w:hAnsi="Times New Roman" w:eastAsia="黑体" w:cs="Times New Roman"/>
          <w:color w:val="000000" w:themeColor="text1"/>
          <w14:textFill>
            <w14:solidFill>
              <w14:schemeClr w14:val="tx1"/>
            </w14:solidFill>
          </w14:textFill>
        </w:rPr>
      </w:pPr>
      <w:bookmarkStart w:id="121" w:name="_Toc29779"/>
      <w:bookmarkStart w:id="122" w:name="_Toc25394"/>
      <w:bookmarkStart w:id="123" w:name="_Toc55780672"/>
    </w:p>
    <w:p>
      <w:pPr>
        <w:pStyle w:val="20"/>
        <w:widowControl w:val="0"/>
        <w:adjustRightInd w:val="0"/>
        <w:snapToGrid w:val="0"/>
        <w:spacing w:after="0" w:line="590" w:lineRule="exact"/>
        <w:outlineLvl w:val="0"/>
        <w:rPr>
          <w:rFonts w:ascii="Times New Roman" w:hAnsi="Times New Roman" w:eastAsia="黑体" w:cs="Times New Roman"/>
          <w:color w:val="000000" w:themeColor="text1"/>
          <w14:textFill>
            <w14:solidFill>
              <w14:schemeClr w14:val="tx1"/>
            </w14:solidFill>
          </w14:textFill>
        </w:rPr>
      </w:pPr>
    </w:p>
    <w:p>
      <w:pPr>
        <w:pStyle w:val="20"/>
        <w:widowControl w:val="0"/>
        <w:adjustRightInd w:val="0"/>
        <w:snapToGrid w:val="0"/>
        <w:spacing w:after="0" w:line="590" w:lineRule="exact"/>
        <w:outlineLvl w:val="0"/>
        <w:rPr>
          <w:rFonts w:ascii="Times New Roman" w:hAnsi="Times New Roman" w:eastAsia="黑体" w:cs="Times New Roman"/>
          <w:color w:val="000000" w:themeColor="text1"/>
          <w14:textFill>
            <w14:solidFill>
              <w14:schemeClr w14:val="tx1"/>
            </w14:solidFill>
          </w14:textFill>
        </w:rPr>
      </w:pPr>
    </w:p>
    <w:p>
      <w:pPr>
        <w:pStyle w:val="20"/>
        <w:widowControl w:val="0"/>
        <w:adjustRightInd w:val="0"/>
        <w:snapToGrid w:val="0"/>
        <w:spacing w:after="0" w:line="590" w:lineRule="exact"/>
        <w:outlineLvl w:val="0"/>
        <w:rPr>
          <w:rFonts w:ascii="Times New Roman" w:hAnsi="Times New Roman" w:eastAsia="黑体" w:cs="Times New Roman"/>
          <w:color w:val="000000" w:themeColor="text1"/>
          <w14:textFill>
            <w14:solidFill>
              <w14:schemeClr w14:val="tx1"/>
            </w14:solidFill>
          </w14:textFill>
        </w:rPr>
      </w:pPr>
    </w:p>
    <w:p>
      <w:pPr>
        <w:pStyle w:val="20"/>
        <w:widowControl w:val="0"/>
        <w:adjustRightInd w:val="0"/>
        <w:snapToGrid w:val="0"/>
        <w:spacing w:after="0" w:line="590" w:lineRule="exact"/>
        <w:outlineLvl w:val="0"/>
        <w:rPr>
          <w:rFonts w:ascii="Times New Roman" w:hAnsi="Times New Roman" w:eastAsia="黑体" w:cs="Times New Roman"/>
          <w:color w:val="000000" w:themeColor="text1"/>
          <w14:textFill>
            <w14:solidFill>
              <w14:schemeClr w14:val="tx1"/>
            </w14:solidFill>
          </w14:textFill>
        </w:rPr>
      </w:pPr>
    </w:p>
    <w:p>
      <w:pPr>
        <w:pStyle w:val="20"/>
        <w:widowControl w:val="0"/>
        <w:adjustRightInd w:val="0"/>
        <w:snapToGrid w:val="0"/>
        <w:spacing w:after="0" w:line="590" w:lineRule="exact"/>
        <w:outlineLvl w:val="0"/>
        <w:rPr>
          <w:rFonts w:ascii="Times New Roman" w:hAnsi="Times New Roman" w:eastAsia="黑体" w:cs="Times New Roman"/>
          <w:color w:val="000000" w:themeColor="text1"/>
          <w14:textFill>
            <w14:solidFill>
              <w14:schemeClr w14:val="tx1"/>
            </w14:solidFill>
          </w14:textFill>
        </w:rPr>
      </w:pPr>
    </w:p>
    <w:p>
      <w:pPr>
        <w:pStyle w:val="20"/>
        <w:widowControl w:val="0"/>
        <w:adjustRightInd w:val="0"/>
        <w:snapToGrid w:val="0"/>
        <w:spacing w:after="0" w:line="590" w:lineRule="exact"/>
        <w:outlineLvl w:val="0"/>
        <w:rPr>
          <w:rFonts w:ascii="Times New Roman" w:hAnsi="Times New Roman" w:eastAsia="黑体" w:cs="Times New Roman"/>
          <w:color w:val="000000" w:themeColor="text1"/>
          <w14:textFill>
            <w14:solidFill>
              <w14:schemeClr w14:val="tx1"/>
            </w14:solidFill>
          </w14:textFill>
        </w:rPr>
      </w:pPr>
    </w:p>
    <w:p>
      <w:pPr>
        <w:pStyle w:val="20"/>
        <w:widowControl w:val="0"/>
        <w:adjustRightInd w:val="0"/>
        <w:snapToGrid w:val="0"/>
        <w:spacing w:after="0" w:line="590" w:lineRule="exact"/>
        <w:outlineLvl w:val="0"/>
        <w:rPr>
          <w:rFonts w:ascii="Times New Roman" w:hAnsi="Times New Roman" w:eastAsia="黑体" w:cs="Times New Roman"/>
          <w:color w:val="000000" w:themeColor="text1"/>
          <w14:textFill>
            <w14:solidFill>
              <w14:schemeClr w14:val="tx1"/>
            </w14:solidFill>
          </w14:textFill>
        </w:rPr>
      </w:pPr>
    </w:p>
    <w:p>
      <w:pPr>
        <w:pStyle w:val="20"/>
        <w:widowControl w:val="0"/>
        <w:adjustRightInd w:val="0"/>
        <w:snapToGrid w:val="0"/>
        <w:spacing w:after="0" w:line="590" w:lineRule="exact"/>
        <w:outlineLvl w:val="0"/>
        <w:rPr>
          <w:rFonts w:ascii="Times New Roman" w:hAnsi="Times New Roman" w:eastAsia="黑体" w:cs="Times New Roman"/>
          <w:color w:val="000000" w:themeColor="text1"/>
          <w14:textFill>
            <w14:solidFill>
              <w14:schemeClr w14:val="tx1"/>
            </w14:solidFill>
          </w14:textFill>
        </w:rPr>
      </w:pPr>
    </w:p>
    <w:p>
      <w:pPr>
        <w:pStyle w:val="20"/>
        <w:widowControl w:val="0"/>
        <w:adjustRightInd w:val="0"/>
        <w:snapToGrid w:val="0"/>
        <w:spacing w:after="0" w:line="590" w:lineRule="exact"/>
        <w:outlineLvl w:val="0"/>
        <w:rPr>
          <w:rFonts w:ascii="Times New Roman" w:hAnsi="Times New Roman" w:eastAsia="黑体" w:cs="Times New Roman"/>
          <w:color w:val="000000" w:themeColor="text1"/>
          <w14:textFill>
            <w14:solidFill>
              <w14:schemeClr w14:val="tx1"/>
            </w14:solidFill>
          </w14:textFill>
        </w:rPr>
      </w:pPr>
    </w:p>
    <w:p>
      <w:pPr>
        <w:pStyle w:val="20"/>
        <w:widowControl w:val="0"/>
        <w:adjustRightInd w:val="0"/>
        <w:snapToGrid w:val="0"/>
        <w:spacing w:after="0" w:line="590" w:lineRule="exact"/>
        <w:outlineLvl w:val="0"/>
        <w:rPr>
          <w:rFonts w:ascii="Times New Roman" w:hAnsi="Times New Roman" w:eastAsia="黑体" w:cs="Times New Roman"/>
          <w:color w:val="000000" w:themeColor="text1"/>
          <w14:textFill>
            <w14:solidFill>
              <w14:schemeClr w14:val="tx1"/>
            </w14:solidFill>
          </w14:textFill>
        </w:rPr>
      </w:pPr>
    </w:p>
    <w:p>
      <w:pPr>
        <w:pStyle w:val="20"/>
        <w:widowControl w:val="0"/>
        <w:adjustRightInd w:val="0"/>
        <w:snapToGrid w:val="0"/>
        <w:spacing w:after="0" w:line="590" w:lineRule="exact"/>
        <w:outlineLvl w:val="0"/>
        <w:rPr>
          <w:rFonts w:ascii="Times New Roman" w:hAnsi="Times New Roman" w:eastAsia="黑体" w:cs="Times New Roman"/>
          <w:color w:val="000000" w:themeColor="text1"/>
          <w14:textFill>
            <w14:solidFill>
              <w14:schemeClr w14:val="tx1"/>
            </w14:solidFill>
          </w14:textFill>
        </w:rPr>
      </w:pPr>
    </w:p>
    <w:p>
      <w:pPr>
        <w:pStyle w:val="20"/>
        <w:widowControl w:val="0"/>
        <w:adjustRightInd w:val="0"/>
        <w:snapToGrid w:val="0"/>
        <w:spacing w:after="0" w:line="590" w:lineRule="exact"/>
        <w:outlineLvl w:val="0"/>
        <w:rPr>
          <w:rFonts w:ascii="Times New Roman" w:hAnsi="Times New Roman" w:eastAsia="黑体" w:cs="Times New Roman"/>
          <w:color w:val="000000" w:themeColor="text1"/>
          <w14:textFill>
            <w14:solidFill>
              <w14:schemeClr w14:val="tx1"/>
            </w14:solidFill>
          </w14:textFill>
        </w:rPr>
      </w:pPr>
    </w:p>
    <w:p>
      <w:pPr>
        <w:pStyle w:val="20"/>
        <w:widowControl w:val="0"/>
        <w:adjustRightInd w:val="0"/>
        <w:snapToGrid w:val="0"/>
        <w:spacing w:after="0" w:line="590" w:lineRule="exact"/>
        <w:outlineLvl w:val="0"/>
        <w:rPr>
          <w:rFonts w:ascii="Times New Roman" w:hAnsi="Times New Roman" w:eastAsia="黑体" w:cs="Times New Roman"/>
          <w:color w:val="000000" w:themeColor="text1"/>
          <w14:textFill>
            <w14:solidFill>
              <w14:schemeClr w14:val="tx1"/>
            </w14:solidFill>
          </w14:textFill>
        </w:rPr>
      </w:pPr>
    </w:p>
    <w:p>
      <w:pPr>
        <w:pStyle w:val="20"/>
        <w:widowControl w:val="0"/>
        <w:adjustRightInd w:val="0"/>
        <w:snapToGrid w:val="0"/>
        <w:spacing w:after="0" w:line="590" w:lineRule="exact"/>
        <w:outlineLvl w:val="0"/>
        <w:rPr>
          <w:rFonts w:ascii="Times New Roman" w:hAnsi="Times New Roman" w:eastAsia="黑体" w:cs="Times New Roman"/>
          <w:color w:val="000000" w:themeColor="text1"/>
          <w14:textFill>
            <w14:solidFill>
              <w14:schemeClr w14:val="tx1"/>
            </w14:solidFill>
          </w14:textFill>
        </w:rPr>
      </w:pPr>
    </w:p>
    <w:p>
      <w:pPr>
        <w:pStyle w:val="20"/>
        <w:widowControl w:val="0"/>
        <w:adjustRightInd w:val="0"/>
        <w:snapToGrid w:val="0"/>
        <w:spacing w:after="0" w:line="590" w:lineRule="exact"/>
        <w:outlineLvl w:val="0"/>
        <w:rPr>
          <w:rFonts w:ascii="Times New Roman" w:hAnsi="Times New Roman" w:eastAsia="黑体" w:cs="Times New Roman"/>
          <w:color w:val="000000" w:themeColor="text1"/>
          <w14:textFill>
            <w14:solidFill>
              <w14:schemeClr w14:val="tx1"/>
            </w14:solidFill>
          </w14:textFill>
        </w:rPr>
      </w:pPr>
    </w:p>
    <w:p>
      <w:pPr>
        <w:pStyle w:val="4"/>
        <w:keepNext w:val="0"/>
        <w:keepLines w:val="0"/>
        <w:widowControl w:val="0"/>
        <w:adjustRightInd w:val="0"/>
        <w:snapToGrid w:val="0"/>
        <w:spacing w:after="0" w:line="600" w:lineRule="exact"/>
      </w:pPr>
      <w:bookmarkStart w:id="124" w:name="_Toc5129"/>
      <w:bookmarkStart w:id="125" w:name="_Toc11379"/>
      <w:r>
        <w:t>第十章  统筹做好发展和安全，</w:t>
      </w:r>
      <w:bookmarkEnd w:id="121"/>
      <w:r>
        <w:t>构建现代</w:t>
      </w:r>
      <w:bookmarkEnd w:id="124"/>
    </w:p>
    <w:p>
      <w:pPr>
        <w:pStyle w:val="4"/>
        <w:keepNext w:val="0"/>
        <w:keepLines w:val="0"/>
        <w:widowControl w:val="0"/>
        <w:adjustRightInd w:val="0"/>
        <w:snapToGrid w:val="0"/>
        <w:spacing w:after="0" w:line="600" w:lineRule="exact"/>
      </w:pPr>
      <w:bookmarkStart w:id="126" w:name="_Toc28413"/>
      <w:r>
        <w:t>社会治理新格局</w:t>
      </w:r>
      <w:bookmarkEnd w:id="122"/>
      <w:bookmarkEnd w:id="123"/>
      <w:bookmarkEnd w:id="125"/>
      <w:bookmarkEnd w:id="126"/>
    </w:p>
    <w:p>
      <w:pPr>
        <w:widowControl w:val="0"/>
        <w:adjustRightInd w:val="0"/>
        <w:snapToGrid w:val="0"/>
        <w:spacing w:after="0" w:line="560" w:lineRule="exact"/>
        <w:ind w:firstLine="680" w:firstLineChars="200"/>
        <w:rPr>
          <w:rFonts w:ascii="Times New Roman" w:hAnsi="Times New Roman" w:eastAsia="仿宋_GB2312"/>
          <w:color w:val="000000" w:themeColor="text1"/>
          <w:szCs w:val="32"/>
          <w14:textFill>
            <w14:solidFill>
              <w14:schemeClr w14:val="tx1"/>
            </w14:solidFill>
          </w14:textFill>
        </w:rPr>
      </w:pPr>
    </w:p>
    <w:p>
      <w:pPr>
        <w:widowControl w:val="0"/>
        <w:adjustRightInd w:val="0"/>
        <w:snapToGrid w:val="0"/>
        <w:spacing w:after="0" w:line="560" w:lineRule="exact"/>
        <w:ind w:firstLine="680" w:firstLineChars="200"/>
        <w:rPr>
          <w:rFonts w:ascii="Times New Roman" w:hAnsi="Times New Roman" w:eastAsia="仿宋_GB2312"/>
          <w:color w:val="000000" w:themeColor="text1"/>
          <w:szCs w:val="32"/>
          <w14:textFill>
            <w14:solidFill>
              <w14:schemeClr w14:val="tx1"/>
            </w14:solidFill>
          </w14:textFill>
        </w:rPr>
      </w:pPr>
      <w:r>
        <w:rPr>
          <w:rFonts w:ascii="Times New Roman" w:hAnsi="Times New Roman" w:eastAsia="仿宋_GB2312"/>
          <w:color w:val="000000" w:themeColor="text1"/>
          <w:szCs w:val="32"/>
          <w14:textFill>
            <w14:solidFill>
              <w14:schemeClr w14:val="tx1"/>
            </w14:solidFill>
          </w14:textFill>
        </w:rPr>
        <w:t>积极探索和创新更高质量、更高层次、更加科学的社会治理模式，加强安全体系和能力建设，防范和化解各种风险，建设更高水平的</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和谐魏都</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和</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平安魏都</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w:t>
      </w:r>
      <w:bookmarkStart w:id="127" w:name="_Toc5036"/>
    </w:p>
    <w:p>
      <w:pPr>
        <w:pStyle w:val="5"/>
        <w:keepNext w:val="0"/>
        <w:keepLines w:val="0"/>
        <w:widowControl w:val="0"/>
        <w:adjustRightInd w:val="0"/>
        <w:snapToGrid w:val="0"/>
        <w:spacing w:before="297" w:beforeLines="50" w:after="297" w:afterLines="50" w:line="560" w:lineRule="exact"/>
        <w:ind w:firstLine="0" w:firstLineChars="0"/>
      </w:pPr>
      <w:bookmarkStart w:id="128" w:name="_Toc30456"/>
      <w:r>
        <w:rPr>
          <w:rFonts w:hint="eastAsia"/>
        </w:rPr>
        <w:t xml:space="preserve">第一节  </w:t>
      </w:r>
      <w:r>
        <w:t>全面推进法治建设</w:t>
      </w:r>
      <w:bookmarkEnd w:id="127"/>
      <w:bookmarkEnd w:id="128"/>
    </w:p>
    <w:p>
      <w:pPr>
        <w:widowControl w:val="0"/>
        <w:adjustRightInd w:val="0"/>
        <w:snapToGrid w:val="0"/>
        <w:spacing w:after="0" w:line="560" w:lineRule="exact"/>
        <w:ind w:firstLine="680" w:firstLineChars="200"/>
        <w:jc w:val="both"/>
        <w:rPr>
          <w:rFonts w:ascii="Times New Roman" w:hAnsi="Times New Roman" w:eastAsia="仿宋_GB2312"/>
          <w:color w:val="000000" w:themeColor="text1"/>
          <w:szCs w:val="32"/>
          <w14:textFill>
            <w14:solidFill>
              <w14:schemeClr w14:val="tx1"/>
            </w14:solidFill>
          </w14:textFill>
        </w:rPr>
      </w:pPr>
      <w:r>
        <w:rPr>
          <w:rFonts w:ascii="Times New Roman" w:hAnsi="Times New Roman" w:eastAsia="仿宋_GB2312"/>
          <w:color w:val="000000" w:themeColor="text1"/>
          <w:szCs w:val="32"/>
          <w14:textFill>
            <w14:solidFill>
              <w14:schemeClr w14:val="tx1"/>
            </w14:solidFill>
          </w14:textFill>
        </w:rPr>
        <w:t>深入贯彻落实习近平法治思想，充分发挥法治在治理能力现代化中的重要作用，切实维护社会公平正义。坚持党领导立法、保证执法、支持司法、带头守法，支持区人大、政府、政协、</w:t>
      </w:r>
      <w:r>
        <w:rPr>
          <w:rFonts w:hint="eastAsia" w:ascii="Times New Roman" w:hAnsi="Times New Roman" w:eastAsia="仿宋_GB2312"/>
          <w:color w:val="000000" w:themeColor="text1"/>
          <w:szCs w:val="32"/>
          <w14:textFill>
            <w14:solidFill>
              <w14:schemeClr w14:val="tx1"/>
            </w14:solidFill>
          </w14:textFill>
        </w:rPr>
        <w:t>纪律</w:t>
      </w:r>
      <w:r>
        <w:rPr>
          <w:rFonts w:ascii="Times New Roman" w:hAnsi="Times New Roman" w:eastAsia="仿宋_GB2312"/>
          <w:color w:val="000000" w:themeColor="text1"/>
          <w:szCs w:val="32"/>
          <w14:textFill>
            <w14:solidFill>
              <w14:schemeClr w14:val="tx1"/>
            </w14:solidFill>
          </w14:textFill>
        </w:rPr>
        <w:t>监察、法院、检察院依法依章程履行职责。加快法治政府建设，健全执法、司法、法律服务衔接配套的综合服务保障体系，积极营造一流的法治化营商环境。</w:t>
      </w:r>
      <w:r>
        <w:rPr>
          <w:rFonts w:ascii="Times New Roman" w:hAnsi="Times New Roman" w:eastAsia="仿宋_GB2312"/>
          <w:color w:val="000000" w:themeColor="text1"/>
          <w:szCs w:val="32"/>
          <w:shd w:val="clear" w:color="auto" w:fill="FFFFFF"/>
          <w14:textFill>
            <w14:solidFill>
              <w14:schemeClr w14:val="tx1"/>
            </w14:solidFill>
          </w14:textFill>
        </w:rPr>
        <w:t>抓好</w:t>
      </w:r>
      <w:r>
        <w:rPr>
          <w:rFonts w:hint="eastAsia" w:ascii="Times New Roman" w:hAnsi="Times New Roman" w:eastAsia="仿宋_GB2312"/>
          <w:color w:val="000000" w:themeColor="text1"/>
          <w:szCs w:val="32"/>
          <w:shd w:val="clear" w:color="auto" w:fill="FFFFFF"/>
          <w14:textFill>
            <w14:solidFill>
              <w14:schemeClr w14:val="tx1"/>
            </w14:solidFill>
          </w14:textFill>
        </w:rPr>
        <w:t>“</w:t>
      </w:r>
      <w:r>
        <w:rPr>
          <w:rFonts w:ascii="Times New Roman" w:hAnsi="Times New Roman" w:eastAsia="仿宋_GB2312"/>
          <w:color w:val="000000" w:themeColor="text1"/>
          <w:szCs w:val="32"/>
          <w:shd w:val="clear" w:color="auto" w:fill="FFFFFF"/>
          <w14:textFill>
            <w14:solidFill>
              <w14:schemeClr w14:val="tx1"/>
            </w14:solidFill>
          </w14:textFill>
        </w:rPr>
        <w:t>八五</w:t>
      </w:r>
      <w:r>
        <w:rPr>
          <w:rFonts w:hint="eastAsia" w:ascii="Times New Roman" w:hAnsi="Times New Roman" w:eastAsia="仿宋_GB2312"/>
          <w:color w:val="000000" w:themeColor="text1"/>
          <w:szCs w:val="32"/>
          <w:shd w:val="clear" w:color="auto" w:fill="FFFFFF"/>
          <w14:textFill>
            <w14:solidFill>
              <w14:schemeClr w14:val="tx1"/>
            </w14:solidFill>
          </w14:textFill>
        </w:rPr>
        <w:t>”</w:t>
      </w:r>
      <w:r>
        <w:rPr>
          <w:rFonts w:ascii="Times New Roman" w:hAnsi="Times New Roman" w:eastAsia="仿宋_GB2312"/>
          <w:color w:val="000000" w:themeColor="text1"/>
          <w:szCs w:val="32"/>
          <w:shd w:val="clear" w:color="auto" w:fill="FFFFFF"/>
          <w14:textFill>
            <w14:solidFill>
              <w14:schemeClr w14:val="tx1"/>
            </w14:solidFill>
          </w14:textFill>
        </w:rPr>
        <w:t>普法规划的制定和组织实施，</w:t>
      </w:r>
      <w:r>
        <w:rPr>
          <w:rFonts w:ascii="Times New Roman" w:hAnsi="Times New Roman" w:eastAsia="仿宋_GB2312"/>
          <w:bCs/>
          <w:color w:val="000000" w:themeColor="text1"/>
          <w:szCs w:val="32"/>
          <w14:textFill>
            <w14:solidFill>
              <w14:schemeClr w14:val="tx1"/>
            </w14:solidFill>
          </w14:textFill>
        </w:rPr>
        <w:t>进一步降低法律援助门槛，继续扩大法律援助覆盖面</w:t>
      </w:r>
      <w:r>
        <w:rPr>
          <w:rFonts w:ascii="Times New Roman" w:hAnsi="Times New Roman" w:eastAsia="仿宋_GB2312"/>
          <w:color w:val="000000" w:themeColor="text1"/>
          <w:szCs w:val="32"/>
          <w:shd w:val="clear" w:color="auto" w:fill="FFFFFF"/>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深化司法体制改革，努力让人民群众在每个司法案件中都能感受到公平正义。加强法治社会建设，建立健全尊法、学法、守法、用法制度，弘扬社会主义法治精神。</w:t>
      </w:r>
    </w:p>
    <w:p>
      <w:pPr>
        <w:pStyle w:val="5"/>
        <w:keepNext w:val="0"/>
        <w:keepLines w:val="0"/>
        <w:widowControl w:val="0"/>
        <w:adjustRightInd w:val="0"/>
        <w:snapToGrid w:val="0"/>
        <w:spacing w:before="297" w:beforeLines="50" w:after="297" w:afterLines="50" w:line="560" w:lineRule="exact"/>
        <w:ind w:firstLine="0" w:firstLineChars="0"/>
      </w:pPr>
      <w:bookmarkStart w:id="129" w:name="_Toc9719"/>
      <w:bookmarkStart w:id="130" w:name="_Toc374"/>
      <w:r>
        <w:rPr>
          <w:rFonts w:hint="eastAsia"/>
        </w:rPr>
        <w:t xml:space="preserve">第二节  </w:t>
      </w:r>
      <w:r>
        <w:t>加强社会治理创新</w:t>
      </w:r>
      <w:bookmarkEnd w:id="129"/>
      <w:bookmarkEnd w:id="130"/>
    </w:p>
    <w:p>
      <w:pPr>
        <w:widowControl w:val="0"/>
        <w:adjustRightInd w:val="0"/>
        <w:snapToGrid w:val="0"/>
        <w:spacing w:after="0" w:line="560" w:lineRule="exact"/>
        <w:ind w:firstLine="680" w:firstLineChars="200"/>
        <w:rPr>
          <w:rFonts w:ascii="Times New Roman" w:hAnsi="Times New Roman" w:eastAsia="仿宋_GB2312"/>
          <w:color w:val="000000" w:themeColor="text1"/>
          <w:szCs w:val="32"/>
          <w14:textFill>
            <w14:solidFill>
              <w14:schemeClr w14:val="tx1"/>
            </w14:solidFill>
          </w14:textFill>
        </w:rPr>
      </w:pPr>
      <w:r>
        <w:rPr>
          <w:rFonts w:ascii="Times New Roman" w:hAnsi="Times New Roman" w:eastAsia="仿宋_GB2312"/>
          <w:color w:val="000000" w:themeColor="text1"/>
          <w:szCs w:val="32"/>
          <w14:textFill>
            <w14:solidFill>
              <w14:schemeClr w14:val="tx1"/>
            </w14:solidFill>
          </w14:textFill>
        </w:rPr>
        <w:t>进一步理顺社会治理体制机制，擦亮</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全国社区治理和服务创新试验区</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金</w:t>
      </w:r>
      <w:r>
        <w:rPr>
          <w:rFonts w:hint="eastAsia" w:ascii="Times New Roman" w:hAnsi="Times New Roman" w:eastAsia="仿宋_GB2312"/>
          <w:color w:val="000000" w:themeColor="text1"/>
          <w:szCs w:val="32"/>
          <w14:textFill>
            <w14:solidFill>
              <w14:schemeClr w14:val="tx1"/>
            </w14:solidFill>
          </w14:textFill>
        </w:rPr>
        <w:t>字</w:t>
      </w:r>
      <w:r>
        <w:rPr>
          <w:rFonts w:ascii="Times New Roman" w:hAnsi="Times New Roman" w:eastAsia="仿宋_GB2312"/>
          <w:color w:val="000000" w:themeColor="text1"/>
          <w:szCs w:val="32"/>
          <w14:textFill>
            <w14:solidFill>
              <w14:schemeClr w14:val="tx1"/>
            </w14:solidFill>
          </w14:textFill>
        </w:rPr>
        <w:t>招牌，保持我区社会治理工作始终走在全省、全市前列。推动城市治理重心向基层下移，向基层放权赋能，进一步理顺魏都市民之家、区直部门和各街道办事处的治理事权职责，构建权责明确、服务为先、管理优化、执法规范、安全有序的社会治理体制。进一步健全</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党建引领</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的自治、法治、德治相融合的基层治理体系，建设人人有责、人人尽责、人人享有的社会治理共同体，实现政府治理和社会调节、居民自治的良性互动。发挥群团组织和社会组织作用，畅通和规范市场主体、新社会阶层、社会工作者和志愿者等参与社会治理途径。</w:t>
      </w:r>
    </w:p>
    <w:p>
      <w:pPr>
        <w:pStyle w:val="5"/>
        <w:keepNext w:val="0"/>
        <w:keepLines w:val="0"/>
        <w:widowControl w:val="0"/>
        <w:adjustRightInd w:val="0"/>
        <w:snapToGrid w:val="0"/>
        <w:spacing w:before="297" w:beforeLines="50" w:after="297" w:afterLines="50" w:line="560" w:lineRule="exact"/>
        <w:ind w:firstLine="0" w:firstLineChars="0"/>
      </w:pPr>
      <w:bookmarkStart w:id="131" w:name="_Toc5611"/>
      <w:bookmarkStart w:id="132" w:name="_Toc20444"/>
      <w:r>
        <w:rPr>
          <w:rFonts w:hint="eastAsia"/>
        </w:rPr>
        <w:t xml:space="preserve">第三节  </w:t>
      </w:r>
      <w:r>
        <w:t>维护社会大局稳定</w:t>
      </w:r>
      <w:bookmarkEnd w:id="131"/>
      <w:bookmarkEnd w:id="132"/>
    </w:p>
    <w:p>
      <w:pPr>
        <w:widowControl w:val="0"/>
        <w:adjustRightInd w:val="0"/>
        <w:snapToGrid w:val="0"/>
        <w:spacing w:after="0" w:line="560" w:lineRule="exact"/>
        <w:ind w:firstLine="680" w:firstLineChars="200"/>
        <w:rPr>
          <w:rFonts w:ascii="Times New Roman" w:hAnsi="Times New Roman" w:eastAsia="仿宋_GB2312"/>
          <w:color w:val="000000" w:themeColor="text1"/>
          <w:szCs w:val="32"/>
          <w14:textFill>
            <w14:solidFill>
              <w14:schemeClr w14:val="tx1"/>
            </w14:solidFill>
          </w14:textFill>
        </w:rPr>
      </w:pPr>
      <w:r>
        <w:rPr>
          <w:rFonts w:ascii="Times New Roman" w:hAnsi="Times New Roman" w:eastAsia="仿宋_GB2312"/>
          <w:color w:val="000000" w:themeColor="text1"/>
          <w:szCs w:val="32"/>
          <w14:textFill>
            <w14:solidFill>
              <w14:schemeClr w14:val="tx1"/>
            </w14:solidFill>
          </w14:textFill>
        </w:rPr>
        <w:t>围绕实现</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信访总量明显下降、信访秩序明显好转、群众满意度持续提升</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三大目标，畅通和规范群众诉求表达、利益协调、权益保障通道，完善信访制度，完善各类调解联动工作体系，构建源头防控、排查梳理、纠纷化解、应急处置的社会矛盾综合治理机制，着力解决群众反映强烈的征迁改造、劳动纠纷、非法集资、问题楼盘等突出问题，把矛盾纠纷化解在基层、消除在萌芽状态。依法规范信访秩序，结合大数据应用，最大限度减少进京赴省上访和非正常上访，坚决防止发生影响社会稳定的重大信访问题和群体性事件。深化拓展新时代文明实践站建设，把实践站建设成为开展特色志愿服务的广阔舞台，通过深入细致、暖心贴心的服务，把党的声音和温暖传递给群众，引导和动员群众自我教育、自我服务、自我提升，不断增强群众的获得感满意度。坚持专群结合、群防群治，加强社会治安防控体系建设，为全区经济社会健康发展</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营造和谐稳定的社会环境。</w:t>
      </w:r>
    </w:p>
    <w:p>
      <w:pPr>
        <w:pStyle w:val="5"/>
        <w:keepNext w:val="0"/>
        <w:keepLines w:val="0"/>
        <w:widowControl w:val="0"/>
        <w:adjustRightInd w:val="0"/>
        <w:snapToGrid w:val="0"/>
        <w:spacing w:before="297" w:beforeLines="50" w:after="297" w:afterLines="50" w:line="560" w:lineRule="exact"/>
        <w:ind w:firstLine="0" w:firstLineChars="0"/>
      </w:pPr>
      <w:bookmarkStart w:id="133" w:name="_Toc19060"/>
      <w:r>
        <w:rPr>
          <w:rFonts w:hint="eastAsia"/>
        </w:rPr>
        <w:t xml:space="preserve">第四节 </w:t>
      </w:r>
      <w:r>
        <w:t xml:space="preserve"> 筑牢</w:t>
      </w:r>
      <w:bookmarkEnd w:id="110"/>
      <w:r>
        <w:t>安全发展防线</w:t>
      </w:r>
      <w:bookmarkEnd w:id="133"/>
    </w:p>
    <w:p>
      <w:pPr>
        <w:widowControl w:val="0"/>
        <w:adjustRightInd w:val="0"/>
        <w:snapToGrid w:val="0"/>
        <w:spacing w:after="0" w:line="560" w:lineRule="exact"/>
        <w:ind w:firstLine="680" w:firstLineChars="200"/>
        <w:jc w:val="both"/>
        <w:rPr>
          <w:rFonts w:ascii="Times New Roman" w:hAnsi="Times New Roman" w:eastAsia="仿宋_GB2312"/>
          <w:color w:val="000000" w:themeColor="text1"/>
          <w:szCs w:val="32"/>
          <w14:textFill>
            <w14:solidFill>
              <w14:schemeClr w14:val="tx1"/>
            </w14:solidFill>
          </w14:textFill>
        </w:rPr>
      </w:pPr>
      <w:bookmarkStart w:id="134" w:name="_Toc11164"/>
      <w:r>
        <w:rPr>
          <w:rFonts w:hint="eastAsia" w:ascii="楷体_GB2312" w:hAnsi="楷体_GB2312" w:eastAsia="楷体_GB2312" w:cs="楷体_GB2312"/>
          <w:b/>
          <w:bCs/>
          <w:color w:val="000000" w:themeColor="text1"/>
          <w:szCs w:val="32"/>
          <w14:textFill>
            <w14:solidFill>
              <w14:schemeClr w14:val="tx1"/>
            </w14:solidFill>
          </w14:textFill>
        </w:rPr>
        <w:t>保障城市运营安全。</w:t>
      </w:r>
      <w:r>
        <w:rPr>
          <w:rFonts w:ascii="Times New Roman" w:hAnsi="Times New Roman" w:eastAsia="仿宋_GB2312"/>
          <w:color w:val="000000" w:themeColor="text1"/>
          <w:szCs w:val="32"/>
          <w14:textFill>
            <w14:solidFill>
              <w14:schemeClr w14:val="tx1"/>
            </w14:solidFill>
          </w14:textFill>
        </w:rPr>
        <w:t>坚决捍卫政治安全，把维护政权安全、制度安全、意识形态安全放在首位。加强经济领域安全风险预警、防控机制和能力建设，确保产业链</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供应链稳定可控，探索建立</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链长制</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。加强社会治安综合治理，构建人防、物防、技防相结合的立体化、现代化治安防控体系，健全</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雪亮工程</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网络和运行机制，推动扫黑除恶常态化，坚决防范和打击暴力恐怖、黑恶势力、新型网络犯罪和跨国犯罪，深入开展平安创建活动。</w:t>
      </w:r>
    </w:p>
    <w:p>
      <w:pPr>
        <w:widowControl w:val="0"/>
        <w:adjustRightInd w:val="0"/>
        <w:snapToGrid w:val="0"/>
        <w:spacing w:after="0" w:line="560" w:lineRule="exact"/>
        <w:ind w:firstLine="680" w:firstLineChars="200"/>
        <w:jc w:val="both"/>
        <w:rPr>
          <w:rFonts w:ascii="Times New Roman" w:hAnsi="Times New Roman" w:eastAsia="仿宋_GB2312"/>
          <w:color w:val="000000" w:themeColor="text1"/>
          <w:szCs w:val="32"/>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加强网络空间综合治理。</w:t>
      </w:r>
      <w:r>
        <w:rPr>
          <w:rFonts w:ascii="Times New Roman" w:hAnsi="Times New Roman" w:eastAsia="仿宋_GB2312"/>
          <w:color w:val="000000" w:themeColor="text1"/>
          <w:szCs w:val="32"/>
          <w14:textFill>
            <w14:solidFill>
              <w14:schemeClr w14:val="tx1"/>
            </w14:solidFill>
          </w14:textFill>
        </w:rPr>
        <w:t>统筹推进网络生态治理和网络安全保障体系建设，扎实推进基础信息化工作和警务大数据工作。加强和改进食品药品安全监管，健全食品药品监管体制机制，不断扩大药品、医疗器械、化妆品等不良反应监测网络，建立健全预警机制，提升应对突发、严重群体药械化不良事件处置能力。加强城市安全保障，维护水利、电力、</w:t>
      </w:r>
      <w:r>
        <w:rPr>
          <w:rFonts w:ascii="Times New Roman" w:hAnsi="Times New Roman" w:eastAsia="仿宋_GB2312"/>
          <w:color w:val="000000" w:themeColor="text1"/>
          <w:spacing w:val="-6"/>
          <w:szCs w:val="32"/>
          <w14:textFill>
            <w14:solidFill>
              <w14:schemeClr w14:val="tx1"/>
            </w14:solidFill>
          </w14:textFill>
        </w:rPr>
        <w:t xml:space="preserve">供水、油气、交通、通信、网络、金融、地下空间等重要基础设施安全。加强公安监管、强制戒毒、社区矫正等场所建设。 </w:t>
      </w:r>
    </w:p>
    <w:p>
      <w:pPr>
        <w:widowControl w:val="0"/>
        <w:adjustRightInd w:val="0"/>
        <w:snapToGrid w:val="0"/>
        <w:spacing w:after="0" w:line="560" w:lineRule="exact"/>
        <w:ind w:firstLine="680" w:firstLineChars="200"/>
        <w:jc w:val="both"/>
        <w:rPr>
          <w:rFonts w:ascii="Times New Roman" w:hAnsi="Times New Roman" w:eastAsia="仿宋_GB2312"/>
          <w:color w:val="000000" w:themeColor="text1"/>
          <w:szCs w:val="32"/>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加强安全生产管理。</w:t>
      </w:r>
      <w:r>
        <w:rPr>
          <w:rFonts w:ascii="Times New Roman" w:hAnsi="Times New Roman" w:eastAsia="仿宋_GB2312"/>
          <w:color w:val="000000" w:themeColor="text1"/>
          <w:szCs w:val="32"/>
          <w14:textFill>
            <w14:solidFill>
              <w14:schemeClr w14:val="tx1"/>
            </w14:solidFill>
          </w14:textFill>
        </w:rPr>
        <w:t>依托</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智慧城市</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系统，完成相关单位、企业基础数据采集录入等工作，完善风险监测数据库，形成</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人防+技防</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的科技化信息系统。严格落实安全生产企业主体责任制，全面推进安全生产风险隐患双重预防体系建设，推行特种设备生产</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使用</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经营单位安全管理标准化。树牢安全发展理念，加强重点企业及其从业人员的安全意识与安全文化教育培训。开展安全发展示范城市创建工作，打造城市安全管理品牌，提高城市安全风险管控能力。</w:t>
      </w:r>
    </w:p>
    <w:p>
      <w:pPr>
        <w:widowControl w:val="0"/>
        <w:adjustRightInd w:val="0"/>
        <w:snapToGrid w:val="0"/>
        <w:spacing w:after="0" w:line="560" w:lineRule="exact"/>
        <w:ind w:firstLine="680" w:firstLineChars="200"/>
        <w:jc w:val="both"/>
        <w:rPr>
          <w:rFonts w:ascii="Times New Roman" w:hAnsi="Times New Roman" w:eastAsia="仿宋_GB2312"/>
          <w:color w:val="000000" w:themeColor="text1"/>
          <w:szCs w:val="32"/>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加强应急管理体系和能力建设。</w:t>
      </w:r>
      <w:r>
        <w:rPr>
          <w:rFonts w:ascii="Times New Roman" w:hAnsi="Times New Roman" w:eastAsia="仿宋_GB2312"/>
          <w:color w:val="000000" w:themeColor="text1"/>
          <w:szCs w:val="32"/>
          <w14:textFill>
            <w14:solidFill>
              <w14:schemeClr w14:val="tx1"/>
            </w14:solidFill>
          </w14:textFill>
        </w:rPr>
        <w:t>完善应急管理组织体系、完善应急管理预案体系并强化应急演练，提升应急救援实战能力，加强专业应急救援队伍建设，支持社会救援力量发展。建设魏都区应急救灾物资储备库，提升综合救援和物资保障能力。加大新型应急救援专业装备的引入，强化应急装备与</w:t>
      </w:r>
      <w:r>
        <w:rPr>
          <w:rFonts w:ascii="Times New Roman" w:hAnsi="Times New Roman" w:eastAsia="仿宋_GB2312"/>
          <w:color w:val="000000" w:themeColor="text1"/>
          <w:szCs w:val="32"/>
          <w:shd w:val="clear" w:color="auto" w:fill="FFFFFF"/>
          <w14:textFill>
            <w14:solidFill>
              <w14:schemeClr w14:val="tx1"/>
            </w14:solidFill>
          </w14:textFill>
        </w:rPr>
        <w:t>设施的培训与应用。开展自然灾害综合风险普查，提升自然灾害防治能力。</w:t>
      </w:r>
      <w:r>
        <w:rPr>
          <w:rFonts w:ascii="Times New Roman" w:hAnsi="Times New Roman" w:eastAsia="仿宋_GB2312"/>
          <w:color w:val="000000" w:themeColor="text1"/>
          <w:szCs w:val="32"/>
          <w14:textFill>
            <w14:solidFill>
              <w14:schemeClr w14:val="tx1"/>
            </w14:solidFill>
          </w14:textFill>
        </w:rPr>
        <w:t xml:space="preserve">加强公共应急避难场所建设，发挥好人防疏散基地和地下防护工程的应急避难功能。 </w:t>
      </w:r>
    </w:p>
    <w:p>
      <w:pPr>
        <w:widowControl w:val="0"/>
        <w:adjustRightInd w:val="0"/>
        <w:snapToGrid w:val="0"/>
        <w:spacing w:after="0" w:line="560" w:lineRule="exact"/>
        <w:ind w:firstLine="680" w:firstLineChars="200"/>
        <w:jc w:val="both"/>
        <w:rPr>
          <w:rFonts w:ascii="Times New Roman" w:hAnsi="Times New Roman" w:eastAsia="仿宋_GB2312"/>
          <w:color w:val="000000" w:themeColor="text1"/>
          <w:szCs w:val="32"/>
          <w14:textFill>
            <w14:solidFill>
              <w14:schemeClr w14:val="tx1"/>
            </w14:solidFill>
          </w14:textFill>
        </w:rPr>
      </w:pPr>
      <w:r>
        <w:rPr>
          <w:rFonts w:ascii="楷体_GB2312" w:hAnsi="楷体_GB2312" w:eastAsia="楷体_GB2312" w:cs="楷体_GB2312"/>
          <w:b/>
          <w:bCs/>
          <w:color w:val="000000" w:themeColor="text1"/>
          <w:szCs w:val="32"/>
          <w14:textFill>
            <w14:solidFill>
              <w14:schemeClr w14:val="tx1"/>
            </w14:solidFill>
          </w14:textFill>
        </w:rPr>
        <w:t>防范化解金融领域重大风险。</w:t>
      </w:r>
      <w:r>
        <w:rPr>
          <w:rFonts w:ascii="Times New Roman" w:hAnsi="Times New Roman" w:eastAsia="仿宋_GB2312"/>
          <w:color w:val="000000" w:themeColor="text1"/>
          <w:szCs w:val="32"/>
          <w14:textFill>
            <w14:solidFill>
              <w14:schemeClr w14:val="tx1"/>
            </w14:solidFill>
          </w14:textFill>
        </w:rPr>
        <w:t>加强金融监管协调，健全信息共享机制、监测预警和早期干预机制、风险应急处置机制，建立重大风险网络防控预警平台。树立金融市场整体思维，强化与国家驻</w:t>
      </w:r>
      <w:r>
        <w:rPr>
          <w:rFonts w:hint="eastAsia" w:ascii="Times New Roman" w:hAnsi="Times New Roman" w:eastAsia="仿宋_GB2312"/>
          <w:color w:val="000000" w:themeColor="text1"/>
          <w:szCs w:val="32"/>
          <w14:textFill>
            <w14:solidFill>
              <w14:schemeClr w14:val="tx1"/>
            </w14:solidFill>
          </w14:textFill>
        </w:rPr>
        <w:t>许</w:t>
      </w:r>
      <w:r>
        <w:rPr>
          <w:rFonts w:ascii="Times New Roman" w:hAnsi="Times New Roman" w:eastAsia="仿宋_GB2312"/>
          <w:color w:val="000000" w:themeColor="text1"/>
          <w:szCs w:val="32"/>
          <w14:textFill>
            <w14:solidFill>
              <w14:schemeClr w14:val="tx1"/>
            </w14:solidFill>
          </w14:textFill>
        </w:rPr>
        <w:t>金融监管部门和</w:t>
      </w:r>
      <w:r>
        <w:rPr>
          <w:rFonts w:hint="eastAsia" w:ascii="Times New Roman" w:hAnsi="Times New Roman" w:eastAsia="仿宋_GB2312"/>
          <w:color w:val="000000" w:themeColor="text1"/>
          <w:szCs w:val="32"/>
          <w14:textFill>
            <w14:solidFill>
              <w14:schemeClr w14:val="tx1"/>
            </w14:solidFill>
          </w14:textFill>
        </w:rPr>
        <w:t>市</w:t>
      </w:r>
      <w:r>
        <w:rPr>
          <w:rFonts w:ascii="Times New Roman" w:hAnsi="Times New Roman" w:eastAsia="仿宋_GB2312"/>
          <w:color w:val="000000" w:themeColor="text1"/>
          <w:szCs w:val="32"/>
          <w14:textFill>
            <w14:solidFill>
              <w14:schemeClr w14:val="tx1"/>
            </w14:solidFill>
          </w14:textFill>
        </w:rPr>
        <w:t>监管部门的沟通协作。持续整治民间集资、互联网金融等领域的违法行为。加强企业债务风险防控，督促企业盘活有效资产，做好信息披露和偿付预案，防范企业风险跨领域、跨行业传染，严厉打击恶意逃</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废债行为。积极稳妥做好政府债务风险防范化解工作，严控新增政府债务，管控地方融资平台，坚守不发生区域性经济金融风险的底线。</w:t>
      </w:r>
    </w:p>
    <w:p>
      <w:pPr>
        <w:pStyle w:val="20"/>
        <w:widowControl w:val="0"/>
        <w:adjustRightInd w:val="0"/>
        <w:snapToGrid w:val="0"/>
        <w:spacing w:after="0" w:line="590" w:lineRule="exact"/>
        <w:ind w:firstLine="680" w:firstLineChars="200"/>
        <w:jc w:val="left"/>
        <w:outlineLvl w:val="0"/>
        <w:rPr>
          <w:rFonts w:ascii="Times New Roman" w:hAnsi="Times New Roman" w:eastAsia="黑体" w:cs="Times New Roman"/>
          <w:color w:val="000000" w:themeColor="text1"/>
          <w14:textFill>
            <w14:solidFill>
              <w14:schemeClr w14:val="tx1"/>
            </w14:solidFill>
          </w14:textFill>
        </w:rPr>
      </w:pPr>
    </w:p>
    <w:p>
      <w:pPr>
        <w:pStyle w:val="20"/>
        <w:widowControl w:val="0"/>
        <w:adjustRightInd w:val="0"/>
        <w:snapToGrid w:val="0"/>
        <w:spacing w:after="0" w:line="590" w:lineRule="exact"/>
        <w:ind w:firstLine="680" w:firstLineChars="200"/>
        <w:jc w:val="left"/>
        <w:outlineLvl w:val="0"/>
        <w:rPr>
          <w:rFonts w:ascii="Times New Roman" w:hAnsi="Times New Roman" w:eastAsia="黑体" w:cs="Times New Roman"/>
          <w:color w:val="000000" w:themeColor="text1"/>
          <w14:textFill>
            <w14:solidFill>
              <w14:schemeClr w14:val="tx1"/>
            </w14:solidFill>
          </w14:textFill>
        </w:rPr>
      </w:pPr>
    </w:p>
    <w:p>
      <w:pPr>
        <w:pStyle w:val="20"/>
        <w:widowControl w:val="0"/>
        <w:adjustRightInd w:val="0"/>
        <w:snapToGrid w:val="0"/>
        <w:spacing w:after="0" w:line="590" w:lineRule="exact"/>
        <w:ind w:firstLine="680" w:firstLineChars="200"/>
        <w:jc w:val="left"/>
        <w:outlineLvl w:val="0"/>
        <w:rPr>
          <w:rFonts w:ascii="Times New Roman" w:hAnsi="Times New Roman" w:eastAsia="黑体" w:cs="Times New Roman"/>
          <w:color w:val="000000" w:themeColor="text1"/>
          <w14:textFill>
            <w14:solidFill>
              <w14:schemeClr w14:val="tx1"/>
            </w14:solidFill>
          </w14:textFill>
        </w:rPr>
      </w:pPr>
    </w:p>
    <w:p>
      <w:pPr>
        <w:pStyle w:val="20"/>
        <w:widowControl w:val="0"/>
        <w:adjustRightInd w:val="0"/>
        <w:snapToGrid w:val="0"/>
        <w:spacing w:after="0" w:line="590" w:lineRule="exact"/>
        <w:ind w:firstLine="680" w:firstLineChars="200"/>
        <w:jc w:val="left"/>
        <w:outlineLvl w:val="0"/>
        <w:rPr>
          <w:rFonts w:ascii="Times New Roman" w:hAnsi="Times New Roman" w:eastAsia="黑体" w:cs="Times New Roman"/>
          <w:color w:val="000000" w:themeColor="text1"/>
          <w14:textFill>
            <w14:solidFill>
              <w14:schemeClr w14:val="tx1"/>
            </w14:solidFill>
          </w14:textFill>
        </w:rPr>
      </w:pPr>
    </w:p>
    <w:p>
      <w:pPr>
        <w:pStyle w:val="20"/>
        <w:widowControl w:val="0"/>
        <w:adjustRightInd w:val="0"/>
        <w:snapToGrid w:val="0"/>
        <w:spacing w:after="0" w:line="590" w:lineRule="exact"/>
        <w:ind w:firstLine="680" w:firstLineChars="200"/>
        <w:jc w:val="left"/>
        <w:outlineLvl w:val="0"/>
        <w:rPr>
          <w:rFonts w:ascii="Times New Roman" w:hAnsi="Times New Roman" w:eastAsia="黑体" w:cs="Times New Roman"/>
          <w:color w:val="000000" w:themeColor="text1"/>
          <w14:textFill>
            <w14:solidFill>
              <w14:schemeClr w14:val="tx1"/>
            </w14:solidFill>
          </w14:textFill>
        </w:rPr>
      </w:pPr>
    </w:p>
    <w:p>
      <w:pPr>
        <w:pStyle w:val="4"/>
        <w:keepNext w:val="0"/>
        <w:keepLines w:val="0"/>
        <w:widowControl w:val="0"/>
        <w:adjustRightInd w:val="0"/>
        <w:snapToGrid w:val="0"/>
        <w:spacing w:after="0" w:line="600" w:lineRule="exact"/>
      </w:pPr>
      <w:bookmarkStart w:id="135" w:name="_Toc23298"/>
      <w:bookmarkStart w:id="136" w:name="_Toc5261"/>
      <w:r>
        <w:t>第十一章  强化规划实施保障，</w:t>
      </w:r>
      <w:bookmarkEnd w:id="135"/>
    </w:p>
    <w:p>
      <w:pPr>
        <w:pStyle w:val="4"/>
        <w:keepNext w:val="0"/>
        <w:keepLines w:val="0"/>
        <w:widowControl w:val="0"/>
        <w:adjustRightInd w:val="0"/>
        <w:snapToGrid w:val="0"/>
        <w:spacing w:after="0" w:line="600" w:lineRule="exact"/>
      </w:pPr>
      <w:bookmarkStart w:id="137" w:name="_Toc11461"/>
      <w:r>
        <w:t>为实现</w:t>
      </w:r>
      <w:r>
        <w:rPr>
          <w:rFonts w:hint="eastAsia"/>
        </w:rPr>
        <w:t>“</w:t>
      </w:r>
      <w:r>
        <w:t>十四五</w:t>
      </w:r>
      <w:r>
        <w:rPr>
          <w:rFonts w:hint="eastAsia"/>
        </w:rPr>
        <w:t>”</w:t>
      </w:r>
      <w:r>
        <w:t>规划提供坚强</w:t>
      </w:r>
      <w:bookmarkEnd w:id="134"/>
      <w:bookmarkEnd w:id="136"/>
      <w:bookmarkEnd w:id="137"/>
      <w:r>
        <w:rPr>
          <w:rFonts w:hint="eastAsia"/>
        </w:rPr>
        <w:t>保障</w:t>
      </w:r>
    </w:p>
    <w:p>
      <w:pPr>
        <w:widowControl w:val="0"/>
        <w:adjustRightInd w:val="0"/>
        <w:snapToGrid w:val="0"/>
        <w:spacing w:after="0" w:line="560" w:lineRule="exact"/>
        <w:ind w:firstLine="680" w:firstLineChars="200"/>
        <w:rPr>
          <w:rFonts w:ascii="Times New Roman" w:hAnsi="Times New Roman" w:eastAsia="仿宋_GB2312"/>
          <w:color w:val="000000" w:themeColor="text1"/>
          <w:szCs w:val="32"/>
          <w14:textFill>
            <w14:solidFill>
              <w14:schemeClr w14:val="tx1"/>
            </w14:solidFill>
          </w14:textFill>
        </w:rPr>
      </w:pPr>
    </w:p>
    <w:p>
      <w:pPr>
        <w:widowControl w:val="0"/>
        <w:adjustRightInd w:val="0"/>
        <w:snapToGrid w:val="0"/>
        <w:spacing w:after="0" w:line="560" w:lineRule="exact"/>
        <w:ind w:firstLine="680" w:firstLineChars="200"/>
        <w:rPr>
          <w:rFonts w:ascii="Times New Roman" w:hAnsi="Times New Roman" w:eastAsia="仿宋_GB2312"/>
          <w:color w:val="000000" w:themeColor="text1"/>
          <w:szCs w:val="32"/>
          <w14:textFill>
            <w14:solidFill>
              <w14:schemeClr w14:val="tx1"/>
            </w14:solidFill>
          </w14:textFill>
        </w:rPr>
      </w:pPr>
      <w:r>
        <w:rPr>
          <w:rFonts w:ascii="Times New Roman" w:hAnsi="Times New Roman" w:eastAsia="仿宋_GB2312"/>
          <w:color w:val="000000" w:themeColor="text1"/>
          <w:szCs w:val="32"/>
          <w14:textFill>
            <w14:solidFill>
              <w14:schemeClr w14:val="tx1"/>
            </w14:solidFill>
          </w14:textFill>
        </w:rPr>
        <w:t>实现</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十四五</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规划，必须坚持党的全面领导，充分调动一切积极因素，广泛团结一切可以团结的力量，形成推动发展的强大合力。要坚持项目引领和科学实施，确保各项目标任务顺利完成。</w:t>
      </w:r>
      <w:bookmarkStart w:id="138" w:name="_Toc47930321"/>
      <w:bookmarkEnd w:id="138"/>
      <w:bookmarkStart w:id="139" w:name="_Toc13777"/>
      <w:bookmarkEnd w:id="139"/>
      <w:bookmarkStart w:id="140" w:name="_Toc55780674"/>
      <w:bookmarkEnd w:id="140"/>
    </w:p>
    <w:p>
      <w:pPr>
        <w:pStyle w:val="5"/>
        <w:keepNext w:val="0"/>
        <w:keepLines w:val="0"/>
        <w:widowControl w:val="0"/>
        <w:adjustRightInd w:val="0"/>
        <w:snapToGrid w:val="0"/>
        <w:spacing w:before="297" w:beforeLines="50" w:after="297" w:afterLines="50" w:line="560" w:lineRule="exact"/>
        <w:ind w:firstLine="0" w:firstLineChars="0"/>
      </w:pPr>
      <w:bookmarkStart w:id="141" w:name="_Toc3572"/>
      <w:bookmarkStart w:id="142" w:name="_Toc24551"/>
      <w:r>
        <w:t>第一节  提高党领导发展的能力水平</w:t>
      </w:r>
      <w:bookmarkEnd w:id="141"/>
      <w:bookmarkEnd w:id="142"/>
    </w:p>
    <w:p>
      <w:pPr>
        <w:widowControl w:val="0"/>
        <w:adjustRightInd w:val="0"/>
        <w:snapToGrid w:val="0"/>
        <w:spacing w:after="0" w:line="560" w:lineRule="exact"/>
        <w:ind w:firstLine="680" w:firstLineChars="200"/>
        <w:jc w:val="both"/>
        <w:rPr>
          <w:rFonts w:ascii="Times New Roman" w:hAnsi="Times New Roman" w:eastAsia="仿宋_GB2312"/>
          <w:color w:val="000000" w:themeColor="text1"/>
          <w:szCs w:val="32"/>
          <w14:textFill>
            <w14:solidFill>
              <w14:schemeClr w14:val="tx1"/>
            </w14:solidFill>
          </w14:textFill>
        </w:rPr>
      </w:pPr>
      <w:r>
        <w:rPr>
          <w:rFonts w:ascii="Times New Roman" w:hAnsi="Times New Roman" w:eastAsia="仿宋_GB2312"/>
          <w:color w:val="000000" w:themeColor="text1"/>
          <w:szCs w:val="32"/>
          <w14:textFill>
            <w14:solidFill>
              <w14:schemeClr w14:val="tx1"/>
            </w14:solidFill>
          </w14:textFill>
        </w:rPr>
        <w:t>坚决维护党中央权威和集中统一领导，不断增强</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四个意识</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、坚定</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四个自信</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、做到</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两个维护</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充分发挥党总揽全局、协调各方的领导核心作用，把党的领导贯彻落实到规划实施各领域全过程，以党的领导坚强有力保证中央、省委、市委决策部署在魏都区落实有力、推进有力。充分发挥基层党组织的战斗堡垒作用和党员的先锋模范作用，增强基层党组织政治功能和组织力。全面落实新时期好干部标准，建立健全干部担当作为的激励和保护机制。</w:t>
      </w:r>
      <w:bookmarkStart w:id="143" w:name="_Toc47930322"/>
      <w:bookmarkStart w:id="144" w:name="_Toc32393"/>
      <w:bookmarkStart w:id="145" w:name="_Toc55780675"/>
    </w:p>
    <w:p>
      <w:pPr>
        <w:pStyle w:val="5"/>
        <w:keepNext w:val="0"/>
        <w:keepLines w:val="0"/>
        <w:widowControl w:val="0"/>
        <w:adjustRightInd w:val="0"/>
        <w:snapToGrid w:val="0"/>
        <w:spacing w:before="297" w:beforeLines="50" w:after="297" w:afterLines="50" w:line="560" w:lineRule="exact"/>
        <w:ind w:firstLine="0" w:firstLineChars="0"/>
      </w:pPr>
      <w:bookmarkStart w:id="146" w:name="_Toc30004"/>
      <w:bookmarkStart w:id="147" w:name="_Toc11852"/>
      <w:r>
        <w:t>第二节  营造风清气正政治生态</w:t>
      </w:r>
      <w:bookmarkEnd w:id="146"/>
      <w:bookmarkEnd w:id="147"/>
    </w:p>
    <w:p>
      <w:pPr>
        <w:widowControl w:val="0"/>
        <w:adjustRightInd w:val="0"/>
        <w:snapToGrid w:val="0"/>
        <w:spacing w:after="0" w:line="560" w:lineRule="exact"/>
        <w:ind w:firstLine="680" w:firstLineChars="200"/>
        <w:rPr>
          <w:rFonts w:ascii="Times New Roman" w:hAnsi="Times New Roman" w:eastAsia="仿宋_GB2312"/>
          <w:color w:val="000000" w:themeColor="text1"/>
          <w:szCs w:val="32"/>
          <w14:textFill>
            <w14:solidFill>
              <w14:schemeClr w14:val="tx1"/>
            </w14:solidFill>
          </w14:textFill>
        </w:rPr>
      </w:pPr>
      <w:r>
        <w:rPr>
          <w:rFonts w:ascii="Times New Roman" w:hAnsi="Times New Roman" w:eastAsia="仿宋_GB2312"/>
          <w:color w:val="000000" w:themeColor="text1"/>
          <w:szCs w:val="32"/>
          <w14:textFill>
            <w14:solidFill>
              <w14:schemeClr w14:val="tx1"/>
            </w14:solidFill>
          </w14:textFill>
        </w:rPr>
        <w:t>落实全面从严治党主体责任、监督责任，严格落实八项规定精神，持续纠正形式主义、官僚主义，切实为基层减负。完善党和国家监督体系，强化对公权力运行的制约和监督，围绕营造公平、公正、透明、高效的营商环境，着力解决群众身边的</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微腐败</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和行政效能低下的问题。持续深化不敢腐、不能腐、不想腐一体推进机制建设，持续巩固好发展好全区上下风清气正、团结干事的良好政治生态。</w:t>
      </w:r>
      <w:bookmarkEnd w:id="143"/>
      <w:bookmarkEnd w:id="144"/>
      <w:bookmarkEnd w:id="145"/>
    </w:p>
    <w:p>
      <w:pPr>
        <w:pStyle w:val="5"/>
        <w:keepNext w:val="0"/>
        <w:keepLines w:val="0"/>
        <w:widowControl w:val="0"/>
        <w:adjustRightInd w:val="0"/>
        <w:snapToGrid w:val="0"/>
        <w:spacing w:before="297" w:beforeLines="50" w:after="297" w:afterLines="50" w:line="560" w:lineRule="exact"/>
        <w:ind w:firstLine="0" w:firstLineChars="0"/>
      </w:pPr>
      <w:bookmarkStart w:id="148" w:name="_Toc25104"/>
      <w:bookmarkStart w:id="149" w:name="_Toc29026"/>
      <w:r>
        <w:t>第三节  广泛凝聚各方智慧力量</w:t>
      </w:r>
      <w:bookmarkEnd w:id="148"/>
      <w:bookmarkEnd w:id="149"/>
    </w:p>
    <w:p>
      <w:pPr>
        <w:widowControl w:val="0"/>
        <w:adjustRightInd w:val="0"/>
        <w:snapToGrid w:val="0"/>
        <w:spacing w:after="0" w:line="560" w:lineRule="exact"/>
        <w:ind w:firstLine="680" w:firstLineChars="200"/>
        <w:rPr>
          <w:rFonts w:ascii="Times New Roman" w:hAnsi="Times New Roman" w:eastAsia="仿宋_GB2312"/>
          <w:color w:val="000000" w:themeColor="text1"/>
          <w:szCs w:val="32"/>
          <w14:textFill>
            <w14:solidFill>
              <w14:schemeClr w14:val="tx1"/>
            </w14:solidFill>
          </w14:textFill>
        </w:rPr>
      </w:pPr>
      <w:r>
        <w:rPr>
          <w:rFonts w:ascii="Times New Roman" w:hAnsi="Times New Roman" w:eastAsia="仿宋_GB2312"/>
          <w:color w:val="000000" w:themeColor="text1"/>
          <w:szCs w:val="32"/>
          <w14:textFill>
            <w14:solidFill>
              <w14:schemeClr w14:val="tx1"/>
            </w14:solidFill>
          </w14:textFill>
        </w:rPr>
        <w:t>支持人大、政协依法依章程履行职责。发挥好工会、共青团、妇联等人民团体作用，把各自联系的群众紧紧凝聚在党的周围。全面贯彻党的宗教工作基本方针，积极引导宗教与社会主义社会相适应。加强国防动员体系建设，巩固军民团结，做好拥军优属工作。巩固和发展最广泛的爱国统一战线，加强党外干部队伍建设，做好非公经济人士、新阶层人士统战工作，强化港澳台侨和海外联谊工作，画出最大同心圆，最大限度凝聚各方面力量。尊重基层首创精神，形成全区人民群策群力、共建共享的生动局面。</w:t>
      </w:r>
    </w:p>
    <w:p>
      <w:pPr>
        <w:pStyle w:val="5"/>
        <w:keepNext w:val="0"/>
        <w:keepLines w:val="0"/>
        <w:widowControl w:val="0"/>
        <w:adjustRightInd w:val="0"/>
        <w:snapToGrid w:val="0"/>
        <w:spacing w:before="297" w:beforeLines="50" w:after="297" w:afterLines="50" w:line="560" w:lineRule="exact"/>
        <w:ind w:firstLine="0" w:firstLineChars="0"/>
      </w:pPr>
      <w:bookmarkStart w:id="150" w:name="_Toc12302"/>
      <w:bookmarkStart w:id="151" w:name="_Toc6414"/>
      <w:r>
        <w:t>第四节  确保</w:t>
      </w:r>
      <w:r>
        <w:rPr>
          <w:rFonts w:hint="eastAsia"/>
        </w:rPr>
        <w:t>“</w:t>
      </w:r>
      <w:r>
        <w:t>十四五</w:t>
      </w:r>
      <w:r>
        <w:rPr>
          <w:rFonts w:hint="eastAsia"/>
        </w:rPr>
        <w:t>”</w:t>
      </w:r>
      <w:r>
        <w:t>规划目标任务落实</w:t>
      </w:r>
      <w:bookmarkEnd w:id="150"/>
      <w:bookmarkEnd w:id="151"/>
    </w:p>
    <w:p>
      <w:pPr>
        <w:widowControl w:val="0"/>
        <w:adjustRightInd w:val="0"/>
        <w:snapToGrid w:val="0"/>
        <w:spacing w:after="0" w:line="560" w:lineRule="exact"/>
        <w:ind w:firstLine="680" w:firstLineChars="200"/>
        <w:jc w:val="both"/>
        <w:rPr>
          <w:rFonts w:ascii="Times New Roman" w:hAnsi="Times New Roman"/>
          <w:color w:val="000000" w:themeColor="text1"/>
          <w:sz w:val="21"/>
          <w:szCs w:val="21"/>
          <w14:textFill>
            <w14:solidFill>
              <w14:schemeClr w14:val="tx1"/>
            </w14:solidFill>
          </w14:textFill>
        </w:rPr>
      </w:pPr>
      <w:r>
        <w:rPr>
          <w:rFonts w:hint="eastAsia" w:ascii="Times New Roman" w:hAnsi="Times New Roman" w:eastAsia="仿宋_GB2312"/>
          <w:color w:val="000000" w:themeColor="text1"/>
          <w:szCs w:val="32"/>
          <w14:textFill>
            <w14:solidFill>
              <w14:schemeClr w14:val="tx1"/>
            </w14:solidFill>
          </w14:textFill>
        </w:rPr>
        <w:t>实施</w:t>
      </w:r>
      <w:r>
        <w:rPr>
          <w:rFonts w:ascii="Times New Roman" w:hAnsi="Times New Roman" w:eastAsia="仿宋_GB2312"/>
          <w:color w:val="000000" w:themeColor="text1"/>
          <w:szCs w:val="32"/>
          <w14:textFill>
            <w14:solidFill>
              <w14:schemeClr w14:val="tx1"/>
            </w14:solidFill>
          </w14:textFill>
        </w:rPr>
        <w:t>我区</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十四五</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规划纲要，要坚决贯彻中央、省委和市委决策部署，落实</w:t>
      </w:r>
      <w:r>
        <w:rPr>
          <w:rFonts w:hint="eastAsia" w:ascii="Times New Roman" w:hAnsi="Times New Roman" w:eastAsia="仿宋_GB2312"/>
          <w:color w:val="000000" w:themeColor="text1"/>
          <w:szCs w:val="32"/>
          <w14:textFill>
            <w14:solidFill>
              <w14:schemeClr w14:val="tx1"/>
            </w14:solidFill>
          </w14:textFill>
        </w:rPr>
        <w:t>规划</w:t>
      </w:r>
      <w:r>
        <w:rPr>
          <w:rFonts w:ascii="Times New Roman" w:hAnsi="Times New Roman" w:eastAsia="仿宋_GB2312"/>
          <w:color w:val="000000" w:themeColor="text1"/>
          <w:szCs w:val="32"/>
          <w14:textFill>
            <w14:solidFill>
              <w14:schemeClr w14:val="tx1"/>
            </w14:solidFill>
          </w14:textFill>
        </w:rPr>
        <w:t>建议确定的目标要求、战略任务、重大举措，形成定位准确、边界清晰、功能互补、统一衔接的规划体系。要把项目作为主要支撑，围绕工业</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1355行动计划</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、现代服务业</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一赋四培计划</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、城市建设</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两区、两改、两线、六路计划</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，科学谋划、滚动储备、组织建设一批重大工程项目，持续完善重大项目协调推进机制，真正把</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十四五</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规划落实到一个一个具体项目上。各职能部门要加强与市级部门的对接，按照许昌市统一部署，立足区情实际，编制好、实施好</w:t>
      </w:r>
      <w:r>
        <w:rPr>
          <w:rFonts w:hint="eastAsia" w:ascii="Times New Roman" w:hAnsi="Times New Roman" w:eastAsia="仿宋_GB2312"/>
          <w:color w:val="000000" w:themeColor="text1"/>
          <w:szCs w:val="32"/>
          <w14:textFill>
            <w14:solidFill>
              <w14:schemeClr w14:val="tx1"/>
            </w14:solidFill>
          </w14:textFill>
        </w:rPr>
        <w:t>各</w:t>
      </w:r>
      <w:r>
        <w:rPr>
          <w:rFonts w:ascii="Times New Roman" w:hAnsi="Times New Roman" w:eastAsia="仿宋_GB2312"/>
          <w:color w:val="000000" w:themeColor="text1"/>
          <w:szCs w:val="32"/>
          <w14:textFill>
            <w14:solidFill>
              <w14:schemeClr w14:val="tx1"/>
            </w14:solidFill>
          </w14:textFill>
        </w:rPr>
        <w:t>行业领域内的</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十四五</w:t>
      </w:r>
      <w:r>
        <w:rPr>
          <w:rFonts w:hint="eastAsia" w:ascii="Times New Roman" w:hAnsi="Times New Roman" w:eastAsia="仿宋_GB2312"/>
          <w:color w:val="000000" w:themeColor="text1"/>
          <w:szCs w:val="32"/>
          <w14:textFill>
            <w14:solidFill>
              <w14:schemeClr w14:val="tx1"/>
            </w14:solidFill>
          </w14:textFill>
        </w:rPr>
        <w:t>”</w:t>
      </w:r>
      <w:r>
        <w:rPr>
          <w:rFonts w:ascii="Times New Roman" w:hAnsi="Times New Roman" w:eastAsia="仿宋_GB2312"/>
          <w:color w:val="000000" w:themeColor="text1"/>
          <w:szCs w:val="32"/>
          <w14:textFill>
            <w14:solidFill>
              <w14:schemeClr w14:val="tx1"/>
            </w14:solidFill>
          </w14:textFill>
        </w:rPr>
        <w:t>专项规划。各级各类规划要明确坚持新发展理念的指标，增加高质量发展约束性指标。要健全政策协调和工作协同机制，</w:t>
      </w:r>
      <w:bookmarkEnd w:id="7"/>
      <w:r>
        <w:rPr>
          <w:rFonts w:hint="eastAsia" w:ascii="Times New Roman" w:hAnsi="Times New Roman" w:eastAsia="仿宋_GB2312"/>
          <w:color w:val="000000" w:themeColor="text1"/>
          <w:szCs w:val="32"/>
          <w14:textFill>
            <w14:solidFill>
              <w14:schemeClr w14:val="tx1"/>
            </w14:solidFill>
          </w14:textFill>
        </w:rPr>
        <w:t>并在各专项规划的编制过程中同步谋划规划落实工作，统筹规划的年度监测、中期检查和终期考核等工作，形成规划编制、实施、考核的管理闭环，确保“十四五”规划的各项目标任务落到实处。</w:t>
      </w:r>
    </w:p>
    <w:sectPr>
      <w:footerReference r:id="rId15" w:type="first"/>
      <w:footerReference r:id="rId13" w:type="default"/>
      <w:footerReference r:id="rId14" w:type="even"/>
      <w:pgSz w:w="11906" w:h="16838"/>
      <w:pgMar w:top="1587" w:right="1417" w:bottom="1587" w:left="1417" w:header="851" w:footer="850" w:gutter="0"/>
      <w:pgNumType w:fmt="numberInDash"/>
      <w:cols w:space="0" w:num="1"/>
      <w:titlePg/>
      <w:docGrid w:type="linesAndChars" w:linePitch="595"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- 2 -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after="0" w:line="240" w:lineRule="auto"/>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- 3 -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PRhHJN0CAAAkBgAADgAAAAAAAAABACAAAAAfAQAAZHJzL2Uyb0RvYy54bWxQSwUG&#10;AAAAAAYABgBZAQAAbgY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- 3 -</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after="0" w:line="240" w:lineRule="auto"/>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- 3 -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mF77c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AqZhe+3AIAACQGAAAOAAAAAAAAAAEAIAAAAB8BAABkcnMvZTJvRG9jLnhtbFBLBQYA&#10;AAAABgAGAFkBAABtBg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- 3 -</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J0wnyN0CAAAkBgAADgAAAAAAAAABACAAAAAfAQAAZHJzL2Uyb0RvYy54bWxQSwUG&#10;AAAAAAYABgBZAQAAbgY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- 2 -</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ApVbcAgAAJA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CvwKVW3AIAACQGAAAOAAAAAAAAAAEAIAAAAB8BAABkcnMvZTJvRG9jLnhtbFBLBQYA&#10;AAAABgAGAFkBAABtBg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59" w:lineRule="auto"/>
      </w:pPr>
      <w:r>
        <w:separator/>
      </w:r>
    </w:p>
  </w:footnote>
  <w:footnote w:type="continuationSeparator" w:id="3">
    <w:p>
      <w:pPr>
        <w:spacing w:before="0" w:after="0" w:line="259" w:lineRule="auto"/>
      </w:pPr>
      <w:r>
        <w:continuationSeparator/>
      </w:r>
    </w:p>
  </w:footnote>
  <w:footnote w:id="0">
    <w:p>
      <w:pPr>
        <w:pStyle w:val="19"/>
        <w:spacing w:line="400" w:lineRule="exact"/>
        <w:ind w:firstLine="420" w:firstLineChars="200"/>
        <w:rPr>
          <w:sz w:val="18"/>
          <w:szCs w:val="18"/>
          <w:shd w:val="clear" w:color="auto" w:fill="FFFFFF"/>
        </w:rPr>
      </w:pPr>
      <w:r>
        <w:rPr>
          <w:rStyle w:val="13"/>
        </w:rPr>
        <w:footnoteRef/>
      </w:r>
      <w:r>
        <w:rPr>
          <w:sz w:val="18"/>
          <w:szCs w:val="18"/>
        </w:rPr>
        <w:t xml:space="preserve"> ABS融资模式是以项目所属的资产为支撑的证券化</w:t>
      </w:r>
      <w:r>
        <w:fldChar w:fldCharType="begin"/>
      </w:r>
      <w:r>
        <w:instrText xml:space="preserve"> HYPERLINK "https://baike.so.com/doc/216844-229372.html" \t "_blank" </w:instrText>
      </w:r>
      <w:r>
        <w:fldChar w:fldCharType="separate"/>
      </w:r>
      <w:r>
        <w:rPr>
          <w:sz w:val="18"/>
          <w:szCs w:val="18"/>
        </w:rPr>
        <w:t>融资方式</w:t>
      </w:r>
      <w:r>
        <w:rPr>
          <w:sz w:val="18"/>
          <w:szCs w:val="18"/>
        </w:rPr>
        <w:fldChar w:fldCharType="end"/>
      </w:r>
      <w:r>
        <w:rPr>
          <w:sz w:val="18"/>
          <w:szCs w:val="18"/>
        </w:rPr>
        <w:t>，即以项目所拥有的资产为基础，以项目资产可以带来的预期收益为保证，通过在资本市场</w:t>
      </w:r>
      <w:r>
        <w:fldChar w:fldCharType="begin"/>
      </w:r>
      <w:r>
        <w:instrText xml:space="preserve"> HYPERLINK "https://baike.so.com/doc/4926653-5146249.html" \t "_blank" </w:instrText>
      </w:r>
      <w:r>
        <w:fldChar w:fldCharType="separate"/>
      </w:r>
      <w:r>
        <w:rPr>
          <w:sz w:val="18"/>
          <w:szCs w:val="18"/>
        </w:rPr>
        <w:t>发行债券</w:t>
      </w:r>
      <w:r>
        <w:rPr>
          <w:sz w:val="18"/>
          <w:szCs w:val="18"/>
        </w:rPr>
        <w:fldChar w:fldCharType="end"/>
      </w:r>
      <w:r>
        <w:rPr>
          <w:sz w:val="18"/>
          <w:szCs w:val="18"/>
        </w:rPr>
        <w:t>来募集资金的一种项目融资方式。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7C9BA8"/>
    <w:multiLevelType w:val="singleLevel"/>
    <w:tmpl w:val="B17C9BA8"/>
    <w:lvl w:ilvl="0" w:tentative="0">
      <w:start w:val="8"/>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70"/>
  <w:drawingGridVerticalSpacing w:val="595"/>
  <w:displayHorizontalDrawingGridEvery w:val="2"/>
  <w:characterSpacingControl w:val="compressPunctuation"/>
  <w:footnotePr>
    <w:footnote w:id="2"/>
    <w:footnote w:id="3"/>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iMjQ1MGI5ODlkNDViMWM2OTcwMmYxMjY2NGY1YTUifQ=="/>
  </w:docVars>
  <w:rsids>
    <w:rsidRoot w:val="009E5677"/>
    <w:rsid w:val="000570F6"/>
    <w:rsid w:val="0007110D"/>
    <w:rsid w:val="0008270B"/>
    <w:rsid w:val="00096727"/>
    <w:rsid w:val="001135FD"/>
    <w:rsid w:val="00116058"/>
    <w:rsid w:val="00126538"/>
    <w:rsid w:val="00367B10"/>
    <w:rsid w:val="003A7646"/>
    <w:rsid w:val="003D43CE"/>
    <w:rsid w:val="004130C2"/>
    <w:rsid w:val="00472A80"/>
    <w:rsid w:val="004824C3"/>
    <w:rsid w:val="005174E2"/>
    <w:rsid w:val="005D52AA"/>
    <w:rsid w:val="006A54F3"/>
    <w:rsid w:val="006E1A60"/>
    <w:rsid w:val="00776249"/>
    <w:rsid w:val="00801854"/>
    <w:rsid w:val="00812600"/>
    <w:rsid w:val="00903689"/>
    <w:rsid w:val="0095684E"/>
    <w:rsid w:val="009C612C"/>
    <w:rsid w:val="009E5677"/>
    <w:rsid w:val="00B307DF"/>
    <w:rsid w:val="00BF291C"/>
    <w:rsid w:val="00D15D4B"/>
    <w:rsid w:val="00D21423"/>
    <w:rsid w:val="00D46A82"/>
    <w:rsid w:val="00D744BA"/>
    <w:rsid w:val="00DE054E"/>
    <w:rsid w:val="00E3586F"/>
    <w:rsid w:val="00ED7E47"/>
    <w:rsid w:val="00F31A93"/>
    <w:rsid w:val="00F44D3D"/>
    <w:rsid w:val="00FB1775"/>
    <w:rsid w:val="00FC36C3"/>
    <w:rsid w:val="03630937"/>
    <w:rsid w:val="042E3C79"/>
    <w:rsid w:val="04AB7DB1"/>
    <w:rsid w:val="04D9754F"/>
    <w:rsid w:val="054D04AF"/>
    <w:rsid w:val="086026AC"/>
    <w:rsid w:val="0B845935"/>
    <w:rsid w:val="0CAF7F09"/>
    <w:rsid w:val="0D366E24"/>
    <w:rsid w:val="0DAD1F63"/>
    <w:rsid w:val="0F696892"/>
    <w:rsid w:val="10146E2F"/>
    <w:rsid w:val="17982A34"/>
    <w:rsid w:val="17B04C0A"/>
    <w:rsid w:val="1845080D"/>
    <w:rsid w:val="18A50881"/>
    <w:rsid w:val="18B80605"/>
    <w:rsid w:val="18E17E1C"/>
    <w:rsid w:val="19AA017B"/>
    <w:rsid w:val="19F46AF7"/>
    <w:rsid w:val="1B7579BA"/>
    <w:rsid w:val="1BA522D7"/>
    <w:rsid w:val="1E2070CA"/>
    <w:rsid w:val="21F77ECE"/>
    <w:rsid w:val="23D4434F"/>
    <w:rsid w:val="26C31AE1"/>
    <w:rsid w:val="2792552D"/>
    <w:rsid w:val="28F3129B"/>
    <w:rsid w:val="29A07EDE"/>
    <w:rsid w:val="2B3D3731"/>
    <w:rsid w:val="2C090C45"/>
    <w:rsid w:val="2DFF64A5"/>
    <w:rsid w:val="2ED444EB"/>
    <w:rsid w:val="31FD2AC3"/>
    <w:rsid w:val="323F24B0"/>
    <w:rsid w:val="34EC65E8"/>
    <w:rsid w:val="352A0593"/>
    <w:rsid w:val="3A244D70"/>
    <w:rsid w:val="3BF978C2"/>
    <w:rsid w:val="3C617F70"/>
    <w:rsid w:val="3CE33CA9"/>
    <w:rsid w:val="41046C53"/>
    <w:rsid w:val="47555CC1"/>
    <w:rsid w:val="47B818F4"/>
    <w:rsid w:val="486F0B47"/>
    <w:rsid w:val="48DE416E"/>
    <w:rsid w:val="4C982D28"/>
    <w:rsid w:val="4E835D6F"/>
    <w:rsid w:val="4EB80454"/>
    <w:rsid w:val="4EE604E6"/>
    <w:rsid w:val="50F61F56"/>
    <w:rsid w:val="51F1552C"/>
    <w:rsid w:val="536F5C7B"/>
    <w:rsid w:val="55501A54"/>
    <w:rsid w:val="55AF70D1"/>
    <w:rsid w:val="565E6214"/>
    <w:rsid w:val="58C87E77"/>
    <w:rsid w:val="5A8D5858"/>
    <w:rsid w:val="5ADC608C"/>
    <w:rsid w:val="5E966D17"/>
    <w:rsid w:val="5F181770"/>
    <w:rsid w:val="65575B9F"/>
    <w:rsid w:val="68D62601"/>
    <w:rsid w:val="696427EA"/>
    <w:rsid w:val="69EE4583"/>
    <w:rsid w:val="6B6C2458"/>
    <w:rsid w:val="6B8F557D"/>
    <w:rsid w:val="6C440F16"/>
    <w:rsid w:val="6D5A118B"/>
    <w:rsid w:val="6E204B75"/>
    <w:rsid w:val="6F844174"/>
    <w:rsid w:val="74F97103"/>
    <w:rsid w:val="75C02176"/>
    <w:rsid w:val="76E700E6"/>
    <w:rsid w:val="783C6238"/>
    <w:rsid w:val="7A8257FD"/>
    <w:rsid w:val="7BAB2813"/>
    <w:rsid w:val="7C1E719B"/>
    <w:rsid w:val="7EC10F18"/>
    <w:rsid w:val="7F6D542B"/>
    <w:rsid w:val="7F8956D7"/>
    <w:rsid w:val="7FAE0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160" w:line="259" w:lineRule="auto"/>
    </w:pPr>
    <w:rPr>
      <w:rFonts w:ascii="等线" w:hAnsi="等线" w:eastAsia="等线" w:cs="Times New Roman"/>
      <w:sz w:val="32"/>
      <w:szCs w:val="22"/>
      <w:lang w:val="en-US" w:eastAsia="zh-CN" w:bidi="ar-SA"/>
    </w:rPr>
  </w:style>
  <w:style w:type="paragraph" w:styleId="4">
    <w:name w:val="heading 1"/>
    <w:basedOn w:val="1"/>
    <w:next w:val="1"/>
    <w:qFormat/>
    <w:uiPriority w:val="0"/>
    <w:pPr>
      <w:keepNext/>
      <w:keepLines/>
      <w:spacing w:line="590" w:lineRule="exact"/>
      <w:jc w:val="center"/>
      <w:outlineLvl w:val="0"/>
    </w:pPr>
    <w:rPr>
      <w:rFonts w:eastAsia="方正小标宋简体"/>
      <w:kern w:val="44"/>
      <w:sz w:val="44"/>
    </w:rPr>
  </w:style>
  <w:style w:type="paragraph" w:styleId="5">
    <w:name w:val="heading 2"/>
    <w:basedOn w:val="1"/>
    <w:next w:val="1"/>
    <w:qFormat/>
    <w:uiPriority w:val="0"/>
    <w:pPr>
      <w:keepNext/>
      <w:keepLines/>
      <w:spacing w:line="590" w:lineRule="exact"/>
      <w:ind w:firstLine="420" w:firstLineChars="200"/>
      <w:jc w:val="center"/>
      <w:outlineLvl w:val="1"/>
    </w:pPr>
    <w:rPr>
      <w:rFonts w:ascii="Times New Roman" w:hAnsi="Times New Roman" w:eastAsia="黑体"/>
      <w:szCs w:val="32"/>
    </w:rPr>
  </w:style>
  <w:style w:type="character" w:default="1" w:styleId="12">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customStyle="1" w:styleId="2">
    <w:name w:val="正文首行缩进1"/>
    <w:basedOn w:val="3"/>
    <w:qFormat/>
    <w:uiPriority w:val="0"/>
    <w:pPr>
      <w:ind w:firstLine="420" w:firstLineChars="100"/>
    </w:pPr>
  </w:style>
  <w:style w:type="paragraph" w:styleId="3">
    <w:name w:val="Body Text"/>
    <w:basedOn w:val="1"/>
    <w:next w:val="1"/>
    <w:qFormat/>
    <w:uiPriority w:val="0"/>
    <w:pPr>
      <w:spacing w:after="120" w:line="560" w:lineRule="exact"/>
      <w:ind w:firstLine="883" w:firstLineChars="200"/>
    </w:pPr>
    <w:rPr>
      <w:rFonts w:ascii="Times New Roman" w:hAnsi="Times New Roman" w:eastAsia="仿宋_GB2312"/>
    </w:rPr>
  </w:style>
  <w:style w:type="paragraph" w:styleId="6">
    <w:name w:val="footer"/>
    <w:basedOn w:val="1"/>
    <w:qFormat/>
    <w:uiPriority w:val="0"/>
    <w:pPr>
      <w:tabs>
        <w:tab w:val="center" w:pos="4153"/>
        <w:tab w:val="right" w:pos="8306"/>
      </w:tabs>
      <w:snapToGrid w:val="0"/>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style>
  <w:style w:type="paragraph" w:styleId="9">
    <w:name w:val="footnote text"/>
    <w:basedOn w:val="1"/>
    <w:qFormat/>
    <w:uiPriority w:val="0"/>
    <w:pPr>
      <w:snapToGrid w:val="0"/>
    </w:pPr>
    <w:rPr>
      <w:sz w:val="18"/>
      <w:szCs w:val="18"/>
    </w:rPr>
  </w:style>
  <w:style w:type="paragraph" w:styleId="10">
    <w:name w:val="toc 2"/>
    <w:basedOn w:val="1"/>
    <w:next w:val="1"/>
    <w:qFormat/>
    <w:uiPriority w:val="0"/>
    <w:pPr>
      <w:ind w:left="420" w:leftChars="200"/>
    </w:pPr>
  </w:style>
  <w:style w:type="character" w:styleId="13">
    <w:name w:val="footnote reference"/>
    <w:basedOn w:val="12"/>
    <w:qFormat/>
    <w:uiPriority w:val="0"/>
    <w:rPr>
      <w:vertAlign w:val="superscript"/>
    </w:rPr>
  </w:style>
  <w:style w:type="paragraph" w:customStyle="1" w:styleId="14">
    <w:name w:val="正文文本缩进1"/>
    <w:basedOn w:val="1"/>
    <w:next w:val="15"/>
    <w:qFormat/>
    <w:uiPriority w:val="0"/>
    <w:pPr>
      <w:spacing w:after="120"/>
      <w:ind w:left="420" w:leftChars="200"/>
    </w:pPr>
  </w:style>
  <w:style w:type="paragraph" w:customStyle="1" w:styleId="15">
    <w:name w:val="寄信人地址1"/>
    <w:basedOn w:val="1"/>
    <w:qFormat/>
    <w:uiPriority w:val="0"/>
    <w:pPr>
      <w:snapToGrid w:val="0"/>
    </w:pPr>
    <w:rPr>
      <w:rFonts w:hint="eastAsia" w:ascii="Arial" w:hAnsi="Arial"/>
      <w:sz w:val="24"/>
    </w:rPr>
  </w:style>
  <w:style w:type="paragraph" w:customStyle="1" w:styleId="16">
    <w:name w:val="正文首行缩进 21"/>
    <w:basedOn w:val="14"/>
    <w:qFormat/>
    <w:uiPriority w:val="0"/>
    <w:pPr>
      <w:ind w:firstLine="420" w:firstLineChars="200"/>
    </w:pPr>
  </w:style>
  <w:style w:type="paragraph" w:customStyle="1" w:styleId="17">
    <w:name w:val="WPSOffice手动目录 1"/>
    <w:qFormat/>
    <w:uiPriority w:val="0"/>
    <w:rPr>
      <w:rFonts w:ascii="Calibri" w:hAnsi="Calibri" w:eastAsia="宋体" w:cs="Times New Roman"/>
      <w:lang w:val="en-US" w:eastAsia="zh-CN" w:bidi="ar-SA"/>
    </w:rPr>
  </w:style>
  <w:style w:type="paragraph" w:customStyle="1" w:styleId="18">
    <w:name w:val="WPSOffice手动目录 2"/>
    <w:qFormat/>
    <w:uiPriority w:val="0"/>
    <w:pPr>
      <w:ind w:left="200" w:leftChars="200"/>
    </w:pPr>
    <w:rPr>
      <w:rFonts w:ascii="Calibri" w:hAnsi="Calibri" w:eastAsia="宋体" w:cs="Times New Roman"/>
      <w:lang w:val="en-US" w:eastAsia="zh-CN" w:bidi="ar-SA"/>
    </w:rPr>
  </w:style>
  <w:style w:type="paragraph" w:customStyle="1" w:styleId="19">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
    <w:name w:val="章"/>
    <w:basedOn w:val="1"/>
    <w:qFormat/>
    <w:uiPriority w:val="0"/>
    <w:pPr>
      <w:jc w:val="center"/>
      <w:outlineLvl w:val="1"/>
    </w:pPr>
    <w:rPr>
      <w:rFonts w:ascii="楷体_GB2312" w:hAnsi="楷体_GB2312" w:eastAsia="楷体_GB2312" w:cs="楷体_GB2312"/>
      <w:b/>
      <w:bCs/>
      <w:szCs w:val="32"/>
    </w:rPr>
  </w:style>
  <w:style w:type="paragraph" w:customStyle="1" w:styleId="21">
    <w:name w:val="Body Text First Indent1"/>
    <w:basedOn w:val="3"/>
    <w:next w:val="22"/>
    <w:qFormat/>
    <w:uiPriority w:val="0"/>
    <w:pPr>
      <w:ind w:firstLine="420" w:firstLineChars="100"/>
    </w:pPr>
    <w:rPr>
      <w:rFonts w:eastAsia="宋体"/>
      <w:sz w:val="21"/>
    </w:rPr>
  </w:style>
  <w:style w:type="paragraph" w:customStyle="1" w:styleId="22">
    <w:name w:val="列出段落2"/>
    <w:basedOn w:val="1"/>
    <w:qFormat/>
    <w:uiPriority w:val="0"/>
    <w:pPr>
      <w:ind w:firstLine="420" w:firstLineChars="200"/>
    </w:pPr>
    <w:rPr>
      <w:rFonts w:ascii="Times New Roman" w:hAnsi="Times New Roman" w:eastAsia="宋体"/>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5F1B0F-952C-48D7-BCE2-5C6A85A3E18A}">
  <ds:schemaRefs/>
</ds:datastoreItem>
</file>

<file path=docProps/app.xml><?xml version="1.0" encoding="utf-8"?>
<Properties xmlns="http://schemas.openxmlformats.org/officeDocument/2006/extended-properties" xmlns:vt="http://schemas.openxmlformats.org/officeDocument/2006/docPropsVTypes">
  <Template>Normal.dotm</Template>
  <Company>admin</Company>
  <Pages>72</Pages>
  <Words>33567</Words>
  <Characters>34020</Characters>
  <Lines>14</Lines>
  <Paragraphs>70</Paragraphs>
  <TotalTime>136</TotalTime>
  <ScaleCrop>false</ScaleCrop>
  <LinksUpToDate>false</LinksUpToDate>
  <CharactersWithSpaces>34321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2021-03-19T09:44:00Z</dcterms:created>
  <dc:creator>Administrator</dc:creator>
  <cp:lastModifiedBy>~声几又香~</cp:lastModifiedBy>
  <cp:lastPrinted>2021-04-01T02:51:00Z</cp:lastPrinted>
  <dcterms:modified xsi:type="dcterms:W3CDTF">2023-03-11T00:29:41Z</dcterms:modified>
  <dc:title>lok</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0E3C9B0D0FB54ACB8DA71837FEF80632</vt:lpwstr>
  </property>
</Properties>
</file>