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2E7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BEB1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环建审〔20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5〕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 w14:paraId="7D1B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656B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许昌市魏都区环境保护局</w:t>
      </w:r>
    </w:p>
    <w:p w14:paraId="58BB8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关于许昌祥泰塑料制品有限公司年产300吨</w:t>
      </w:r>
    </w:p>
    <w:p w14:paraId="5DD11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隔热条项目环境影响报告表的批复</w:t>
      </w:r>
    </w:p>
    <w:p w14:paraId="59947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 w14:paraId="28B8D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许昌祥泰塑料制品有限公司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7217F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你公司（统一社会信用代码：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91411002MAEQLBDE8Y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）上报的由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许昌绿达环保科技有限公司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编制完成的《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许昌祥泰塑料制品有限公司年产300吨隔热条项目环境影响报告表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（报批版）》（以下简称《报告表》）收悉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并已在魏都区人民政府网站公示期满，根据《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人民共和国环境保护法》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《中华人民共和国行政许可法》、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《中华人民共和国环境影响评价法》、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《建设项目环境保护管理条例》等法律法规规定，经研究，批复如下：</w:t>
      </w:r>
    </w:p>
    <w:p w14:paraId="7A56D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一、《报告表》内容符合国家有关法律法规要求和建设项目环境管理规定，评价结论可信，我局原则同意你公司按照《报告表》所列项目的性质、规模、地点、采用的生产工艺和环境保护对策进行建设。</w:t>
      </w:r>
    </w:p>
    <w:p w14:paraId="592F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23" w:rightChars="11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二、你单位应向社会公众主动公开经批准的《报告表》,并接受相关方的垂询。</w:t>
      </w:r>
    </w:p>
    <w:p w14:paraId="0C3EA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23" w:rightChars="11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三、你单位应落实《报告表》提出的各项环境保护措施，确保各项环境保护设施与主体工程同时设计、同时施工、同时投入使用，确保各项污染物达标排放。</w:t>
      </w:r>
    </w:p>
    <w:p w14:paraId="2E41C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23" w:rightChars="11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（一）向设计单位提供《报告表》和本批复文件，确保项目设计按照环境保护设计规范要求，落实防治环境污染和生态破坏的措施以及环保设施投资概算。</w:t>
      </w:r>
    </w:p>
    <w:p w14:paraId="1B882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23" w:rightChars="11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（二）依据《报告表》和本批复文件，对项目建设过程中产生的废水、废气、噪声、固体废物等污染，以及因施工对自然、生态环境造成的破坏，采取相应的防治措施。</w:t>
      </w:r>
    </w:p>
    <w:p w14:paraId="1E06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23" w:rightChars="11"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四、项目位于许昌市魏都区先进制造业开发区天宝路与西环交叉口向北500米路东孙庙社区三组，厂区中心坐标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113°46′38.522″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34°2′57.624″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，总投资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万元，环保投资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20.6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万元，建设年产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吨隔热条生产线，工艺流程：原料-粉碎-混合-造粒-挤出成型-包装入库。建成后可实现年产300吨隔热条。</w:t>
      </w:r>
    </w:p>
    <w:p w14:paraId="7E7C6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23" w:rightChars="11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五、项目营运期外排污染物应满足以下要求：</w:t>
      </w:r>
    </w:p>
    <w:p w14:paraId="3B43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废水。废水主要为职工生活污水和冷却废水。冷却废水进入市政污水管网；生活污水经化粪池处理后排入市政污水管网，最终排入许昌瑞贝卡污水净化有限公司深度处理。污水排放应满足《污水综合排放标准》（GB8978-1996）表4三级标准要求及许昌瑞贝卡污水净化有限公司进水水质要求。</w:t>
      </w:r>
    </w:p>
    <w:p w14:paraId="48B38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废气。撕碎机、粉碎机进料口上方、混料罐投料口上方设置集气装置，粉尘分别收集后汇入1台袋式除尘器处理后通过15m高排气筒（DA001）排放；挤出成型机上方设置集气罩，有机废气分别收集后汇入1套二级活性炭吸附装置处理后通过15m高排气筒（DA002）排放。颗粒物、非甲烷总烃有组织排放浓度应满足《合成树脂工业污染物排放标准》（GB31572-2015）（含2024年修改单）表5大气污染物特别排放限值，同时满足《河南省重污染天气重点行业应急减排措施制定技术指南（2024年修订版）》塑料制品绩效分级A级指标要求；厂界颗粒物、非甲烷总烃应满足《合成树脂工业污染物排放标准》（GB31572-2015）（含2024年修改单）表9企业边界大气污染物浓度限值和《河南省重污染天气重点行业应急减排措施制定技术指南（2024年修订版）》塑料制品绩效分级A级指标要求。</w:t>
      </w:r>
    </w:p>
    <w:p w14:paraId="2FE74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3、噪声。对粉碎机、挤出机等生产设备及风机等辅助设备采取隔音、减振等降噪措施，确保厂界噪声应满足《工业企业厂界环境噪声排放标准》（GB12348-2008）2类标准要求。</w:t>
      </w:r>
    </w:p>
    <w:p w14:paraId="4341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固废。生活垃圾分类收集后，定期由环卫部门统一清运；废包装材料、除尘器收尘等暂存于一般固废暂存间，定期交物资回收部门综合利用；不合格品粉碎后回用于生产；废活性炭、废润滑油等收集后存放在危废暂存间，定期交由有资质单位处置。上述固体废物应满足《一般工业固体废物贮存和填埋污染控制标准》(GB18599-2020)、《危险废物贮存污染控制标准》(GB18597-2023)。</w:t>
      </w:r>
    </w:p>
    <w:p w14:paraId="6098B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项目建设应严格执行环境保护设施与主体工程同时设计、同时施工、同时投入使用的环境保护“三同时”制度：项目投产前，应办理排污许可手续，做到持证排污；项目建成后，应按规定程序进行竣工环境保护验收，验收合格后，方可正式投入运行。如果今后国家或我省颁布污染物排放限值的新标准，届时你公司应按新的排放标准执行，并申请变更排污许可手续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。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项目的日常环境监督管理工作由许昌市生态环境综合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eastAsia="zh-CN"/>
        </w:rPr>
        <w:t>执法支队魏都大队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负责。</w:t>
      </w:r>
    </w:p>
    <w:p w14:paraId="241C3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、项目自本批复下达之日起，超过5年方决定开工建设的。环境影响评价文件应报我局重新审核。项目的性质、规模、地点、采用的工艺或防治污染、防治生态破坏的措施发生重大变动的，应当重新报批项目的环境影响评价文件。</w:t>
      </w:r>
    </w:p>
    <w:p w14:paraId="5360E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</w:p>
    <w:p w14:paraId="3886705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8209B7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AE867E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D3F3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440" w:firstLineChars="17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6DEB18B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A4DA0E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B58A4C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08F3F6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369582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BB751E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7695DA0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</w:rPr>
      </w:pPr>
    </w:p>
    <w:p w14:paraId="1871F602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textAlignment w:val="auto"/>
        <w:outlineLvl w:val="9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抄送：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许昌市生态环境局综合行政执法支队魏都大队、许昌祥泰塑料制品有限公司、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许昌绿达环保科技有限公司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DA5C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6E0BD0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nqzVF0AAAAAMBAAAPAAAAAAAAAAEAIAAAACIAAABk&#10;cnMvZG93bnJldi54bWxQSwECFAAUAAAACACHTuJATdUAmtUBAACfAwAADgAAAAAAAAABACAAAAAf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E0BD0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A020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D53B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2D9F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ACD7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5755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I0NjA0ZjkzZjEwYTdlMTE3NmNhZTM1MmQ5MDQifQ=="/>
  </w:docVars>
  <w:rsids>
    <w:rsidRoot w:val="00000000"/>
    <w:rsid w:val="038B1C6A"/>
    <w:rsid w:val="0DEB602E"/>
    <w:rsid w:val="179D7EC6"/>
    <w:rsid w:val="181B161D"/>
    <w:rsid w:val="1F7774AB"/>
    <w:rsid w:val="21B300DA"/>
    <w:rsid w:val="21E907D7"/>
    <w:rsid w:val="228B6E37"/>
    <w:rsid w:val="229E5CEF"/>
    <w:rsid w:val="22B131CC"/>
    <w:rsid w:val="22C55999"/>
    <w:rsid w:val="22E272CF"/>
    <w:rsid w:val="23F944BF"/>
    <w:rsid w:val="26313C61"/>
    <w:rsid w:val="26E56F2E"/>
    <w:rsid w:val="28283555"/>
    <w:rsid w:val="289F5D73"/>
    <w:rsid w:val="2B186BDC"/>
    <w:rsid w:val="33A36B06"/>
    <w:rsid w:val="34E83C09"/>
    <w:rsid w:val="3692224F"/>
    <w:rsid w:val="3E322BBE"/>
    <w:rsid w:val="3E3825CC"/>
    <w:rsid w:val="3FA532F5"/>
    <w:rsid w:val="41DC798D"/>
    <w:rsid w:val="4A2A75AB"/>
    <w:rsid w:val="4C7B2ABA"/>
    <w:rsid w:val="4D2F6176"/>
    <w:rsid w:val="52324E75"/>
    <w:rsid w:val="52876A5B"/>
    <w:rsid w:val="553F2E42"/>
    <w:rsid w:val="56FC2ED4"/>
    <w:rsid w:val="57535E58"/>
    <w:rsid w:val="59184C7D"/>
    <w:rsid w:val="5EBB25BF"/>
    <w:rsid w:val="606647AB"/>
    <w:rsid w:val="61076CEF"/>
    <w:rsid w:val="6258093D"/>
    <w:rsid w:val="63B246E8"/>
    <w:rsid w:val="642205F4"/>
    <w:rsid w:val="644923AA"/>
    <w:rsid w:val="65A7204F"/>
    <w:rsid w:val="68592DD2"/>
    <w:rsid w:val="6986467B"/>
    <w:rsid w:val="6DE77678"/>
    <w:rsid w:val="70D736BB"/>
    <w:rsid w:val="71434836"/>
    <w:rsid w:val="73B95887"/>
    <w:rsid w:val="73C12D75"/>
    <w:rsid w:val="76AF4DA1"/>
    <w:rsid w:val="7C5762C7"/>
    <w:rsid w:val="7CDA7641"/>
    <w:rsid w:val="7FE7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1770</Words>
  <Characters>1927</Characters>
  <Lines>0</Lines>
  <Paragraphs>0</Paragraphs>
  <TotalTime>2</TotalTime>
  <ScaleCrop>false</ScaleCrop>
  <LinksUpToDate>false</LinksUpToDate>
  <CharactersWithSpaces>1993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自在如景</cp:lastModifiedBy>
  <cp:lastPrinted>2025-12-05T02:20:15Z</cp:lastPrinted>
  <dcterms:modified xsi:type="dcterms:W3CDTF">2025-12-05T02:20:23Z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A268744C7B2F42D1AFF89DDD1C98150D_13</vt:lpwstr>
  </property>
  <property fmtid="{D5CDD505-2E9C-101B-9397-08002B2CF9AE}" pid="4" name="KSOTemplateDocerSaveRecord">
    <vt:lpwstr>eyJoZGlkIjoiY2UyNzlmZmI3ZjBkMDczNjg0ODY4NTA3ZTg3OGY1MzUiLCJ1c2VySWQiOiI0Nzc1NzgxNTIifQ==</vt:lpwstr>
  </property>
</Properties>
</file>