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right="0" w:rightChars="0"/>
        <w:jc w:val="left"/>
        <w:outlineLvl w:val="9"/>
        <w:rPr>
          <w:rFonts w:hint="eastAsia" w:ascii="仿宋_GB2312" w:hAnsi="仿宋_GB2312" w:eastAsia="仿宋_GB2312" w:cs="仿宋_GB2312"/>
          <w:color w:val="auto"/>
          <w:sz w:val="32"/>
          <w:szCs w:val="32"/>
          <w:lang w:val="en-US" w:eastAsia="zh-CN"/>
        </w:rP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566" w:lineRule="atLeast"/>
        <w:ind w:firstLine="718" w:firstLineChars="342"/>
        <w:jc w:val="center"/>
      </w:pPr>
    </w:p>
    <w:p>
      <w:pPr>
        <w:widowControl w:val="0"/>
        <w:snapToGrid w:val="0"/>
        <w:spacing w:line="459" w:lineRule="atLeast"/>
        <w:ind w:firstLine="718" w:firstLineChars="342"/>
        <w:jc w:val="center"/>
        <w:rPr>
          <w:rFonts w:hint="eastAsia"/>
        </w:rPr>
      </w:pPr>
    </w:p>
    <w:p>
      <w:pPr>
        <w:widowControl w:val="0"/>
        <w:snapToGrid w:val="0"/>
        <w:spacing w:line="459" w:lineRule="atLeast"/>
        <w:ind w:firstLine="718" w:firstLineChars="342"/>
        <w:jc w:val="center"/>
        <w:rPr>
          <w:rFonts w:hint="eastAsia"/>
        </w:rPr>
      </w:pPr>
    </w:p>
    <w:p>
      <w:pPr>
        <w:widowControl w:val="0"/>
        <w:snapToGrid w:val="0"/>
        <w:spacing w:line="459" w:lineRule="atLeast"/>
        <w:jc w:val="center"/>
        <w:rPr>
          <w:rFonts w:hint="eastAsia" w:ascii="仿宋_GB2312" w:eastAsia="仿宋_GB2312"/>
          <w:sz w:val="31"/>
        </w:rPr>
      </w:pPr>
      <w:r>
        <w:rPr>
          <w:rFonts w:hint="eastAsia" w:ascii="仿宋_GB2312" w:eastAsia="仿宋_GB2312"/>
          <w:sz w:val="31"/>
        </w:rPr>
        <w:t>许魏发改〔20</w:t>
      </w:r>
      <w:r>
        <w:rPr>
          <w:rFonts w:hint="eastAsia" w:ascii="仿宋_GB2312" w:eastAsia="仿宋_GB2312"/>
          <w:sz w:val="31"/>
          <w:lang w:val="en-US" w:eastAsia="zh-CN"/>
        </w:rPr>
        <w:t>24</w:t>
      </w:r>
      <w:r>
        <w:rPr>
          <w:rFonts w:hint="eastAsia" w:ascii="仿宋_GB2312" w:eastAsia="仿宋_GB2312"/>
          <w:sz w:val="31"/>
        </w:rPr>
        <w:t>〕</w:t>
      </w:r>
      <w:r>
        <w:rPr>
          <w:rFonts w:hint="eastAsia" w:ascii="仿宋_GB2312" w:eastAsia="仿宋_GB2312"/>
          <w:sz w:val="31"/>
          <w:lang w:val="en-US" w:eastAsia="zh-CN"/>
        </w:rPr>
        <w:t>35</w:t>
      </w:r>
      <w:r>
        <w:rPr>
          <w:rFonts w:hint="eastAsia" w:ascii="仿宋_GB2312" w:eastAsia="仿宋_GB2312"/>
          <w:sz w:val="31"/>
        </w:rPr>
        <w:t>号</w:t>
      </w:r>
    </w:p>
    <w:p>
      <w:pPr>
        <w:widowControl w:val="0"/>
        <w:snapToGrid w:val="0"/>
        <w:spacing w:line="459" w:lineRule="atLeast"/>
        <w:jc w:val="center"/>
        <w:rPr>
          <w:rFonts w:hint="eastAsia" w:ascii="仿宋_GB2312" w:eastAsia="仿宋_GB2312"/>
          <w:sz w:val="31"/>
        </w:rPr>
      </w:pPr>
    </w:p>
    <w:p>
      <w:pPr>
        <w:widowControl w:val="0"/>
        <w:snapToGrid w:val="0"/>
        <w:spacing w:line="459" w:lineRule="atLeast"/>
        <w:jc w:val="center"/>
        <w:rPr>
          <w:rFonts w:hint="eastAsia" w:ascii="方正小标宋简体" w:hAnsi="方正小标宋简体" w:eastAsia="方正小标宋简体" w:cs="方正小标宋简体"/>
          <w:b w:val="0"/>
          <w:bCs/>
          <w:spacing w:val="0"/>
          <w:sz w:val="44"/>
          <w:szCs w:val="44"/>
          <w:lang w:val="en-US" w:eastAsia="zh-CN"/>
        </w:rPr>
      </w:pPr>
      <w:r>
        <w:rPr>
          <w:rFonts w:hint="eastAsia" w:ascii="方正小标宋简体" w:hAnsi="方正小标宋简体" w:eastAsia="方正小标宋简体" w:cs="方正小标宋简体"/>
          <w:b w:val="0"/>
          <w:bCs/>
          <w:spacing w:val="0"/>
          <w:sz w:val="44"/>
          <w:szCs w:val="44"/>
          <w:lang w:val="en-US" w:eastAsia="zh-CN"/>
        </w:rPr>
        <w:t>关于对魏都区2024年老旧小区庭院天然气管道及户内设施更新改造工程可行性研究报告的</w:t>
      </w:r>
    </w:p>
    <w:p>
      <w:pPr>
        <w:widowControl w:val="0"/>
        <w:snapToGrid w:val="0"/>
        <w:spacing w:line="459" w:lineRule="atLeast"/>
        <w:jc w:val="center"/>
        <w:rPr>
          <w:rFonts w:hint="eastAsia" w:ascii="方正小标宋简体" w:hAnsi="方正小标宋简体" w:eastAsia="方正小标宋简体" w:cs="方正小标宋简体"/>
          <w:spacing w:val="0"/>
          <w:sz w:val="44"/>
          <w:szCs w:val="44"/>
        </w:rPr>
      </w:pPr>
      <w:r>
        <w:rPr>
          <w:rFonts w:hint="eastAsia" w:ascii="方正小标宋简体" w:hAnsi="方正小标宋简体" w:eastAsia="方正小标宋简体" w:cs="方正小标宋简体"/>
          <w:b w:val="0"/>
          <w:bCs/>
          <w:spacing w:val="0"/>
          <w:sz w:val="44"/>
          <w:szCs w:val="44"/>
          <w:lang w:val="en-US" w:eastAsia="zh-CN"/>
        </w:rPr>
        <w:t>批复</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b w:val="0"/>
          <w:bCs w:val="0"/>
          <w:snapToGrid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jc w:val="left"/>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napToGrid w:val="0"/>
          <w:spacing w:val="0"/>
          <w:sz w:val="32"/>
          <w:szCs w:val="32"/>
          <w:lang w:val="en-US" w:eastAsia="zh-CN"/>
        </w:rPr>
        <w:t>魏都区住房和城乡建设局</w:t>
      </w:r>
      <w:r>
        <w:rPr>
          <w:rFonts w:hint="eastAsia" w:ascii="仿宋_GB2312" w:hAnsi="仿宋_GB2312" w:eastAsia="仿宋_GB2312" w:cs="仿宋_GB2312"/>
          <w:b w:val="0"/>
          <w:bCs w:val="0"/>
          <w:snapToGrid w:val="0"/>
          <w:spacing w:val="0"/>
          <w:sz w:val="32"/>
          <w:szCs w:val="32"/>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color w:val="auto"/>
          <w:sz w:val="32"/>
          <w:szCs w:val="32"/>
          <w:lang w:val="en-US" w:eastAsia="zh-CN"/>
        </w:rPr>
        <w:t>报来魏都区2024年老旧小区庭院天然气管道及户内设施更新改造工程立项的请示</w:t>
      </w:r>
      <w:r>
        <w:rPr>
          <w:rFonts w:hint="eastAsia" w:ascii="仿宋_GB2312" w:hAnsi="仿宋_GB2312" w:eastAsia="仿宋_GB2312" w:cs="仿宋_GB2312"/>
          <w:b w:val="0"/>
          <w:bCs w:val="0"/>
          <w:color w:val="auto"/>
          <w:sz w:val="32"/>
          <w:szCs w:val="32"/>
          <w:lang w:val="en-US" w:eastAsia="zh-CN"/>
        </w:rPr>
        <w:t>及有关材料已收悉。经研究，</w:t>
      </w:r>
      <w:r>
        <w:rPr>
          <w:rFonts w:hint="eastAsia" w:ascii="仿宋_GB2312" w:hAnsi="仿宋_GB2312" w:eastAsia="仿宋_GB2312" w:cs="仿宋_GB2312"/>
          <w:b w:val="0"/>
          <w:bCs w:val="0"/>
          <w:i w:val="0"/>
          <w:caps w:val="0"/>
          <w:color w:val="auto"/>
          <w:spacing w:val="0"/>
          <w:sz w:val="32"/>
          <w:szCs w:val="32"/>
          <w:shd w:val="clear" w:color="auto" w:fill="FFFFFF"/>
        </w:rPr>
        <w:t>批复如下</w:t>
      </w:r>
      <w:r>
        <w:rPr>
          <w:rFonts w:hint="eastAsia" w:ascii="仿宋_GB2312" w:hAnsi="仿宋_GB2312" w:eastAsia="仿宋_GB2312" w:cs="仿宋_GB2312"/>
          <w:b w:val="0"/>
          <w:bCs w:val="0"/>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before="0" w:beforeLines="0" w:after="0" w:afterLines="0" w:line="560" w:lineRule="exact"/>
        <w:ind w:left="0" w:leftChars="0" w:right="0" w:rightChars="0" w:firstLine="640" w:firstLineChars="200"/>
        <w:jc w:val="left"/>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一、</w:t>
      </w:r>
      <w:r>
        <w:rPr>
          <w:rFonts w:hint="eastAsia" w:ascii="仿宋_GB2312" w:hAnsi="仿宋_GB2312" w:eastAsia="仿宋_GB2312" w:cs="仿宋_GB2312"/>
          <w:b w:val="0"/>
          <w:bCs w:val="0"/>
          <w:spacing w:val="0"/>
          <w:sz w:val="32"/>
          <w:szCs w:val="32"/>
          <w:lang w:eastAsia="zh-CN"/>
        </w:rPr>
        <w:t>同意</w:t>
      </w:r>
      <w:r>
        <w:rPr>
          <w:rFonts w:hint="eastAsia" w:ascii="仿宋_GB2312" w:hAnsi="仿宋_GB2312" w:eastAsia="仿宋_GB2312" w:cs="仿宋_GB2312"/>
          <w:b w:val="0"/>
          <w:bCs w:val="0"/>
          <w:spacing w:val="0"/>
          <w:sz w:val="32"/>
          <w:szCs w:val="32"/>
          <w:lang w:val="en-US" w:eastAsia="zh-CN"/>
        </w:rPr>
        <w:t>实施</w:t>
      </w:r>
      <w:r>
        <w:rPr>
          <w:rFonts w:hint="eastAsia" w:ascii="仿宋_GB2312" w:hAnsi="仿宋_GB2312" w:eastAsia="仿宋_GB2312" w:cs="仿宋_GB2312"/>
          <w:color w:val="auto"/>
          <w:sz w:val="32"/>
          <w:szCs w:val="32"/>
          <w:lang w:val="en-US" w:eastAsia="zh-CN"/>
        </w:rPr>
        <w:t>魏都区2024年老旧小区庭院天然气管道及户内设施更新改造工程</w:t>
      </w:r>
      <w:r>
        <w:rPr>
          <w:rFonts w:hint="eastAsia" w:ascii="仿宋_GB2312" w:hAnsi="仿宋_GB2312" w:eastAsia="仿宋_GB2312" w:cs="仿宋_GB2312"/>
          <w:b w:val="0"/>
          <w:bCs w:val="0"/>
          <w:color w:val="auto"/>
          <w:sz w:val="32"/>
          <w:szCs w:val="32"/>
          <w:lang w:val="en-US" w:eastAsia="zh-CN"/>
        </w:rPr>
        <w:t>，原则同意河南省中韶工程咨询有限公司编制的项目可行性研究报告的基本内容</w:t>
      </w:r>
      <w:r>
        <w:rPr>
          <w:rFonts w:hint="eastAsia" w:ascii="仿宋_GB2312" w:hAnsi="仿宋_GB2312" w:eastAsia="仿宋_GB2312" w:cs="仿宋_GB2312"/>
          <w:b w:val="0"/>
          <w:bCs w:val="0"/>
          <w:spacing w:val="0"/>
          <w:sz w:val="32"/>
          <w:szCs w:val="32"/>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spacing w:val="0"/>
          <w:sz w:val="32"/>
          <w:szCs w:val="32"/>
          <w:lang w:val="en-US" w:eastAsia="zh-CN"/>
        </w:rPr>
        <w:t>二、</w:t>
      </w:r>
      <w:r>
        <w:rPr>
          <w:rFonts w:hint="eastAsia" w:ascii="仿宋_GB2312" w:hAnsi="仿宋_GB2312" w:eastAsia="仿宋_GB2312" w:cs="仿宋_GB2312"/>
          <w:b w:val="0"/>
          <w:bCs w:val="0"/>
          <w:spacing w:val="0"/>
          <w:sz w:val="32"/>
          <w:szCs w:val="32"/>
        </w:rPr>
        <w:t>项目建设地点位于</w:t>
      </w:r>
      <w:r>
        <w:rPr>
          <w:rFonts w:hint="eastAsia" w:ascii="仿宋_GB2312" w:hAnsi="仿宋_GB2312" w:eastAsia="仿宋_GB2312" w:cs="仿宋_GB2312"/>
          <w:b w:val="0"/>
          <w:bCs w:val="0"/>
          <w:spacing w:val="0"/>
          <w:sz w:val="32"/>
          <w:szCs w:val="32"/>
          <w:lang w:eastAsia="zh-CN"/>
        </w:rPr>
        <w:t>许昌市</w:t>
      </w:r>
      <w:r>
        <w:rPr>
          <w:rFonts w:hint="eastAsia" w:ascii="仿宋_GB2312" w:hAnsi="仿宋_GB2312" w:eastAsia="仿宋_GB2312" w:cs="仿宋_GB2312"/>
          <w:b w:val="0"/>
          <w:bCs w:val="0"/>
          <w:color w:val="auto"/>
          <w:sz w:val="32"/>
          <w:szCs w:val="32"/>
          <w:lang w:val="en-US" w:eastAsia="zh-CN"/>
        </w:rPr>
        <w:t>魏都区辖区内</w:t>
      </w:r>
      <w:r>
        <w:rPr>
          <w:rFonts w:hint="eastAsia" w:ascii="仿宋_GB2312" w:hAnsi="仿宋_GB2312" w:eastAsia="仿宋_GB2312" w:cs="仿宋_GB2312"/>
          <w:b w:val="0"/>
          <w:bCs w:val="0"/>
          <w:spacing w:val="0"/>
          <w:sz w:val="32"/>
          <w:szCs w:val="32"/>
          <w:lang w:eastAsia="zh-CN"/>
        </w:rPr>
        <w:t>。</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三、</w:t>
      </w:r>
      <w:r>
        <w:rPr>
          <w:rFonts w:hint="eastAsia" w:ascii="仿宋_GB2312" w:hAnsi="仿宋_GB2312" w:eastAsia="仿宋_GB2312" w:cs="仿宋_GB2312"/>
          <w:b w:val="0"/>
          <w:bCs w:val="0"/>
          <w:spacing w:val="0"/>
          <w:sz w:val="32"/>
          <w:szCs w:val="32"/>
        </w:rPr>
        <w:t>项目建设内容及规模</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default"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本项目涉及魏都区141个小区，改造内容为庭院管道改造103926米、立管改造60623.5米、燃气用电磁阀改造17321个、可燃气体报警器（带远传功能）改造17321套、调压箱改造150台、更换居民户内金属管17148米和加装自闭阀5716个、立管改造拆除U-PVC套管54720米、立管改造拆除铝塑复合管120384米、拆除表箱2400个等。</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color w:val="000000"/>
          <w:sz w:val="32"/>
          <w:szCs w:val="32"/>
        </w:rPr>
      </w:pPr>
      <w:r>
        <w:rPr>
          <w:rFonts w:hint="eastAsia" w:ascii="仿宋_GB2312" w:hAnsi="仿宋_GB2312" w:eastAsia="仿宋_GB2312" w:cs="仿宋_GB2312"/>
          <w:b w:val="0"/>
          <w:bCs w:val="0"/>
          <w:spacing w:val="0"/>
          <w:sz w:val="32"/>
          <w:szCs w:val="32"/>
          <w:lang w:val="en-US" w:eastAsia="zh-CN"/>
        </w:rPr>
        <w:t>四、</w:t>
      </w:r>
      <w:r>
        <w:rPr>
          <w:rFonts w:hint="eastAsia" w:ascii="仿宋_GB2312" w:hAnsi="仿宋_GB2312" w:eastAsia="仿宋_GB2312" w:cs="仿宋_GB2312"/>
          <w:b w:val="0"/>
          <w:bCs w:val="0"/>
          <w:spacing w:val="0"/>
          <w:sz w:val="32"/>
          <w:szCs w:val="32"/>
        </w:rPr>
        <w:t>项目</w:t>
      </w:r>
      <w:r>
        <w:rPr>
          <w:rFonts w:hint="eastAsia" w:ascii="仿宋_GB2312" w:hAnsi="仿宋_GB2312" w:eastAsia="仿宋_GB2312" w:cs="仿宋_GB2312"/>
          <w:b w:val="0"/>
          <w:bCs w:val="0"/>
          <w:sz w:val="32"/>
          <w:szCs w:val="32"/>
          <w:lang w:val="en-US" w:eastAsia="zh-CN"/>
        </w:rPr>
        <w:t>计划总投资</w:t>
      </w:r>
      <w:r>
        <w:rPr>
          <w:rFonts w:hint="eastAsia" w:ascii="仿宋_GB2312" w:hAnsi="仿宋_GB2312" w:eastAsia="仿宋_GB2312" w:cs="仿宋_GB2312"/>
          <w:color w:val="000000"/>
          <w:sz w:val="32"/>
          <w:szCs w:val="32"/>
        </w:rPr>
        <w:t>为</w:t>
      </w:r>
      <w:r>
        <w:rPr>
          <w:rFonts w:hint="eastAsia" w:ascii="仿宋_GB2312" w:hAnsi="仿宋_GB2312" w:eastAsia="仿宋_GB2312" w:cs="仿宋_GB2312"/>
          <w:color w:val="000000"/>
          <w:sz w:val="32"/>
          <w:szCs w:val="32"/>
          <w:lang w:val="en-US" w:eastAsia="zh-CN"/>
        </w:rPr>
        <w:t>5709.2万元。项目建设所需资金为地方财政资金。</w:t>
      </w:r>
    </w:p>
    <w:p>
      <w:pPr>
        <w:keepNext w:val="0"/>
        <w:keepLines w:val="0"/>
        <w:pageBreakBefore w:val="0"/>
        <w:widowControl w:val="0"/>
        <w:kinsoku/>
        <w:wordWrap/>
        <w:overflowPunct/>
        <w:topLinePunct w:val="0"/>
        <w:autoSpaceDE/>
        <w:autoSpaceDN/>
        <w:bidi w:val="0"/>
        <w:adjustRightInd/>
        <w:snapToGrid/>
        <w:spacing w:before="0" w:beforeLines="0" w:after="0" w:afterLines="0" w:line="560" w:lineRule="exact"/>
        <w:ind w:left="0" w:leftChars="0" w:right="0" w:rightChars="0" w:firstLine="640" w:firstLineChars="200"/>
        <w:jc w:val="both"/>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lang w:val="en-US" w:eastAsia="zh-CN"/>
        </w:rPr>
        <w:t>五、</w:t>
      </w:r>
      <w:r>
        <w:rPr>
          <w:rFonts w:hint="eastAsia" w:ascii="仿宋_GB2312" w:hAnsi="仿宋_GB2312" w:eastAsia="仿宋_GB2312" w:cs="仿宋_GB2312"/>
          <w:b w:val="0"/>
          <w:bCs w:val="0"/>
          <w:spacing w:val="0"/>
          <w:sz w:val="32"/>
          <w:szCs w:val="32"/>
        </w:rPr>
        <w:t>请项目单位严格遵守环保、节能、消防、安全、卫生、以工代赈等有关规定，组织好工程实施。</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六、</w:t>
      </w:r>
      <w:r>
        <w:rPr>
          <w:rFonts w:hint="eastAsia" w:ascii="仿宋_GB2312" w:hAnsi="仿宋_GB2312" w:eastAsia="仿宋_GB2312" w:cs="仿宋_GB2312"/>
          <w:b w:val="0"/>
          <w:bCs w:val="0"/>
          <w:spacing w:val="0"/>
          <w:sz w:val="32"/>
          <w:szCs w:val="32"/>
          <w:lang w:val="en-US" w:eastAsia="zh-CN"/>
        </w:rPr>
        <w:t>同意</w:t>
      </w:r>
      <w:r>
        <w:rPr>
          <w:rFonts w:hint="eastAsia" w:ascii="仿宋_GB2312" w:hAnsi="仿宋_GB2312" w:eastAsia="仿宋_GB2312" w:cs="仿宋_GB2312"/>
          <w:b w:val="0"/>
          <w:bCs w:val="0"/>
          <w:snapToGrid w:val="0"/>
          <w:spacing w:val="0"/>
          <w:sz w:val="32"/>
          <w:szCs w:val="32"/>
          <w:lang w:val="en-US" w:eastAsia="zh-CN"/>
        </w:rPr>
        <w:t>魏都区住房和城乡建设局按照招投标文件规定</w:t>
      </w:r>
      <w:r>
        <w:rPr>
          <w:rFonts w:hint="eastAsia" w:ascii="仿宋_GB2312" w:hAnsi="仿宋_GB2312" w:eastAsia="仿宋_GB2312" w:cs="仿宋_GB2312"/>
          <w:b w:val="0"/>
          <w:bCs w:val="0"/>
          <w:spacing w:val="0"/>
          <w:sz w:val="32"/>
          <w:szCs w:val="32"/>
        </w:rPr>
        <w:t>在勘察、设计、施工、监理</w:t>
      </w:r>
      <w:r>
        <w:rPr>
          <w:rFonts w:hint="eastAsia" w:ascii="仿宋_GB2312" w:hAnsi="仿宋_GB2312" w:eastAsia="仿宋_GB2312" w:cs="仿宋_GB2312"/>
          <w:b w:val="0"/>
          <w:bCs w:val="0"/>
          <w:spacing w:val="0"/>
          <w:sz w:val="32"/>
          <w:szCs w:val="32"/>
          <w:lang w:eastAsia="zh-CN"/>
        </w:rPr>
        <w:t>、</w:t>
      </w:r>
      <w:r>
        <w:rPr>
          <w:rFonts w:hint="eastAsia" w:ascii="仿宋_GB2312" w:hAnsi="仿宋_GB2312" w:eastAsia="仿宋_GB2312" w:cs="仿宋_GB2312"/>
          <w:b w:val="0"/>
          <w:bCs w:val="0"/>
          <w:spacing w:val="0"/>
          <w:sz w:val="32"/>
          <w:szCs w:val="32"/>
          <w:lang w:val="en-US" w:eastAsia="zh-CN"/>
        </w:rPr>
        <w:t>重要材料及设备采购</w:t>
      </w:r>
      <w:r>
        <w:rPr>
          <w:rFonts w:hint="eastAsia" w:ascii="仿宋_GB2312" w:hAnsi="仿宋_GB2312" w:eastAsia="仿宋_GB2312" w:cs="仿宋_GB2312"/>
          <w:b w:val="0"/>
          <w:bCs w:val="0"/>
          <w:spacing w:val="0"/>
          <w:sz w:val="32"/>
          <w:szCs w:val="32"/>
        </w:rPr>
        <w:t>等环节委托有资质的招标代理机构</w:t>
      </w:r>
      <w:r>
        <w:rPr>
          <w:rFonts w:hint="eastAsia" w:ascii="仿宋_GB2312" w:hAnsi="仿宋_GB2312" w:eastAsia="仿宋_GB2312" w:cs="仿宋_GB2312"/>
          <w:b w:val="0"/>
          <w:bCs w:val="0"/>
          <w:spacing w:val="0"/>
          <w:sz w:val="32"/>
          <w:szCs w:val="32"/>
          <w:lang w:val="en-US" w:eastAsia="zh-CN"/>
        </w:rPr>
        <w:t>组织</w:t>
      </w:r>
      <w:r>
        <w:rPr>
          <w:rFonts w:hint="eastAsia" w:ascii="仿宋_GB2312" w:hAnsi="仿宋_GB2312" w:eastAsia="仿宋_GB2312" w:cs="仿宋_GB2312"/>
          <w:b w:val="0"/>
          <w:bCs w:val="0"/>
          <w:spacing w:val="0"/>
          <w:sz w:val="32"/>
          <w:szCs w:val="32"/>
        </w:rPr>
        <w:t>招标，</w:t>
      </w:r>
      <w:r>
        <w:rPr>
          <w:rFonts w:hint="eastAsia" w:ascii="仿宋_GB2312" w:hAnsi="仿宋_GB2312" w:eastAsia="仿宋_GB2312" w:cs="仿宋_GB2312"/>
          <w:b w:val="0"/>
          <w:bCs w:val="0"/>
          <w:spacing w:val="0"/>
          <w:sz w:val="32"/>
          <w:szCs w:val="32"/>
          <w:lang w:val="en-US" w:eastAsia="zh-CN"/>
        </w:rPr>
        <w:t>并依法</w:t>
      </w:r>
      <w:r>
        <w:rPr>
          <w:rFonts w:hint="eastAsia" w:ascii="仿宋_GB2312" w:hAnsi="仿宋_GB2312" w:eastAsia="仿宋_GB2312" w:cs="仿宋_GB2312"/>
          <w:b w:val="0"/>
          <w:bCs w:val="0"/>
          <w:spacing w:val="0"/>
          <w:sz w:val="32"/>
          <w:szCs w:val="32"/>
        </w:rPr>
        <w:t>发布</w:t>
      </w:r>
      <w:r>
        <w:rPr>
          <w:rFonts w:hint="eastAsia" w:ascii="仿宋_GB2312" w:hAnsi="仿宋_GB2312" w:eastAsia="仿宋_GB2312" w:cs="仿宋_GB2312"/>
          <w:b w:val="0"/>
          <w:bCs w:val="0"/>
          <w:spacing w:val="0"/>
          <w:sz w:val="32"/>
          <w:szCs w:val="32"/>
          <w:lang w:val="en-US" w:eastAsia="zh-CN"/>
        </w:rPr>
        <w:t>同时</w:t>
      </w:r>
      <w:r>
        <w:rPr>
          <w:rFonts w:hint="eastAsia" w:ascii="仿宋_GB2312" w:hAnsi="仿宋_GB2312" w:eastAsia="仿宋_GB2312" w:cs="仿宋_GB2312"/>
          <w:b w:val="0"/>
          <w:bCs w:val="0"/>
          <w:spacing w:val="0"/>
          <w:sz w:val="32"/>
          <w:szCs w:val="32"/>
        </w:rPr>
        <w:t>向有关行政监督部门做好招标文件备案和招标情况报告工作。</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rPr>
      </w:pPr>
      <w:r>
        <w:rPr>
          <w:rFonts w:hint="eastAsia" w:ascii="仿宋_GB2312" w:hAnsi="仿宋_GB2312" w:eastAsia="仿宋_GB2312" w:cs="仿宋_GB2312"/>
          <w:b w:val="0"/>
          <w:bCs w:val="0"/>
          <w:spacing w:val="0"/>
          <w:sz w:val="32"/>
          <w:szCs w:val="32"/>
        </w:rPr>
        <w:t>请据此批复开展下步工作，完善规划、环评、节能等相关手续。编制工程初步设计及概算，按程序报有关部门核定。</w:t>
      </w: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0" w:rightChars="0" w:firstLine="641"/>
        <w:jc w:val="both"/>
        <w:textAlignment w:val="bottom"/>
        <w:outlineLvl w:val="9"/>
        <w:rPr>
          <w:rFonts w:hint="eastAsia" w:ascii="仿宋_GB2312" w:hAnsi="仿宋_GB2312" w:eastAsia="仿宋_GB2312" w:cs="仿宋_GB2312"/>
          <w:b w:val="0"/>
          <w:bCs w:val="0"/>
          <w:spacing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before="0" w:beforeLines="0" w:after="0" w:afterLines="0" w:line="540" w:lineRule="exact"/>
        <w:ind w:left="0" w:leftChars="0" w:right="840" w:rightChars="400" w:firstLine="641" w:firstLineChars="0"/>
        <w:jc w:val="right"/>
        <w:textAlignment w:val="bottom"/>
        <w:outlineLvl w:val="9"/>
        <w:rPr>
          <w:rFonts w:hint="eastAsia" w:ascii="仿宋_GB2312" w:hAnsi="仿宋_GB2312" w:eastAsia="仿宋_GB2312" w:cs="仿宋_GB2312"/>
          <w:b w:val="0"/>
          <w:bCs w:val="0"/>
          <w:spacing w:val="0"/>
          <w:sz w:val="32"/>
          <w:szCs w:val="32"/>
          <w:lang w:val="en-US" w:eastAsia="zh-CN"/>
        </w:rPr>
      </w:pPr>
      <w:r>
        <w:rPr>
          <w:rFonts w:hint="eastAsia" w:ascii="仿宋_GB2312" w:hAnsi="仿宋_GB2312" w:eastAsia="仿宋_GB2312" w:cs="仿宋_GB2312"/>
          <w:b w:val="0"/>
          <w:bCs w:val="0"/>
          <w:spacing w:val="0"/>
          <w:sz w:val="32"/>
          <w:szCs w:val="32"/>
          <w:lang w:val="en-US" w:eastAsia="zh-CN"/>
        </w:rPr>
        <w:t>2024年5月22</w:t>
      </w:r>
      <w:bookmarkStart w:id="0" w:name="_GoBack"/>
      <w:bookmarkEnd w:id="0"/>
      <w:r>
        <w:rPr>
          <w:rFonts w:hint="eastAsia" w:ascii="仿宋_GB2312" w:hAnsi="仿宋_GB2312" w:eastAsia="仿宋_GB2312" w:cs="仿宋_GB2312"/>
          <w:b w:val="0"/>
          <w:bCs w:val="0"/>
          <w:spacing w:val="0"/>
          <w:sz w:val="32"/>
          <w:szCs w:val="32"/>
          <w:lang w:val="en-US" w:eastAsia="zh-CN"/>
        </w:rPr>
        <w:t>日</w:t>
      </w:r>
    </w:p>
    <w:sectPr>
      <w:footerReference r:id="rId5" w:type="default"/>
      <w:pgSz w:w="11906" w:h="16838"/>
      <w:pgMar w:top="1701" w:right="1474" w:bottom="1701" w:left="1474" w:header="851" w:footer="992" w:gutter="0"/>
      <w:pgNumType w:fmt="decimal"/>
      <w:cols w:space="0" w:num="1"/>
      <w:rtlGutter w:val="0"/>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rPr>
                        <w:rFonts w:hint="eastAsia" w:eastAsia="宋体"/>
                        <w:lang w:eastAsia="zh-CN"/>
                      </w:rPr>
                    </w:pPr>
                    <w:r>
                      <w:rPr>
                        <w:rFonts w:hint="eastAsia"/>
                        <w:sz w:val="24"/>
                        <w:szCs w:val="36"/>
                        <w:lang w:val="en-US" w:eastAsia="zh-CN"/>
                      </w:rPr>
                      <w:t xml:space="preserve">－ </w:t>
                    </w:r>
                    <w:r>
                      <w:rPr>
                        <w:rFonts w:hint="eastAsia" w:asciiTheme="minorEastAsia" w:hAnsiTheme="minorEastAsia" w:eastAsiaTheme="minorEastAsia" w:cstheme="minorEastAsia"/>
                        <w:sz w:val="32"/>
                        <w:szCs w:val="44"/>
                        <w:lang w:eastAsia="zh-CN"/>
                      </w:rPr>
                      <w:fldChar w:fldCharType="begin"/>
                    </w:r>
                    <w:r>
                      <w:rPr>
                        <w:rFonts w:hint="eastAsia" w:asciiTheme="minorEastAsia" w:hAnsiTheme="minorEastAsia" w:eastAsiaTheme="minorEastAsia" w:cstheme="minorEastAsia"/>
                        <w:sz w:val="32"/>
                        <w:szCs w:val="44"/>
                        <w:lang w:eastAsia="zh-CN"/>
                      </w:rPr>
                      <w:instrText xml:space="preserve"> PAGE  \* MERGEFORMAT </w:instrText>
                    </w:r>
                    <w:r>
                      <w:rPr>
                        <w:rFonts w:hint="eastAsia" w:asciiTheme="minorEastAsia" w:hAnsiTheme="minorEastAsia" w:eastAsiaTheme="minorEastAsia" w:cstheme="minorEastAsia"/>
                        <w:sz w:val="32"/>
                        <w:szCs w:val="44"/>
                        <w:lang w:eastAsia="zh-CN"/>
                      </w:rPr>
                      <w:fldChar w:fldCharType="separate"/>
                    </w:r>
                    <w:r>
                      <w:rPr>
                        <w:rFonts w:hint="eastAsia" w:asciiTheme="minorEastAsia" w:hAnsiTheme="minorEastAsia" w:eastAsiaTheme="minorEastAsia" w:cstheme="minorEastAsia"/>
                        <w:sz w:val="32"/>
                        <w:szCs w:val="44"/>
                        <w:lang w:eastAsia="zh-CN"/>
                      </w:rPr>
                      <w:t>1</w:t>
                    </w:r>
                    <w:r>
                      <w:rPr>
                        <w:rFonts w:hint="eastAsia" w:asciiTheme="minorEastAsia" w:hAnsiTheme="minorEastAsia" w:eastAsiaTheme="minorEastAsia" w:cstheme="minorEastAsia"/>
                        <w:sz w:val="32"/>
                        <w:szCs w:val="44"/>
                        <w:lang w:eastAsia="zh-CN"/>
                      </w:rPr>
                      <w:fldChar w:fldCharType="end"/>
                    </w:r>
                    <w:r>
                      <w:rPr>
                        <w:rFonts w:hint="eastAsia"/>
                        <w:sz w:val="24"/>
                        <w:szCs w:val="36"/>
                        <w:lang w:val="en-US" w:eastAsia="zh-CN"/>
                      </w:rPr>
                      <w:t xml:space="preserve"> </w:t>
                    </w:r>
                    <w:r>
                      <w:rPr>
                        <w:rFonts w:hint="eastAsia"/>
                        <w:sz w:val="24"/>
                        <w:szCs w:val="36"/>
                        <w:lang w:eastAsia="zh-CN"/>
                      </w:rPr>
                      <w:t>－</w:t>
                    </w:r>
                    <w:r>
                      <w:rPr>
                        <w:rFonts w:hint="eastAsia"/>
                        <w:sz w:val="24"/>
                        <w:szCs w:val="36"/>
                        <w:lang w:val="en-US" w:eastAsia="zh-CN"/>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287453"/>
    <w:rsid w:val="007C4486"/>
    <w:rsid w:val="00E94382"/>
    <w:rsid w:val="015312AA"/>
    <w:rsid w:val="01582266"/>
    <w:rsid w:val="01C47CF3"/>
    <w:rsid w:val="039560B1"/>
    <w:rsid w:val="03C71124"/>
    <w:rsid w:val="04410263"/>
    <w:rsid w:val="048501D0"/>
    <w:rsid w:val="052D3E82"/>
    <w:rsid w:val="05384F87"/>
    <w:rsid w:val="07BA68BC"/>
    <w:rsid w:val="08FE2131"/>
    <w:rsid w:val="0A4E27F2"/>
    <w:rsid w:val="0B8F0FB0"/>
    <w:rsid w:val="0B9743F0"/>
    <w:rsid w:val="0BDA6C08"/>
    <w:rsid w:val="0C2376DC"/>
    <w:rsid w:val="0EB36C3A"/>
    <w:rsid w:val="0F241926"/>
    <w:rsid w:val="0F69251F"/>
    <w:rsid w:val="106B1DE4"/>
    <w:rsid w:val="10C96CE7"/>
    <w:rsid w:val="115B1323"/>
    <w:rsid w:val="11773920"/>
    <w:rsid w:val="12241DDA"/>
    <w:rsid w:val="123A2D82"/>
    <w:rsid w:val="133A27C8"/>
    <w:rsid w:val="13E376AF"/>
    <w:rsid w:val="13EC0B77"/>
    <w:rsid w:val="142F2DDA"/>
    <w:rsid w:val="146F0DFE"/>
    <w:rsid w:val="1556350C"/>
    <w:rsid w:val="16CE27A9"/>
    <w:rsid w:val="17274944"/>
    <w:rsid w:val="1783194F"/>
    <w:rsid w:val="17946AD9"/>
    <w:rsid w:val="17D6146D"/>
    <w:rsid w:val="18776A66"/>
    <w:rsid w:val="18D63BB9"/>
    <w:rsid w:val="198A3936"/>
    <w:rsid w:val="1AFA436D"/>
    <w:rsid w:val="1B3151FE"/>
    <w:rsid w:val="1BAF6B05"/>
    <w:rsid w:val="1BE955C7"/>
    <w:rsid w:val="1C1129D3"/>
    <w:rsid w:val="1C5E45B2"/>
    <w:rsid w:val="1F59631E"/>
    <w:rsid w:val="1F816188"/>
    <w:rsid w:val="204E6F74"/>
    <w:rsid w:val="20843F59"/>
    <w:rsid w:val="20C6164E"/>
    <w:rsid w:val="20F93AB9"/>
    <w:rsid w:val="211B2031"/>
    <w:rsid w:val="214322D8"/>
    <w:rsid w:val="21701C94"/>
    <w:rsid w:val="2170369D"/>
    <w:rsid w:val="219357C5"/>
    <w:rsid w:val="21FC4A83"/>
    <w:rsid w:val="230C7214"/>
    <w:rsid w:val="232C6859"/>
    <w:rsid w:val="239916D4"/>
    <w:rsid w:val="23B171AB"/>
    <w:rsid w:val="24293B9D"/>
    <w:rsid w:val="2581038C"/>
    <w:rsid w:val="25BA64A5"/>
    <w:rsid w:val="25C07301"/>
    <w:rsid w:val="268D200C"/>
    <w:rsid w:val="26917DC2"/>
    <w:rsid w:val="27EE4BCD"/>
    <w:rsid w:val="28131937"/>
    <w:rsid w:val="287D54A2"/>
    <w:rsid w:val="28D14296"/>
    <w:rsid w:val="2933520E"/>
    <w:rsid w:val="2A1F3552"/>
    <w:rsid w:val="2A4B375A"/>
    <w:rsid w:val="2AA366D6"/>
    <w:rsid w:val="2B0C70C9"/>
    <w:rsid w:val="2BAE508C"/>
    <w:rsid w:val="2BCB7CF6"/>
    <w:rsid w:val="2C355D6E"/>
    <w:rsid w:val="2C4174D5"/>
    <w:rsid w:val="2D0E5425"/>
    <w:rsid w:val="2D4B0D53"/>
    <w:rsid w:val="2DA232CA"/>
    <w:rsid w:val="2DD66DCB"/>
    <w:rsid w:val="2E8B7425"/>
    <w:rsid w:val="2EE16684"/>
    <w:rsid w:val="2EE25A02"/>
    <w:rsid w:val="2F0B4DD5"/>
    <w:rsid w:val="2F445A17"/>
    <w:rsid w:val="2FFA79B8"/>
    <w:rsid w:val="300C3454"/>
    <w:rsid w:val="30734186"/>
    <w:rsid w:val="3141241E"/>
    <w:rsid w:val="3143321D"/>
    <w:rsid w:val="32B42134"/>
    <w:rsid w:val="338F552F"/>
    <w:rsid w:val="33AA66D3"/>
    <w:rsid w:val="33D67027"/>
    <w:rsid w:val="33DC717B"/>
    <w:rsid w:val="342A4354"/>
    <w:rsid w:val="343967F9"/>
    <w:rsid w:val="34497B49"/>
    <w:rsid w:val="35C34CEE"/>
    <w:rsid w:val="35CC3B02"/>
    <w:rsid w:val="36270CCE"/>
    <w:rsid w:val="365D3C96"/>
    <w:rsid w:val="36801E8C"/>
    <w:rsid w:val="36BE3413"/>
    <w:rsid w:val="370B314C"/>
    <w:rsid w:val="37175B16"/>
    <w:rsid w:val="387E2D8D"/>
    <w:rsid w:val="391250F6"/>
    <w:rsid w:val="391765F8"/>
    <w:rsid w:val="392A450F"/>
    <w:rsid w:val="3988295B"/>
    <w:rsid w:val="39CE2CD4"/>
    <w:rsid w:val="3B5A50B3"/>
    <w:rsid w:val="3C205893"/>
    <w:rsid w:val="3C356D07"/>
    <w:rsid w:val="3C554BB4"/>
    <w:rsid w:val="3C9F32D2"/>
    <w:rsid w:val="3CDB45C0"/>
    <w:rsid w:val="3D015930"/>
    <w:rsid w:val="3D514C12"/>
    <w:rsid w:val="3D7E2120"/>
    <w:rsid w:val="3D9C7512"/>
    <w:rsid w:val="3E691934"/>
    <w:rsid w:val="3F655193"/>
    <w:rsid w:val="3FD77328"/>
    <w:rsid w:val="4097398F"/>
    <w:rsid w:val="40C27034"/>
    <w:rsid w:val="414E5D31"/>
    <w:rsid w:val="41734499"/>
    <w:rsid w:val="423845CC"/>
    <w:rsid w:val="431F7815"/>
    <w:rsid w:val="43BB576C"/>
    <w:rsid w:val="447041E2"/>
    <w:rsid w:val="44BB0797"/>
    <w:rsid w:val="45C200A6"/>
    <w:rsid w:val="45CB5918"/>
    <w:rsid w:val="466F6683"/>
    <w:rsid w:val="479B5637"/>
    <w:rsid w:val="48DB117D"/>
    <w:rsid w:val="48DC4B38"/>
    <w:rsid w:val="49952BFB"/>
    <w:rsid w:val="4A245CEA"/>
    <w:rsid w:val="4A8B31A4"/>
    <w:rsid w:val="4AA84606"/>
    <w:rsid w:val="4AD776B8"/>
    <w:rsid w:val="4B240B94"/>
    <w:rsid w:val="4B3936D2"/>
    <w:rsid w:val="4BC23B87"/>
    <w:rsid w:val="4D9E13BF"/>
    <w:rsid w:val="4E7937FC"/>
    <w:rsid w:val="4F076411"/>
    <w:rsid w:val="4F7565EE"/>
    <w:rsid w:val="4FA85A3F"/>
    <w:rsid w:val="4FC12673"/>
    <w:rsid w:val="4FF744FE"/>
    <w:rsid w:val="50E1621B"/>
    <w:rsid w:val="514E7607"/>
    <w:rsid w:val="516F333C"/>
    <w:rsid w:val="518B417F"/>
    <w:rsid w:val="519120E7"/>
    <w:rsid w:val="519C415B"/>
    <w:rsid w:val="52715BAF"/>
    <w:rsid w:val="52A051E8"/>
    <w:rsid w:val="5332672B"/>
    <w:rsid w:val="53AC4EE6"/>
    <w:rsid w:val="54433F77"/>
    <w:rsid w:val="54800EE8"/>
    <w:rsid w:val="54DD70BC"/>
    <w:rsid w:val="553648C7"/>
    <w:rsid w:val="55595031"/>
    <w:rsid w:val="55D53E38"/>
    <w:rsid w:val="5660410C"/>
    <w:rsid w:val="57AD341C"/>
    <w:rsid w:val="57D337E3"/>
    <w:rsid w:val="58532A31"/>
    <w:rsid w:val="5919401E"/>
    <w:rsid w:val="5946724B"/>
    <w:rsid w:val="5ACA5E95"/>
    <w:rsid w:val="5B2A5015"/>
    <w:rsid w:val="5B2B1605"/>
    <w:rsid w:val="5B2D5E88"/>
    <w:rsid w:val="5B323CDF"/>
    <w:rsid w:val="5C06475D"/>
    <w:rsid w:val="5DD75341"/>
    <w:rsid w:val="5E390A01"/>
    <w:rsid w:val="5E6917CC"/>
    <w:rsid w:val="5F0B56F7"/>
    <w:rsid w:val="5F5510AE"/>
    <w:rsid w:val="5F855433"/>
    <w:rsid w:val="607366D8"/>
    <w:rsid w:val="62C25DC1"/>
    <w:rsid w:val="63531A67"/>
    <w:rsid w:val="63CB4BD5"/>
    <w:rsid w:val="64F54A34"/>
    <w:rsid w:val="65C62655"/>
    <w:rsid w:val="65D12305"/>
    <w:rsid w:val="65F06417"/>
    <w:rsid w:val="66253BCC"/>
    <w:rsid w:val="66477817"/>
    <w:rsid w:val="67400E0D"/>
    <w:rsid w:val="676D4A4E"/>
    <w:rsid w:val="67AB6BCA"/>
    <w:rsid w:val="67CB2379"/>
    <w:rsid w:val="67F86206"/>
    <w:rsid w:val="68785DD0"/>
    <w:rsid w:val="68EE79FA"/>
    <w:rsid w:val="69DF727B"/>
    <w:rsid w:val="69F501EC"/>
    <w:rsid w:val="6ADA3FAD"/>
    <w:rsid w:val="6BBE587D"/>
    <w:rsid w:val="6BC42954"/>
    <w:rsid w:val="6BD22CDA"/>
    <w:rsid w:val="6CA5024B"/>
    <w:rsid w:val="6CB47930"/>
    <w:rsid w:val="6DEB54C0"/>
    <w:rsid w:val="6EEF3967"/>
    <w:rsid w:val="6F022403"/>
    <w:rsid w:val="6F213890"/>
    <w:rsid w:val="6F2F3D35"/>
    <w:rsid w:val="6F6949A1"/>
    <w:rsid w:val="6FAD572A"/>
    <w:rsid w:val="6FD3738D"/>
    <w:rsid w:val="70E43A9A"/>
    <w:rsid w:val="71285068"/>
    <w:rsid w:val="71600BAE"/>
    <w:rsid w:val="71831F8E"/>
    <w:rsid w:val="71B65952"/>
    <w:rsid w:val="71EE4C72"/>
    <w:rsid w:val="72960D08"/>
    <w:rsid w:val="731F1B91"/>
    <w:rsid w:val="7380345E"/>
    <w:rsid w:val="738E0DB3"/>
    <w:rsid w:val="73CE36E7"/>
    <w:rsid w:val="741C5020"/>
    <w:rsid w:val="743620E5"/>
    <w:rsid w:val="748129B0"/>
    <w:rsid w:val="749E42A2"/>
    <w:rsid w:val="75923051"/>
    <w:rsid w:val="75BF3FCB"/>
    <w:rsid w:val="765A1E3A"/>
    <w:rsid w:val="775E2B4B"/>
    <w:rsid w:val="77C91904"/>
    <w:rsid w:val="78264E9C"/>
    <w:rsid w:val="784B7BCB"/>
    <w:rsid w:val="78692EDA"/>
    <w:rsid w:val="78B729A6"/>
    <w:rsid w:val="793B72B1"/>
    <w:rsid w:val="79926E07"/>
    <w:rsid w:val="799A37DA"/>
    <w:rsid w:val="7A230824"/>
    <w:rsid w:val="7ACB6AE2"/>
    <w:rsid w:val="7B3439EB"/>
    <w:rsid w:val="7BC16634"/>
    <w:rsid w:val="7D854EF8"/>
    <w:rsid w:val="7D9B22E6"/>
    <w:rsid w:val="7DC018B8"/>
    <w:rsid w:val="7E4D1904"/>
    <w:rsid w:val="7EC225A2"/>
    <w:rsid w:val="7EF2488C"/>
    <w:rsid w:val="7F3B5E12"/>
    <w:rsid w:val="7F551314"/>
    <w:rsid w:val="7FF46CCB"/>
    <w:rsid w:val="7FFD19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before="0" w:beforeLines="0" w:after="0" w:afterLines="0" w:line="578" w:lineRule="atLeast"/>
      <w:ind w:left="0" w:right="0" w:firstLine="0"/>
      <w:jc w:val="both"/>
      <w:textAlignment w:val="baseline"/>
    </w:pPr>
    <w:rPr>
      <w:rFonts w:ascii="Times New Roman" w:eastAsia="宋体" w:hAnsiTheme="minorHAnsi" w:cstheme="minorBidi"/>
      <w:color w:val="000000"/>
      <w:spacing w:val="0"/>
      <w:w w:val="100"/>
      <w:sz w:val="21"/>
      <w:szCs w:val="22"/>
      <w:u w:val="none" w:color="000000"/>
      <w:vertAlign w:val="baseline"/>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vank</dc:creator>
  <cp:lastModifiedBy>vank</cp:lastModifiedBy>
  <cp:lastPrinted>2024-03-28T03:05:00Z</cp:lastPrinted>
  <dcterms:modified xsi:type="dcterms:W3CDTF">2024-05-24T07:21:53Z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2A94D96FF30E4DF8A5DE0FF1592C3301</vt:lpwstr>
  </property>
</Properties>
</file>