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val="0"/>
        <w:spacing w:before="0" w:beforeLines="0" w:after="0" w:afterLines="0" w:line="560" w:lineRule="exact"/>
        <w:ind w:right="0" w:rightChars="0"/>
        <w:jc w:val="left"/>
        <w:outlineLvl w:val="9"/>
        <w:rPr>
          <w:rFonts w:hint="eastAsia" w:ascii="仿宋_GB2312" w:hAnsi="仿宋_GB2312" w:eastAsia="仿宋_GB2312" w:cs="仿宋_GB2312"/>
          <w:color w:val="auto"/>
          <w:sz w:val="32"/>
          <w:szCs w:val="32"/>
          <w:lang w:val="en-US" w:eastAsia="zh-CN"/>
        </w:rPr>
      </w:pPr>
    </w:p>
    <w:p>
      <w:pPr>
        <w:widowControl w:val="0"/>
        <w:snapToGrid w:val="0"/>
        <w:spacing w:line="566" w:lineRule="atLeast"/>
        <w:ind w:firstLine="718" w:firstLineChars="342"/>
        <w:jc w:val="center"/>
      </w:pPr>
    </w:p>
    <w:p>
      <w:pPr>
        <w:widowControl w:val="0"/>
        <w:snapToGrid w:val="0"/>
        <w:spacing w:line="566" w:lineRule="atLeast"/>
        <w:ind w:firstLine="718" w:firstLineChars="342"/>
        <w:jc w:val="center"/>
      </w:pPr>
    </w:p>
    <w:p>
      <w:pPr>
        <w:widowControl w:val="0"/>
        <w:snapToGrid w:val="0"/>
        <w:spacing w:line="566" w:lineRule="atLeast"/>
        <w:ind w:firstLine="718" w:firstLineChars="342"/>
        <w:jc w:val="center"/>
      </w:pPr>
    </w:p>
    <w:p>
      <w:pPr>
        <w:widowControl w:val="0"/>
        <w:snapToGrid w:val="0"/>
        <w:spacing w:line="566" w:lineRule="atLeast"/>
        <w:ind w:firstLine="718" w:firstLineChars="342"/>
        <w:jc w:val="center"/>
      </w:pPr>
    </w:p>
    <w:p>
      <w:pPr>
        <w:widowControl w:val="0"/>
        <w:snapToGrid w:val="0"/>
        <w:spacing w:line="459" w:lineRule="atLeast"/>
        <w:ind w:firstLine="718" w:firstLineChars="342"/>
        <w:jc w:val="center"/>
        <w:rPr>
          <w:rFonts w:hint="eastAsia"/>
        </w:rPr>
      </w:pPr>
    </w:p>
    <w:p>
      <w:pPr>
        <w:widowControl w:val="0"/>
        <w:snapToGrid w:val="0"/>
        <w:spacing w:line="459" w:lineRule="atLeast"/>
        <w:ind w:firstLine="718" w:firstLineChars="342"/>
        <w:jc w:val="center"/>
        <w:rPr>
          <w:rFonts w:hint="eastAsia"/>
        </w:rPr>
      </w:pPr>
    </w:p>
    <w:p>
      <w:pPr>
        <w:widowControl w:val="0"/>
        <w:snapToGrid w:val="0"/>
        <w:spacing w:line="459" w:lineRule="atLeast"/>
        <w:jc w:val="center"/>
        <w:rPr>
          <w:rFonts w:hint="eastAsia" w:ascii="仿宋_GB2312" w:eastAsia="仿宋_GB2312"/>
          <w:sz w:val="31"/>
        </w:rPr>
      </w:pPr>
      <w:r>
        <w:rPr>
          <w:rFonts w:hint="eastAsia" w:ascii="仿宋_GB2312" w:eastAsia="仿宋_GB2312"/>
          <w:sz w:val="31"/>
        </w:rPr>
        <w:t>许魏发改〔20</w:t>
      </w:r>
      <w:r>
        <w:rPr>
          <w:rFonts w:hint="eastAsia" w:ascii="仿宋_GB2312" w:eastAsia="仿宋_GB2312"/>
          <w:sz w:val="31"/>
          <w:lang w:val="en-US" w:eastAsia="zh-CN"/>
        </w:rPr>
        <w:t>24</w:t>
      </w:r>
      <w:r>
        <w:rPr>
          <w:rFonts w:hint="eastAsia" w:ascii="仿宋_GB2312" w:eastAsia="仿宋_GB2312"/>
          <w:sz w:val="31"/>
        </w:rPr>
        <w:t>〕</w:t>
      </w:r>
      <w:r>
        <w:rPr>
          <w:rFonts w:hint="eastAsia" w:ascii="仿宋_GB2312" w:eastAsia="仿宋_GB2312"/>
          <w:sz w:val="31"/>
          <w:lang w:val="en-US" w:eastAsia="zh-CN"/>
        </w:rPr>
        <w:t>47</w:t>
      </w:r>
      <w:r>
        <w:rPr>
          <w:rFonts w:hint="eastAsia" w:ascii="仿宋_GB2312" w:eastAsia="仿宋_GB2312"/>
          <w:sz w:val="31"/>
        </w:rPr>
        <w:t>号</w:t>
      </w:r>
    </w:p>
    <w:p>
      <w:pPr>
        <w:widowControl w:val="0"/>
        <w:snapToGrid w:val="0"/>
        <w:spacing w:line="459" w:lineRule="atLeast"/>
        <w:jc w:val="center"/>
        <w:rPr>
          <w:rFonts w:hint="eastAsia" w:ascii="仿宋_GB2312" w:eastAsia="仿宋_GB2312"/>
          <w:sz w:val="31"/>
        </w:rPr>
      </w:pPr>
    </w:p>
    <w:p>
      <w:pPr>
        <w:widowControl w:val="0"/>
        <w:snapToGrid w:val="0"/>
        <w:spacing w:line="459" w:lineRule="atLeast"/>
        <w:jc w:val="center"/>
        <w:rPr>
          <w:rFonts w:hint="eastAsia" w:ascii="方正小标宋简体" w:hAnsi="方正小标宋简体" w:eastAsia="方正小标宋简体" w:cs="方正小标宋简体"/>
          <w:b w:val="0"/>
          <w:bCs/>
          <w:spacing w:val="0"/>
          <w:sz w:val="44"/>
          <w:szCs w:val="44"/>
          <w:lang w:val="en-US" w:eastAsia="zh-CN"/>
        </w:rPr>
      </w:pPr>
      <w:r>
        <w:rPr>
          <w:rFonts w:hint="eastAsia" w:ascii="方正小标宋简体" w:hAnsi="方正小标宋简体" w:eastAsia="方正小标宋简体" w:cs="方正小标宋简体"/>
          <w:b w:val="0"/>
          <w:bCs/>
          <w:spacing w:val="0"/>
          <w:sz w:val="44"/>
          <w:szCs w:val="44"/>
          <w:lang w:val="en-US" w:eastAsia="zh-CN"/>
        </w:rPr>
        <w:t>关于对许昌市魏都区颍昌街道办事处崔代张社区饲草饲料种植加工及仓储项目</w:t>
      </w:r>
    </w:p>
    <w:p>
      <w:pPr>
        <w:widowControl w:val="0"/>
        <w:snapToGrid w:val="0"/>
        <w:spacing w:line="459" w:lineRule="atLeast"/>
        <w:jc w:val="center"/>
        <w:rPr>
          <w:rFonts w:hint="eastAsia" w:ascii="方正小标宋简体" w:hAnsi="方正小标宋简体" w:eastAsia="方正小标宋简体" w:cs="方正小标宋简体"/>
          <w:spacing w:val="0"/>
          <w:sz w:val="44"/>
          <w:szCs w:val="44"/>
        </w:rPr>
      </w:pPr>
      <w:r>
        <w:rPr>
          <w:rFonts w:hint="eastAsia" w:ascii="方正小标宋简体" w:hAnsi="方正小标宋简体" w:eastAsia="方正小标宋简体" w:cs="方正小标宋简体"/>
          <w:b w:val="0"/>
          <w:bCs/>
          <w:spacing w:val="0"/>
          <w:sz w:val="44"/>
          <w:szCs w:val="44"/>
          <w:lang w:val="en-US" w:eastAsia="zh-CN"/>
        </w:rPr>
        <w:t>可行性研究报告的批复</w:t>
      </w:r>
    </w:p>
    <w:p>
      <w:pPr>
        <w:keepNext w:val="0"/>
        <w:keepLines w:val="0"/>
        <w:pageBreakBefore w:val="0"/>
        <w:widowControl w:val="0"/>
        <w:kinsoku/>
        <w:wordWrap/>
        <w:overflowPunct/>
        <w:topLinePunct w:val="0"/>
        <w:autoSpaceDE/>
        <w:autoSpaceDN/>
        <w:bidi w:val="0"/>
        <w:adjustRightInd/>
        <w:snapToGrid w:val="0"/>
        <w:spacing w:before="0" w:beforeLines="0" w:after="0" w:afterLines="0" w:line="560" w:lineRule="exact"/>
        <w:ind w:left="0" w:leftChars="0" w:right="0" w:rightChars="0"/>
        <w:jc w:val="left"/>
        <w:outlineLvl w:val="9"/>
        <w:rPr>
          <w:rFonts w:hint="eastAsia" w:ascii="仿宋_GB2312" w:hAnsi="仿宋_GB2312" w:eastAsia="仿宋_GB2312" w:cs="仿宋_GB2312"/>
          <w:b w:val="0"/>
          <w:bCs w:val="0"/>
          <w:snapToGrid w:val="0"/>
          <w:spacing w:val="0"/>
          <w:sz w:val="32"/>
          <w:szCs w:val="32"/>
          <w:lang w:val="en-US" w:eastAsia="zh-CN"/>
        </w:rPr>
      </w:pPr>
    </w:p>
    <w:p>
      <w:pPr>
        <w:keepNext w:val="0"/>
        <w:keepLines w:val="0"/>
        <w:pageBreakBefore w:val="0"/>
        <w:widowControl w:val="0"/>
        <w:kinsoku/>
        <w:wordWrap/>
        <w:overflowPunct/>
        <w:topLinePunct w:val="0"/>
        <w:autoSpaceDE/>
        <w:autoSpaceDN/>
        <w:bidi w:val="0"/>
        <w:adjustRightInd/>
        <w:snapToGrid w:val="0"/>
        <w:spacing w:before="0" w:beforeLines="0" w:after="0" w:afterLines="0" w:line="560" w:lineRule="exact"/>
        <w:ind w:left="0" w:leftChars="0" w:right="0" w:rightChars="0"/>
        <w:jc w:val="left"/>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b w:val="0"/>
          <w:bCs w:val="0"/>
          <w:snapToGrid w:val="0"/>
          <w:spacing w:val="0"/>
          <w:sz w:val="32"/>
          <w:szCs w:val="32"/>
          <w:lang w:val="en-US" w:eastAsia="zh-CN"/>
        </w:rPr>
        <w:t>许昌市魏都区颍昌街道办事处</w:t>
      </w:r>
      <w:r>
        <w:rPr>
          <w:rFonts w:hint="eastAsia" w:ascii="仿宋_GB2312" w:hAnsi="仿宋_GB2312" w:eastAsia="仿宋_GB2312" w:cs="仿宋_GB2312"/>
          <w:b w:val="0"/>
          <w:bCs w:val="0"/>
          <w:snapToGrid w:val="0"/>
          <w:spacing w:val="0"/>
          <w:sz w:val="32"/>
          <w:szCs w:val="32"/>
        </w:rPr>
        <w:t>：</w:t>
      </w:r>
    </w:p>
    <w:p>
      <w:pPr>
        <w:keepNext w:val="0"/>
        <w:keepLines w:val="0"/>
        <w:pageBreakBefore w:val="0"/>
        <w:widowControl w:val="0"/>
        <w:kinsoku/>
        <w:wordWrap/>
        <w:overflowPunct/>
        <w:topLinePunct w:val="0"/>
        <w:autoSpaceDE/>
        <w:autoSpaceDN/>
        <w:bidi w:val="0"/>
        <w:adjustRightInd/>
        <w:snapToGrid w:val="0"/>
        <w:spacing w:before="0" w:beforeLines="0" w:after="0" w:afterLines="0" w:line="560" w:lineRule="exact"/>
        <w:ind w:left="0" w:leftChars="0" w:right="0" w:rightChars="0" w:firstLine="640" w:firstLineChars="200"/>
        <w:jc w:val="left"/>
        <w:outlineLvl w:val="9"/>
        <w:rPr>
          <w:rFonts w:hint="eastAsia"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color w:val="auto"/>
          <w:sz w:val="32"/>
          <w:szCs w:val="32"/>
          <w:lang w:val="en-US" w:eastAsia="zh-CN"/>
        </w:rPr>
        <w:t>报来许昌市魏都区颍昌街道办事处崔代张社区饲草饲料种植加工及仓储项目立项的请示</w:t>
      </w:r>
      <w:r>
        <w:rPr>
          <w:rFonts w:hint="eastAsia" w:ascii="仿宋_GB2312" w:hAnsi="仿宋_GB2312" w:eastAsia="仿宋_GB2312" w:cs="仿宋_GB2312"/>
          <w:b w:val="0"/>
          <w:bCs w:val="0"/>
          <w:color w:val="auto"/>
          <w:sz w:val="32"/>
          <w:szCs w:val="32"/>
          <w:lang w:val="en-US" w:eastAsia="zh-CN"/>
        </w:rPr>
        <w:t>及有关材料已收悉。经研究，</w:t>
      </w:r>
      <w:r>
        <w:rPr>
          <w:rFonts w:hint="eastAsia" w:ascii="仿宋_GB2312" w:hAnsi="仿宋_GB2312" w:eastAsia="仿宋_GB2312" w:cs="仿宋_GB2312"/>
          <w:b w:val="0"/>
          <w:bCs w:val="0"/>
          <w:i w:val="0"/>
          <w:caps w:val="0"/>
          <w:color w:val="auto"/>
          <w:spacing w:val="0"/>
          <w:sz w:val="32"/>
          <w:szCs w:val="32"/>
          <w:shd w:val="clear" w:color="auto" w:fill="FFFFFF"/>
        </w:rPr>
        <w:t>批复如下</w:t>
      </w:r>
      <w:r>
        <w:rPr>
          <w:rFonts w:hint="eastAsia" w:ascii="仿宋_GB2312" w:hAnsi="仿宋_GB2312" w:eastAsia="仿宋_GB2312" w:cs="仿宋_GB2312"/>
          <w:b w:val="0"/>
          <w:bCs w:val="0"/>
          <w:color w:val="auto"/>
          <w:sz w:val="32"/>
          <w:szCs w:val="32"/>
          <w:lang w:val="en-US" w:eastAsia="zh-CN"/>
        </w:rPr>
        <w:t>：</w:t>
      </w:r>
    </w:p>
    <w:p>
      <w:pPr>
        <w:keepNext w:val="0"/>
        <w:keepLines w:val="0"/>
        <w:pageBreakBefore w:val="0"/>
        <w:widowControl w:val="0"/>
        <w:kinsoku/>
        <w:wordWrap/>
        <w:overflowPunct/>
        <w:topLinePunct w:val="0"/>
        <w:autoSpaceDE/>
        <w:autoSpaceDN/>
        <w:bidi w:val="0"/>
        <w:adjustRightInd/>
        <w:snapToGrid w:val="0"/>
        <w:spacing w:before="0" w:beforeLines="0" w:after="0" w:afterLines="0" w:line="560" w:lineRule="exact"/>
        <w:ind w:left="0" w:leftChars="0" w:right="0" w:rightChars="0" w:firstLine="640" w:firstLineChars="200"/>
        <w:jc w:val="left"/>
        <w:outlineLvl w:val="9"/>
        <w:rPr>
          <w:rFonts w:hint="eastAsia" w:ascii="仿宋_GB2312" w:hAnsi="仿宋_GB2312" w:eastAsia="仿宋_GB2312" w:cs="仿宋_GB2312"/>
          <w:b w:val="0"/>
          <w:bCs w:val="0"/>
          <w:spacing w:val="0"/>
          <w:sz w:val="32"/>
          <w:szCs w:val="32"/>
        </w:rPr>
      </w:pPr>
      <w:r>
        <w:rPr>
          <w:rFonts w:hint="eastAsia" w:ascii="仿宋_GB2312" w:hAnsi="仿宋_GB2312" w:eastAsia="仿宋_GB2312" w:cs="仿宋_GB2312"/>
          <w:b w:val="0"/>
          <w:bCs w:val="0"/>
          <w:spacing w:val="0"/>
          <w:sz w:val="32"/>
          <w:szCs w:val="32"/>
          <w:lang w:val="en-US" w:eastAsia="zh-CN"/>
        </w:rPr>
        <w:t>一、</w:t>
      </w:r>
      <w:r>
        <w:rPr>
          <w:rFonts w:hint="eastAsia" w:ascii="仿宋_GB2312" w:hAnsi="仿宋_GB2312" w:eastAsia="仿宋_GB2312" w:cs="仿宋_GB2312"/>
          <w:b w:val="0"/>
          <w:bCs w:val="0"/>
          <w:spacing w:val="0"/>
          <w:sz w:val="32"/>
          <w:szCs w:val="32"/>
          <w:lang w:eastAsia="zh-CN"/>
        </w:rPr>
        <w:t>同意</w:t>
      </w:r>
      <w:r>
        <w:rPr>
          <w:rFonts w:hint="eastAsia" w:ascii="仿宋_GB2312" w:hAnsi="仿宋_GB2312" w:eastAsia="仿宋_GB2312" w:cs="仿宋_GB2312"/>
          <w:b w:val="0"/>
          <w:bCs w:val="0"/>
          <w:spacing w:val="0"/>
          <w:sz w:val="32"/>
          <w:szCs w:val="32"/>
          <w:lang w:val="en-US" w:eastAsia="zh-CN"/>
        </w:rPr>
        <w:t>实施</w:t>
      </w:r>
      <w:r>
        <w:rPr>
          <w:rFonts w:hint="eastAsia" w:ascii="仿宋_GB2312" w:hAnsi="仿宋_GB2312" w:eastAsia="仿宋_GB2312" w:cs="仿宋_GB2312"/>
          <w:color w:val="auto"/>
          <w:sz w:val="32"/>
          <w:szCs w:val="32"/>
          <w:lang w:val="en-US" w:eastAsia="zh-CN"/>
        </w:rPr>
        <w:t>许昌市魏都区颍昌街道办事处崔代张社区饲草饲料种植加工及仓储项目</w:t>
      </w:r>
      <w:r>
        <w:rPr>
          <w:rFonts w:hint="eastAsia" w:ascii="仿宋_GB2312" w:hAnsi="仿宋_GB2312" w:eastAsia="仿宋_GB2312" w:cs="仿宋_GB2312"/>
          <w:b w:val="0"/>
          <w:bCs w:val="0"/>
          <w:color w:val="auto"/>
          <w:sz w:val="32"/>
          <w:szCs w:val="32"/>
          <w:lang w:val="en-US" w:eastAsia="zh-CN"/>
        </w:rPr>
        <w:t>，原则同意中岑工程咨询有限公司编制的项目可行性研究报告的基本内容</w:t>
      </w:r>
      <w:r>
        <w:rPr>
          <w:rFonts w:hint="eastAsia" w:ascii="仿宋_GB2312" w:hAnsi="仿宋_GB2312" w:eastAsia="仿宋_GB2312" w:cs="仿宋_GB2312"/>
          <w:b w:val="0"/>
          <w:bCs w:val="0"/>
          <w:spacing w:val="0"/>
          <w:sz w:val="32"/>
          <w:szCs w:val="32"/>
        </w:rPr>
        <w:t>。</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640" w:firstLineChars="200"/>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b w:val="0"/>
          <w:bCs w:val="0"/>
          <w:spacing w:val="0"/>
          <w:sz w:val="32"/>
          <w:szCs w:val="32"/>
          <w:lang w:val="en-US" w:eastAsia="zh-CN"/>
        </w:rPr>
        <w:t>二、</w:t>
      </w:r>
      <w:r>
        <w:rPr>
          <w:rFonts w:hint="eastAsia" w:ascii="仿宋_GB2312" w:hAnsi="仿宋_GB2312" w:eastAsia="仿宋_GB2312" w:cs="仿宋_GB2312"/>
          <w:b w:val="0"/>
          <w:bCs w:val="0"/>
          <w:spacing w:val="0"/>
          <w:sz w:val="32"/>
          <w:szCs w:val="32"/>
        </w:rPr>
        <w:t>项目建设地点位于</w:t>
      </w:r>
      <w:r>
        <w:rPr>
          <w:rFonts w:hint="eastAsia" w:ascii="仿宋_GB2312" w:hAnsi="仿宋_GB2312" w:eastAsia="仿宋_GB2312" w:cs="仿宋_GB2312"/>
          <w:b w:val="0"/>
          <w:bCs w:val="0"/>
          <w:color w:val="auto"/>
          <w:sz w:val="32"/>
          <w:szCs w:val="32"/>
          <w:lang w:val="en-US" w:eastAsia="zh-CN"/>
        </w:rPr>
        <w:t>魏都区颍昌街道办事处崔代张社区</w:t>
      </w:r>
      <w:r>
        <w:rPr>
          <w:rFonts w:hint="eastAsia" w:ascii="仿宋_GB2312" w:hAnsi="仿宋_GB2312" w:eastAsia="仿宋_GB2312" w:cs="仿宋_GB2312"/>
          <w:b w:val="0"/>
          <w:bCs w:val="0"/>
          <w:spacing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640" w:firstLineChars="200"/>
        <w:outlineLvl w:val="9"/>
        <w:rPr>
          <w:rFonts w:hint="eastAsia" w:ascii="仿宋_GB2312" w:hAnsi="仿宋_GB2312" w:eastAsia="仿宋_GB2312" w:cs="仿宋_GB2312"/>
          <w:b w:val="0"/>
          <w:bCs w:val="0"/>
          <w:spacing w:val="0"/>
          <w:sz w:val="32"/>
          <w:szCs w:val="32"/>
        </w:rPr>
      </w:pPr>
      <w:r>
        <w:rPr>
          <w:rFonts w:hint="eastAsia" w:ascii="仿宋_GB2312" w:hAnsi="仿宋_GB2312" w:eastAsia="仿宋_GB2312" w:cs="仿宋_GB2312"/>
          <w:b w:val="0"/>
          <w:bCs w:val="0"/>
          <w:spacing w:val="0"/>
          <w:sz w:val="32"/>
          <w:szCs w:val="32"/>
          <w:lang w:val="en-US" w:eastAsia="zh-CN"/>
        </w:rPr>
        <w:t>三、</w:t>
      </w:r>
      <w:r>
        <w:rPr>
          <w:rFonts w:hint="eastAsia" w:ascii="仿宋_GB2312" w:hAnsi="仿宋_GB2312" w:eastAsia="仿宋_GB2312" w:cs="仿宋_GB2312"/>
          <w:b w:val="0"/>
          <w:bCs w:val="0"/>
          <w:spacing w:val="0"/>
          <w:sz w:val="32"/>
          <w:szCs w:val="32"/>
        </w:rPr>
        <w:t>项目建设内容及规模</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outlineLvl w:val="9"/>
        <w:rPr>
          <w:rFonts w:hint="default" w:ascii="仿宋_GB2312" w:hAnsi="仿宋_GB2312" w:eastAsia="仿宋_GB2312" w:cs="仿宋_GB2312"/>
          <w:b w:val="0"/>
          <w:bCs w:val="0"/>
          <w:spacing w:val="0"/>
          <w:sz w:val="32"/>
          <w:szCs w:val="32"/>
          <w:lang w:val="en-US" w:eastAsia="zh-CN"/>
        </w:rPr>
      </w:pPr>
      <w:r>
        <w:rPr>
          <w:rFonts w:hint="default" w:ascii="仿宋_GB2312" w:hAnsi="仿宋_GB2312" w:eastAsia="仿宋_GB2312" w:cs="仿宋_GB2312"/>
          <w:b w:val="0"/>
          <w:bCs w:val="0"/>
          <w:spacing w:val="0"/>
          <w:sz w:val="32"/>
          <w:szCs w:val="32"/>
          <w:lang w:val="en-US" w:eastAsia="zh-CN"/>
        </w:rPr>
        <w:t>项目规划占地面积343.29平方米，规划总建筑面积325平方米。项目建设内容包括购置饲草饲料收割机1台、购置饲草饲料包膜打包机1台、新建饲草饲料仓储用房325平方米。</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b w:val="0"/>
          <w:bCs w:val="0"/>
          <w:spacing w:val="0"/>
          <w:sz w:val="32"/>
          <w:szCs w:val="32"/>
          <w:lang w:val="en-US" w:eastAsia="zh-CN"/>
        </w:rPr>
        <w:t>四、</w:t>
      </w:r>
      <w:r>
        <w:rPr>
          <w:rFonts w:hint="eastAsia" w:ascii="仿宋_GB2312" w:hAnsi="仿宋_GB2312" w:eastAsia="仿宋_GB2312" w:cs="仿宋_GB2312"/>
          <w:b w:val="0"/>
          <w:bCs w:val="0"/>
          <w:spacing w:val="0"/>
          <w:sz w:val="32"/>
          <w:szCs w:val="32"/>
        </w:rPr>
        <w:t>项目</w:t>
      </w:r>
      <w:r>
        <w:rPr>
          <w:rFonts w:hint="eastAsia" w:ascii="仿宋_GB2312" w:hAnsi="仿宋_GB2312" w:eastAsia="仿宋_GB2312" w:cs="仿宋_GB2312"/>
          <w:b w:val="0"/>
          <w:bCs w:val="0"/>
          <w:sz w:val="32"/>
          <w:szCs w:val="32"/>
          <w:lang w:val="en-US" w:eastAsia="zh-CN"/>
        </w:rPr>
        <w:t>计划总投资</w:t>
      </w:r>
      <w:r>
        <w:rPr>
          <w:rFonts w:hint="eastAsia" w:ascii="仿宋_GB2312" w:hAnsi="仿宋_GB2312" w:eastAsia="仿宋_GB2312" w:cs="仿宋_GB2312"/>
          <w:color w:val="000000"/>
          <w:sz w:val="32"/>
          <w:szCs w:val="32"/>
        </w:rPr>
        <w:t>为</w:t>
      </w:r>
      <w:r>
        <w:rPr>
          <w:rFonts w:hint="eastAsia" w:ascii="仿宋_GB2312" w:hAnsi="仿宋_GB2312" w:eastAsia="仿宋_GB2312" w:cs="仿宋_GB2312"/>
          <w:color w:val="000000"/>
          <w:sz w:val="32"/>
          <w:szCs w:val="32"/>
          <w:lang w:val="en-US" w:eastAsia="zh-CN"/>
        </w:rPr>
        <w:t>60万元。项目建设所需资金为财政资金。</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outlineLvl w:val="9"/>
        <w:rPr>
          <w:rFonts w:hint="eastAsia" w:ascii="仿宋_GB2312" w:hAnsi="仿宋_GB2312" w:eastAsia="仿宋_GB2312" w:cs="仿宋_GB2312"/>
          <w:b w:val="0"/>
          <w:bCs w:val="0"/>
          <w:spacing w:val="0"/>
          <w:sz w:val="32"/>
          <w:szCs w:val="32"/>
        </w:rPr>
      </w:pPr>
      <w:r>
        <w:rPr>
          <w:rFonts w:hint="eastAsia" w:ascii="仿宋_GB2312" w:hAnsi="仿宋_GB2312" w:eastAsia="仿宋_GB2312" w:cs="仿宋_GB2312"/>
          <w:b w:val="0"/>
          <w:bCs w:val="0"/>
          <w:spacing w:val="0"/>
          <w:sz w:val="32"/>
          <w:szCs w:val="32"/>
          <w:lang w:val="en-US" w:eastAsia="zh-CN"/>
        </w:rPr>
        <w:t>五、</w:t>
      </w:r>
      <w:r>
        <w:rPr>
          <w:rFonts w:hint="eastAsia" w:ascii="仿宋_GB2312" w:hAnsi="仿宋_GB2312" w:eastAsia="仿宋_GB2312" w:cs="仿宋_GB2312"/>
          <w:b w:val="0"/>
          <w:bCs w:val="0"/>
          <w:spacing w:val="0"/>
          <w:sz w:val="32"/>
          <w:szCs w:val="32"/>
        </w:rPr>
        <w:t>请项目单位严格遵守环保、节能、消防、安全、卫生、以工代赈等有关规定，组织好工程实施。</w:t>
      </w:r>
    </w:p>
    <w:p>
      <w:pPr>
        <w:keepNext w:val="0"/>
        <w:keepLines w:val="0"/>
        <w:pageBreakBefore w:val="0"/>
        <w:widowControl w:val="0"/>
        <w:kinsoku/>
        <w:wordWrap/>
        <w:overflowPunct/>
        <w:topLinePunct w:val="0"/>
        <w:autoSpaceDE/>
        <w:autoSpaceDN/>
        <w:bidi w:val="0"/>
        <w:adjustRightInd/>
        <w:snapToGrid/>
        <w:spacing w:before="0" w:beforeLines="0" w:after="0" w:afterLines="0" w:line="540" w:lineRule="exact"/>
        <w:ind w:left="0" w:leftChars="0" w:right="0" w:rightChars="0" w:firstLine="641"/>
        <w:jc w:val="both"/>
        <w:textAlignment w:val="bottom"/>
        <w:outlineLvl w:val="9"/>
        <w:rPr>
          <w:rFonts w:hint="eastAsia" w:ascii="仿宋_GB2312" w:hAnsi="仿宋_GB2312" w:eastAsia="仿宋_GB2312" w:cs="仿宋_GB2312"/>
          <w:b w:val="0"/>
          <w:bCs w:val="0"/>
          <w:spacing w:val="0"/>
          <w:sz w:val="32"/>
          <w:szCs w:val="32"/>
        </w:rPr>
      </w:pPr>
      <w:r>
        <w:rPr>
          <w:rFonts w:hint="eastAsia" w:ascii="仿宋_GB2312" w:hAnsi="仿宋_GB2312" w:eastAsia="仿宋_GB2312" w:cs="仿宋_GB2312"/>
          <w:b w:val="0"/>
          <w:bCs w:val="0"/>
          <w:spacing w:val="0"/>
          <w:sz w:val="32"/>
          <w:szCs w:val="32"/>
        </w:rPr>
        <w:t>六、</w:t>
      </w:r>
      <w:r>
        <w:rPr>
          <w:rFonts w:hint="eastAsia" w:ascii="仿宋_GB2312" w:hAnsi="仿宋_GB2312" w:eastAsia="仿宋_GB2312" w:cs="仿宋_GB2312"/>
          <w:b w:val="0"/>
          <w:bCs w:val="0"/>
          <w:spacing w:val="0"/>
          <w:sz w:val="32"/>
          <w:szCs w:val="32"/>
          <w:lang w:val="en-US" w:eastAsia="zh-CN"/>
        </w:rPr>
        <w:t>同意</w:t>
      </w:r>
      <w:r>
        <w:rPr>
          <w:rFonts w:hint="eastAsia" w:ascii="仿宋_GB2312" w:hAnsi="仿宋_GB2312" w:eastAsia="仿宋_GB2312" w:cs="仿宋_GB2312"/>
          <w:b w:val="0"/>
          <w:bCs w:val="0"/>
          <w:snapToGrid w:val="0"/>
          <w:spacing w:val="0"/>
          <w:sz w:val="32"/>
          <w:szCs w:val="32"/>
          <w:lang w:val="en-US" w:eastAsia="zh-CN"/>
        </w:rPr>
        <w:t>许昌市魏都区颍昌街道办事处按照招投标文件规定</w:t>
      </w:r>
      <w:r>
        <w:rPr>
          <w:rFonts w:hint="eastAsia" w:ascii="仿宋_GB2312" w:hAnsi="仿宋_GB2312" w:eastAsia="仿宋_GB2312" w:cs="仿宋_GB2312"/>
          <w:b w:val="0"/>
          <w:bCs w:val="0"/>
          <w:spacing w:val="0"/>
          <w:sz w:val="32"/>
          <w:szCs w:val="32"/>
        </w:rPr>
        <w:t>在勘察、设计、施工、监理</w:t>
      </w:r>
      <w:r>
        <w:rPr>
          <w:rFonts w:hint="eastAsia" w:ascii="仿宋_GB2312" w:hAnsi="仿宋_GB2312" w:eastAsia="仿宋_GB2312" w:cs="仿宋_GB2312"/>
          <w:b w:val="0"/>
          <w:bCs w:val="0"/>
          <w:spacing w:val="0"/>
          <w:sz w:val="32"/>
          <w:szCs w:val="32"/>
          <w:lang w:eastAsia="zh-CN"/>
        </w:rPr>
        <w:t>、</w:t>
      </w:r>
      <w:r>
        <w:rPr>
          <w:rFonts w:hint="eastAsia" w:ascii="仿宋_GB2312" w:hAnsi="仿宋_GB2312" w:eastAsia="仿宋_GB2312" w:cs="仿宋_GB2312"/>
          <w:b w:val="0"/>
          <w:bCs w:val="0"/>
          <w:spacing w:val="0"/>
          <w:sz w:val="32"/>
          <w:szCs w:val="32"/>
          <w:lang w:val="en-US" w:eastAsia="zh-CN"/>
        </w:rPr>
        <w:t>重要材料及设备采购</w:t>
      </w:r>
      <w:r>
        <w:rPr>
          <w:rFonts w:hint="eastAsia" w:ascii="仿宋_GB2312" w:hAnsi="仿宋_GB2312" w:eastAsia="仿宋_GB2312" w:cs="仿宋_GB2312"/>
          <w:b w:val="0"/>
          <w:bCs w:val="0"/>
          <w:spacing w:val="0"/>
          <w:sz w:val="32"/>
          <w:szCs w:val="32"/>
        </w:rPr>
        <w:t>等环节委托有资质的招标代理机构</w:t>
      </w:r>
      <w:r>
        <w:rPr>
          <w:rFonts w:hint="eastAsia" w:ascii="仿宋_GB2312" w:hAnsi="仿宋_GB2312" w:eastAsia="仿宋_GB2312" w:cs="仿宋_GB2312"/>
          <w:b w:val="0"/>
          <w:bCs w:val="0"/>
          <w:spacing w:val="0"/>
          <w:sz w:val="32"/>
          <w:szCs w:val="32"/>
          <w:lang w:val="en-US" w:eastAsia="zh-CN"/>
        </w:rPr>
        <w:t>组织</w:t>
      </w:r>
      <w:r>
        <w:rPr>
          <w:rFonts w:hint="eastAsia" w:ascii="仿宋_GB2312" w:hAnsi="仿宋_GB2312" w:eastAsia="仿宋_GB2312" w:cs="仿宋_GB2312"/>
          <w:b w:val="0"/>
          <w:bCs w:val="0"/>
          <w:spacing w:val="0"/>
          <w:sz w:val="32"/>
          <w:szCs w:val="32"/>
        </w:rPr>
        <w:t>招标，</w:t>
      </w:r>
      <w:r>
        <w:rPr>
          <w:rFonts w:hint="eastAsia" w:ascii="仿宋_GB2312" w:hAnsi="仿宋_GB2312" w:eastAsia="仿宋_GB2312" w:cs="仿宋_GB2312"/>
          <w:b w:val="0"/>
          <w:bCs w:val="0"/>
          <w:spacing w:val="0"/>
          <w:sz w:val="32"/>
          <w:szCs w:val="32"/>
          <w:lang w:val="en-US" w:eastAsia="zh-CN"/>
        </w:rPr>
        <w:t>并依</w:t>
      </w:r>
      <w:bookmarkStart w:id="0" w:name="_GoBack"/>
      <w:bookmarkEnd w:id="0"/>
      <w:r>
        <w:rPr>
          <w:rFonts w:hint="eastAsia" w:ascii="仿宋_GB2312" w:hAnsi="仿宋_GB2312" w:eastAsia="仿宋_GB2312" w:cs="仿宋_GB2312"/>
          <w:b w:val="0"/>
          <w:bCs w:val="0"/>
          <w:spacing w:val="0"/>
          <w:sz w:val="32"/>
          <w:szCs w:val="32"/>
          <w:lang w:val="en-US" w:eastAsia="zh-CN"/>
        </w:rPr>
        <w:t>法</w:t>
      </w:r>
      <w:r>
        <w:rPr>
          <w:rFonts w:hint="eastAsia" w:ascii="仿宋_GB2312" w:hAnsi="仿宋_GB2312" w:eastAsia="仿宋_GB2312" w:cs="仿宋_GB2312"/>
          <w:b w:val="0"/>
          <w:bCs w:val="0"/>
          <w:spacing w:val="0"/>
          <w:sz w:val="32"/>
          <w:szCs w:val="32"/>
        </w:rPr>
        <w:t>发布</w:t>
      </w:r>
      <w:r>
        <w:rPr>
          <w:rFonts w:hint="eastAsia" w:ascii="仿宋_GB2312" w:hAnsi="仿宋_GB2312" w:eastAsia="仿宋_GB2312" w:cs="仿宋_GB2312"/>
          <w:b w:val="0"/>
          <w:bCs w:val="0"/>
          <w:spacing w:val="0"/>
          <w:sz w:val="32"/>
          <w:szCs w:val="32"/>
          <w:lang w:val="en-US" w:eastAsia="zh-CN"/>
        </w:rPr>
        <w:t>同时</w:t>
      </w:r>
      <w:r>
        <w:rPr>
          <w:rFonts w:hint="eastAsia" w:ascii="仿宋_GB2312" w:hAnsi="仿宋_GB2312" w:eastAsia="仿宋_GB2312" w:cs="仿宋_GB2312"/>
          <w:b w:val="0"/>
          <w:bCs w:val="0"/>
          <w:spacing w:val="0"/>
          <w:sz w:val="32"/>
          <w:szCs w:val="32"/>
        </w:rPr>
        <w:t>向有关行政监督部门做好招标文件备案和招标情况报告工作。</w:t>
      </w:r>
    </w:p>
    <w:p>
      <w:pPr>
        <w:keepNext w:val="0"/>
        <w:keepLines w:val="0"/>
        <w:pageBreakBefore w:val="0"/>
        <w:widowControl w:val="0"/>
        <w:kinsoku/>
        <w:wordWrap/>
        <w:overflowPunct/>
        <w:topLinePunct w:val="0"/>
        <w:autoSpaceDE/>
        <w:autoSpaceDN/>
        <w:bidi w:val="0"/>
        <w:adjustRightInd/>
        <w:snapToGrid/>
        <w:spacing w:before="0" w:beforeLines="0" w:after="0" w:afterLines="0" w:line="540" w:lineRule="exact"/>
        <w:ind w:left="0" w:leftChars="0" w:right="0" w:rightChars="0" w:firstLine="641"/>
        <w:jc w:val="both"/>
        <w:textAlignment w:val="bottom"/>
        <w:outlineLvl w:val="9"/>
        <w:rPr>
          <w:rFonts w:hint="eastAsia" w:ascii="仿宋_GB2312" w:hAnsi="仿宋_GB2312" w:eastAsia="仿宋_GB2312" w:cs="仿宋_GB2312"/>
          <w:b w:val="0"/>
          <w:bCs w:val="0"/>
          <w:spacing w:val="0"/>
          <w:sz w:val="32"/>
          <w:szCs w:val="32"/>
        </w:rPr>
      </w:pPr>
      <w:r>
        <w:rPr>
          <w:rFonts w:hint="eastAsia" w:ascii="仿宋_GB2312" w:hAnsi="仿宋_GB2312" w:eastAsia="仿宋_GB2312" w:cs="仿宋_GB2312"/>
          <w:b w:val="0"/>
          <w:bCs w:val="0"/>
          <w:spacing w:val="0"/>
          <w:sz w:val="32"/>
          <w:szCs w:val="32"/>
        </w:rPr>
        <w:t>七、根据《政府投资条例》第十三条，对建设内容单一、投资规模较小、技术方案简单的项目简化审批程序，将项目可行性研究报告和初步设计及概算合并办理，不再单独批复项目初步设计。</w:t>
      </w:r>
    </w:p>
    <w:p>
      <w:pPr>
        <w:keepNext w:val="0"/>
        <w:keepLines w:val="0"/>
        <w:pageBreakBefore w:val="0"/>
        <w:widowControl w:val="0"/>
        <w:kinsoku/>
        <w:wordWrap/>
        <w:overflowPunct/>
        <w:topLinePunct w:val="0"/>
        <w:autoSpaceDE/>
        <w:autoSpaceDN/>
        <w:bidi w:val="0"/>
        <w:adjustRightInd/>
        <w:snapToGrid/>
        <w:spacing w:before="0" w:beforeLines="0" w:after="0" w:afterLines="0" w:line="540" w:lineRule="exact"/>
        <w:ind w:left="0" w:leftChars="0" w:right="0" w:rightChars="0" w:firstLine="641"/>
        <w:jc w:val="both"/>
        <w:textAlignment w:val="bottom"/>
        <w:outlineLvl w:val="9"/>
        <w:rPr>
          <w:rFonts w:hint="eastAsia" w:ascii="仿宋_GB2312" w:hAnsi="仿宋_GB2312" w:eastAsia="仿宋_GB2312" w:cs="仿宋_GB2312"/>
          <w:b w:val="0"/>
          <w:bCs w:val="0"/>
          <w:spacing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before="0" w:beforeLines="0" w:after="0" w:afterLines="0" w:line="540" w:lineRule="exact"/>
        <w:ind w:left="0" w:leftChars="0" w:right="0" w:rightChars="0" w:firstLine="641"/>
        <w:jc w:val="both"/>
        <w:textAlignment w:val="bottom"/>
        <w:outlineLvl w:val="9"/>
        <w:rPr>
          <w:rFonts w:hint="eastAsia" w:ascii="仿宋_GB2312" w:hAnsi="仿宋_GB2312" w:eastAsia="仿宋_GB2312" w:cs="仿宋_GB2312"/>
          <w:b w:val="0"/>
          <w:bCs w:val="0"/>
          <w:spacing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before="0" w:beforeLines="0" w:after="0" w:afterLines="0" w:line="540" w:lineRule="exact"/>
        <w:ind w:left="0" w:leftChars="0" w:right="840" w:rightChars="400" w:firstLine="641" w:firstLineChars="0"/>
        <w:jc w:val="right"/>
        <w:textAlignment w:val="bottom"/>
        <w:outlineLvl w:val="9"/>
        <w:rPr>
          <w:rFonts w:hint="eastAsia" w:ascii="仿宋_GB2312" w:hAnsi="仿宋_GB2312" w:eastAsia="仿宋_GB2312" w:cs="仿宋_GB2312"/>
          <w:b w:val="0"/>
          <w:bCs w:val="0"/>
          <w:spacing w:val="0"/>
          <w:sz w:val="32"/>
          <w:szCs w:val="32"/>
          <w:lang w:val="en-US" w:eastAsia="zh-CN"/>
        </w:rPr>
      </w:pPr>
      <w:r>
        <w:rPr>
          <w:rFonts w:hint="eastAsia" w:ascii="仿宋_GB2312" w:hAnsi="仿宋_GB2312" w:eastAsia="仿宋_GB2312" w:cs="仿宋_GB2312"/>
          <w:b w:val="0"/>
          <w:bCs w:val="0"/>
          <w:spacing w:val="0"/>
          <w:sz w:val="32"/>
          <w:szCs w:val="32"/>
          <w:lang w:val="en-US" w:eastAsia="zh-CN"/>
        </w:rPr>
        <w:t>2024年6月18日</w:t>
      </w:r>
    </w:p>
    <w:sectPr>
      <w:footerReference r:id="rId5" w:type="default"/>
      <w:pgSz w:w="11906" w:h="16838"/>
      <w:pgMar w:top="1701" w:right="1474" w:bottom="1701" w:left="1474" w:header="851" w:footer="992" w:gutter="0"/>
      <w:pgNumType w:fmt="decimal"/>
      <w:cols w:space="0" w:num="1"/>
      <w:rtlGutter w:val="0"/>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宋体"/>
                              <w:lang w:eastAsia="zh-CN"/>
                            </w:rPr>
                          </w:pPr>
                          <w:r>
                            <w:rPr>
                              <w:rFonts w:hint="eastAsia"/>
                              <w:sz w:val="24"/>
                              <w:szCs w:val="36"/>
                              <w:lang w:val="en-US" w:eastAsia="zh-CN"/>
                            </w:rPr>
                            <w:t xml:space="preserve">－ </w:t>
                          </w:r>
                          <w:r>
                            <w:rPr>
                              <w:rFonts w:hint="eastAsia" w:asciiTheme="minorEastAsia" w:hAnsiTheme="minorEastAsia" w:eastAsiaTheme="minorEastAsia" w:cstheme="minorEastAsia"/>
                              <w:sz w:val="32"/>
                              <w:szCs w:val="44"/>
                              <w:lang w:eastAsia="zh-CN"/>
                            </w:rPr>
                            <w:fldChar w:fldCharType="begin"/>
                          </w:r>
                          <w:r>
                            <w:rPr>
                              <w:rFonts w:hint="eastAsia" w:asciiTheme="minorEastAsia" w:hAnsiTheme="minorEastAsia" w:eastAsiaTheme="minorEastAsia" w:cstheme="minorEastAsia"/>
                              <w:sz w:val="32"/>
                              <w:szCs w:val="44"/>
                              <w:lang w:eastAsia="zh-CN"/>
                            </w:rPr>
                            <w:instrText xml:space="preserve"> PAGE  \* MERGEFORMAT </w:instrText>
                          </w:r>
                          <w:r>
                            <w:rPr>
                              <w:rFonts w:hint="eastAsia" w:asciiTheme="minorEastAsia" w:hAnsiTheme="minorEastAsia" w:eastAsiaTheme="minorEastAsia" w:cstheme="minorEastAsia"/>
                              <w:sz w:val="32"/>
                              <w:szCs w:val="44"/>
                              <w:lang w:eastAsia="zh-CN"/>
                            </w:rPr>
                            <w:fldChar w:fldCharType="separate"/>
                          </w:r>
                          <w:r>
                            <w:rPr>
                              <w:rFonts w:hint="eastAsia" w:asciiTheme="minorEastAsia" w:hAnsiTheme="minorEastAsia" w:eastAsiaTheme="minorEastAsia" w:cstheme="minorEastAsia"/>
                              <w:sz w:val="32"/>
                              <w:szCs w:val="44"/>
                              <w:lang w:eastAsia="zh-CN"/>
                            </w:rPr>
                            <w:t>1</w:t>
                          </w:r>
                          <w:r>
                            <w:rPr>
                              <w:rFonts w:hint="eastAsia" w:asciiTheme="minorEastAsia" w:hAnsiTheme="minorEastAsia" w:eastAsiaTheme="minorEastAsia" w:cstheme="minorEastAsia"/>
                              <w:sz w:val="32"/>
                              <w:szCs w:val="44"/>
                              <w:lang w:eastAsia="zh-CN"/>
                            </w:rPr>
                            <w:fldChar w:fldCharType="end"/>
                          </w:r>
                          <w:r>
                            <w:rPr>
                              <w:rFonts w:hint="eastAsia"/>
                              <w:sz w:val="24"/>
                              <w:szCs w:val="36"/>
                              <w:lang w:val="en-US" w:eastAsia="zh-CN"/>
                            </w:rPr>
                            <w:t xml:space="preserve"> </w:t>
                          </w:r>
                          <w:r>
                            <w:rPr>
                              <w:rFonts w:hint="eastAsia"/>
                              <w:sz w:val="24"/>
                              <w:szCs w:val="36"/>
                              <w:lang w:eastAsia="zh-CN"/>
                            </w:rPr>
                            <w:t>－</w:t>
                          </w:r>
                          <w:r>
                            <w:rPr>
                              <w:rFonts w:hint="eastAsia"/>
                              <w:sz w:val="24"/>
                              <w:szCs w:val="36"/>
                              <w:lang w:val="en-US"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rPr>
                        <w:rFonts w:hint="eastAsia" w:eastAsia="宋体"/>
                        <w:lang w:eastAsia="zh-CN"/>
                      </w:rPr>
                    </w:pPr>
                    <w:r>
                      <w:rPr>
                        <w:rFonts w:hint="eastAsia"/>
                        <w:sz w:val="24"/>
                        <w:szCs w:val="36"/>
                        <w:lang w:val="en-US" w:eastAsia="zh-CN"/>
                      </w:rPr>
                      <w:t xml:space="preserve">－ </w:t>
                    </w:r>
                    <w:r>
                      <w:rPr>
                        <w:rFonts w:hint="eastAsia" w:asciiTheme="minorEastAsia" w:hAnsiTheme="minorEastAsia" w:eastAsiaTheme="minorEastAsia" w:cstheme="minorEastAsia"/>
                        <w:sz w:val="32"/>
                        <w:szCs w:val="44"/>
                        <w:lang w:eastAsia="zh-CN"/>
                      </w:rPr>
                      <w:fldChar w:fldCharType="begin"/>
                    </w:r>
                    <w:r>
                      <w:rPr>
                        <w:rFonts w:hint="eastAsia" w:asciiTheme="minorEastAsia" w:hAnsiTheme="minorEastAsia" w:eastAsiaTheme="minorEastAsia" w:cstheme="minorEastAsia"/>
                        <w:sz w:val="32"/>
                        <w:szCs w:val="44"/>
                        <w:lang w:eastAsia="zh-CN"/>
                      </w:rPr>
                      <w:instrText xml:space="preserve"> PAGE  \* MERGEFORMAT </w:instrText>
                    </w:r>
                    <w:r>
                      <w:rPr>
                        <w:rFonts w:hint="eastAsia" w:asciiTheme="minorEastAsia" w:hAnsiTheme="minorEastAsia" w:eastAsiaTheme="minorEastAsia" w:cstheme="minorEastAsia"/>
                        <w:sz w:val="32"/>
                        <w:szCs w:val="44"/>
                        <w:lang w:eastAsia="zh-CN"/>
                      </w:rPr>
                      <w:fldChar w:fldCharType="separate"/>
                    </w:r>
                    <w:r>
                      <w:rPr>
                        <w:rFonts w:hint="eastAsia" w:asciiTheme="minorEastAsia" w:hAnsiTheme="minorEastAsia" w:eastAsiaTheme="minorEastAsia" w:cstheme="minorEastAsia"/>
                        <w:sz w:val="32"/>
                        <w:szCs w:val="44"/>
                        <w:lang w:eastAsia="zh-CN"/>
                      </w:rPr>
                      <w:t>1</w:t>
                    </w:r>
                    <w:r>
                      <w:rPr>
                        <w:rFonts w:hint="eastAsia" w:asciiTheme="minorEastAsia" w:hAnsiTheme="minorEastAsia" w:eastAsiaTheme="minorEastAsia" w:cstheme="minorEastAsia"/>
                        <w:sz w:val="32"/>
                        <w:szCs w:val="44"/>
                        <w:lang w:eastAsia="zh-CN"/>
                      </w:rPr>
                      <w:fldChar w:fldCharType="end"/>
                    </w:r>
                    <w:r>
                      <w:rPr>
                        <w:rFonts w:hint="eastAsia"/>
                        <w:sz w:val="24"/>
                        <w:szCs w:val="36"/>
                        <w:lang w:val="en-US" w:eastAsia="zh-CN"/>
                      </w:rPr>
                      <w:t xml:space="preserve"> </w:t>
                    </w:r>
                    <w:r>
                      <w:rPr>
                        <w:rFonts w:hint="eastAsia"/>
                        <w:sz w:val="24"/>
                        <w:szCs w:val="36"/>
                        <w:lang w:eastAsia="zh-CN"/>
                      </w:rPr>
                      <w:t>－</w:t>
                    </w:r>
                    <w:r>
                      <w:rPr>
                        <w:rFonts w:hint="eastAsia"/>
                        <w:sz w:val="24"/>
                        <w:szCs w:val="36"/>
                        <w:lang w:val="en-US" w:eastAsia="zh-CN"/>
                      </w:rPr>
                      <w:t xml:space="preserve"> </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7C4486"/>
    <w:rsid w:val="00E94382"/>
    <w:rsid w:val="015312AA"/>
    <w:rsid w:val="01582266"/>
    <w:rsid w:val="01C47CF3"/>
    <w:rsid w:val="01E274B5"/>
    <w:rsid w:val="039560B1"/>
    <w:rsid w:val="03C71124"/>
    <w:rsid w:val="04410263"/>
    <w:rsid w:val="048473D7"/>
    <w:rsid w:val="048501D0"/>
    <w:rsid w:val="052D3E82"/>
    <w:rsid w:val="07BA68BC"/>
    <w:rsid w:val="07BF6E42"/>
    <w:rsid w:val="08FE2131"/>
    <w:rsid w:val="0A4E27F2"/>
    <w:rsid w:val="0A8C4182"/>
    <w:rsid w:val="0B3B1801"/>
    <w:rsid w:val="0B8F0FB0"/>
    <w:rsid w:val="0B9743F0"/>
    <w:rsid w:val="0BDA6C08"/>
    <w:rsid w:val="0BFF3D0D"/>
    <w:rsid w:val="0C2376DC"/>
    <w:rsid w:val="0EB36C3A"/>
    <w:rsid w:val="0F241926"/>
    <w:rsid w:val="0F69251F"/>
    <w:rsid w:val="106B1DE4"/>
    <w:rsid w:val="10C96CE7"/>
    <w:rsid w:val="115B1323"/>
    <w:rsid w:val="11773920"/>
    <w:rsid w:val="117D4162"/>
    <w:rsid w:val="12241DDA"/>
    <w:rsid w:val="123A2D82"/>
    <w:rsid w:val="133A27C8"/>
    <w:rsid w:val="13E376AF"/>
    <w:rsid w:val="13EC0B77"/>
    <w:rsid w:val="146F0DFE"/>
    <w:rsid w:val="1556350C"/>
    <w:rsid w:val="16CE27A9"/>
    <w:rsid w:val="17944B04"/>
    <w:rsid w:val="17946AD9"/>
    <w:rsid w:val="17D6146D"/>
    <w:rsid w:val="18776A66"/>
    <w:rsid w:val="18D63BB9"/>
    <w:rsid w:val="198A3936"/>
    <w:rsid w:val="1AFA436D"/>
    <w:rsid w:val="1B3151FE"/>
    <w:rsid w:val="1BAF6B05"/>
    <w:rsid w:val="1BE955C7"/>
    <w:rsid w:val="1C1129D3"/>
    <w:rsid w:val="1C5E45B2"/>
    <w:rsid w:val="1F59631E"/>
    <w:rsid w:val="1F816188"/>
    <w:rsid w:val="204E6F74"/>
    <w:rsid w:val="20843F59"/>
    <w:rsid w:val="20C6164E"/>
    <w:rsid w:val="20F93AB9"/>
    <w:rsid w:val="211B2031"/>
    <w:rsid w:val="214322D8"/>
    <w:rsid w:val="21701C94"/>
    <w:rsid w:val="2170369D"/>
    <w:rsid w:val="219357C5"/>
    <w:rsid w:val="21FC4A83"/>
    <w:rsid w:val="222A07C5"/>
    <w:rsid w:val="230C7214"/>
    <w:rsid w:val="232C6859"/>
    <w:rsid w:val="238D5D3D"/>
    <w:rsid w:val="239916D4"/>
    <w:rsid w:val="23B171AB"/>
    <w:rsid w:val="23C22444"/>
    <w:rsid w:val="24E0742D"/>
    <w:rsid w:val="254A4AA1"/>
    <w:rsid w:val="2581038C"/>
    <w:rsid w:val="25BA64A5"/>
    <w:rsid w:val="25C07301"/>
    <w:rsid w:val="268D200C"/>
    <w:rsid w:val="26917DC2"/>
    <w:rsid w:val="278F4242"/>
    <w:rsid w:val="27EE4BCD"/>
    <w:rsid w:val="28131937"/>
    <w:rsid w:val="287D54A2"/>
    <w:rsid w:val="28D14296"/>
    <w:rsid w:val="2933520E"/>
    <w:rsid w:val="29E63C51"/>
    <w:rsid w:val="2A1F3552"/>
    <w:rsid w:val="2A4B375A"/>
    <w:rsid w:val="2A5F7458"/>
    <w:rsid w:val="2AA366D6"/>
    <w:rsid w:val="2B0C70C9"/>
    <w:rsid w:val="2BAE508C"/>
    <w:rsid w:val="2BCB7CF6"/>
    <w:rsid w:val="2C355D6E"/>
    <w:rsid w:val="2C4174D5"/>
    <w:rsid w:val="2D0E5425"/>
    <w:rsid w:val="2D4B0D53"/>
    <w:rsid w:val="2D8A380B"/>
    <w:rsid w:val="2DA232CA"/>
    <w:rsid w:val="2DD66DCB"/>
    <w:rsid w:val="2E8B7425"/>
    <w:rsid w:val="2EE16684"/>
    <w:rsid w:val="2EE25A02"/>
    <w:rsid w:val="2F0B4DD5"/>
    <w:rsid w:val="2F445A17"/>
    <w:rsid w:val="2FFA79B8"/>
    <w:rsid w:val="300C3454"/>
    <w:rsid w:val="30734186"/>
    <w:rsid w:val="3141241E"/>
    <w:rsid w:val="3143321D"/>
    <w:rsid w:val="32B42134"/>
    <w:rsid w:val="338F552F"/>
    <w:rsid w:val="33AA66D3"/>
    <w:rsid w:val="33D67027"/>
    <w:rsid w:val="33DC717B"/>
    <w:rsid w:val="342A4354"/>
    <w:rsid w:val="343967F9"/>
    <w:rsid w:val="34497B49"/>
    <w:rsid w:val="35C34CEE"/>
    <w:rsid w:val="35CC3B02"/>
    <w:rsid w:val="36270CCE"/>
    <w:rsid w:val="365D3C96"/>
    <w:rsid w:val="36801E8C"/>
    <w:rsid w:val="36BE3413"/>
    <w:rsid w:val="370B314C"/>
    <w:rsid w:val="37175B16"/>
    <w:rsid w:val="387E2D8D"/>
    <w:rsid w:val="391250F6"/>
    <w:rsid w:val="391765F8"/>
    <w:rsid w:val="392A450F"/>
    <w:rsid w:val="3988295B"/>
    <w:rsid w:val="39CE2CD4"/>
    <w:rsid w:val="3B5A50B3"/>
    <w:rsid w:val="3C205893"/>
    <w:rsid w:val="3C356D07"/>
    <w:rsid w:val="3C554BB4"/>
    <w:rsid w:val="3C9F32D2"/>
    <w:rsid w:val="3CDB45C0"/>
    <w:rsid w:val="3D015930"/>
    <w:rsid w:val="3D514C12"/>
    <w:rsid w:val="3D7E2120"/>
    <w:rsid w:val="3D9C7512"/>
    <w:rsid w:val="3E691934"/>
    <w:rsid w:val="3F655193"/>
    <w:rsid w:val="3FD77328"/>
    <w:rsid w:val="4097398F"/>
    <w:rsid w:val="40C27034"/>
    <w:rsid w:val="414E5D31"/>
    <w:rsid w:val="41734499"/>
    <w:rsid w:val="423845CC"/>
    <w:rsid w:val="431F7815"/>
    <w:rsid w:val="43BB576C"/>
    <w:rsid w:val="447041E2"/>
    <w:rsid w:val="44780252"/>
    <w:rsid w:val="44BB0797"/>
    <w:rsid w:val="45C200A6"/>
    <w:rsid w:val="45CB5918"/>
    <w:rsid w:val="4618793E"/>
    <w:rsid w:val="466F6683"/>
    <w:rsid w:val="472865F9"/>
    <w:rsid w:val="479B5637"/>
    <w:rsid w:val="48D079BD"/>
    <w:rsid w:val="48DB117D"/>
    <w:rsid w:val="48DC4B38"/>
    <w:rsid w:val="49952BFB"/>
    <w:rsid w:val="4A245CEA"/>
    <w:rsid w:val="4A8B31A4"/>
    <w:rsid w:val="4AA84606"/>
    <w:rsid w:val="4AD776B8"/>
    <w:rsid w:val="4B240B94"/>
    <w:rsid w:val="4B3936D2"/>
    <w:rsid w:val="4BC23B87"/>
    <w:rsid w:val="4D9E13BF"/>
    <w:rsid w:val="4F7565EE"/>
    <w:rsid w:val="4FA85A3F"/>
    <w:rsid w:val="4FC12673"/>
    <w:rsid w:val="50E1621B"/>
    <w:rsid w:val="514E7607"/>
    <w:rsid w:val="518B417F"/>
    <w:rsid w:val="519120E7"/>
    <w:rsid w:val="519C415B"/>
    <w:rsid w:val="52715BAF"/>
    <w:rsid w:val="52A051E8"/>
    <w:rsid w:val="5332672B"/>
    <w:rsid w:val="53AC4EE6"/>
    <w:rsid w:val="54433F77"/>
    <w:rsid w:val="54800EE8"/>
    <w:rsid w:val="54DD70BC"/>
    <w:rsid w:val="553648C7"/>
    <w:rsid w:val="55595031"/>
    <w:rsid w:val="55D53E38"/>
    <w:rsid w:val="5660410C"/>
    <w:rsid w:val="577C2446"/>
    <w:rsid w:val="57AD341C"/>
    <w:rsid w:val="57D337E3"/>
    <w:rsid w:val="58532A31"/>
    <w:rsid w:val="5946724B"/>
    <w:rsid w:val="5ACA5E95"/>
    <w:rsid w:val="5B2A5015"/>
    <w:rsid w:val="5B2B1605"/>
    <w:rsid w:val="5B2D5E88"/>
    <w:rsid w:val="5B323CDF"/>
    <w:rsid w:val="5BB40180"/>
    <w:rsid w:val="5C06475D"/>
    <w:rsid w:val="5CB5471F"/>
    <w:rsid w:val="5DD75341"/>
    <w:rsid w:val="5E390A01"/>
    <w:rsid w:val="5E6917CC"/>
    <w:rsid w:val="5F0B56F7"/>
    <w:rsid w:val="5F196D9D"/>
    <w:rsid w:val="5F5510AE"/>
    <w:rsid w:val="5F855433"/>
    <w:rsid w:val="62C25DC1"/>
    <w:rsid w:val="63531A67"/>
    <w:rsid w:val="63CB4BD5"/>
    <w:rsid w:val="64112095"/>
    <w:rsid w:val="64F54A34"/>
    <w:rsid w:val="65C62655"/>
    <w:rsid w:val="65D12305"/>
    <w:rsid w:val="65F06417"/>
    <w:rsid w:val="66253BCC"/>
    <w:rsid w:val="66477817"/>
    <w:rsid w:val="67400E0D"/>
    <w:rsid w:val="676D4A4E"/>
    <w:rsid w:val="67AB6BCA"/>
    <w:rsid w:val="67CB2379"/>
    <w:rsid w:val="67F86206"/>
    <w:rsid w:val="68785DD0"/>
    <w:rsid w:val="68E320F2"/>
    <w:rsid w:val="68EE79FA"/>
    <w:rsid w:val="69794D27"/>
    <w:rsid w:val="69DF727B"/>
    <w:rsid w:val="69EE78DD"/>
    <w:rsid w:val="69F501EC"/>
    <w:rsid w:val="6ADA3FAD"/>
    <w:rsid w:val="6BBE587D"/>
    <w:rsid w:val="6BC42954"/>
    <w:rsid w:val="6BD22CDA"/>
    <w:rsid w:val="6DEB54C0"/>
    <w:rsid w:val="6EEF3967"/>
    <w:rsid w:val="6F022403"/>
    <w:rsid w:val="6F213890"/>
    <w:rsid w:val="6F2F3D35"/>
    <w:rsid w:val="6F6949A1"/>
    <w:rsid w:val="6FAD572A"/>
    <w:rsid w:val="6FD3738D"/>
    <w:rsid w:val="70E43A9A"/>
    <w:rsid w:val="7120267B"/>
    <w:rsid w:val="71600BAE"/>
    <w:rsid w:val="71831F8E"/>
    <w:rsid w:val="71B65952"/>
    <w:rsid w:val="71EE4C72"/>
    <w:rsid w:val="72960D08"/>
    <w:rsid w:val="731F1B91"/>
    <w:rsid w:val="7380345E"/>
    <w:rsid w:val="738E0DB3"/>
    <w:rsid w:val="73CE36E7"/>
    <w:rsid w:val="741C5020"/>
    <w:rsid w:val="743620E5"/>
    <w:rsid w:val="748129B0"/>
    <w:rsid w:val="749E42A2"/>
    <w:rsid w:val="75566574"/>
    <w:rsid w:val="75923051"/>
    <w:rsid w:val="75BF3FCB"/>
    <w:rsid w:val="764C240E"/>
    <w:rsid w:val="765A1E3A"/>
    <w:rsid w:val="775E2B4B"/>
    <w:rsid w:val="78264E9C"/>
    <w:rsid w:val="784B7BCB"/>
    <w:rsid w:val="78692EDA"/>
    <w:rsid w:val="78B729A6"/>
    <w:rsid w:val="793B72B1"/>
    <w:rsid w:val="79926E07"/>
    <w:rsid w:val="7A230824"/>
    <w:rsid w:val="7ACB6AE2"/>
    <w:rsid w:val="7B3439EB"/>
    <w:rsid w:val="7BC16634"/>
    <w:rsid w:val="7D854EF8"/>
    <w:rsid w:val="7D9B22E6"/>
    <w:rsid w:val="7DC018B8"/>
    <w:rsid w:val="7E4D1904"/>
    <w:rsid w:val="7EC225A2"/>
    <w:rsid w:val="7EF2488C"/>
    <w:rsid w:val="7F3B5E12"/>
    <w:rsid w:val="7F551314"/>
    <w:rsid w:val="7F683E0B"/>
    <w:rsid w:val="7FF46CCB"/>
    <w:rsid w:val="7FFD19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before="0" w:beforeLines="0" w:after="0" w:afterLines="0" w:line="578" w:lineRule="atLeast"/>
      <w:ind w:left="0" w:right="0" w:firstLine="0"/>
      <w:jc w:val="both"/>
      <w:textAlignment w:val="baseline"/>
    </w:pPr>
    <w:rPr>
      <w:rFonts w:ascii="Times New Roman" w:eastAsia="宋体" w:hAnsiTheme="minorHAnsi" w:cstheme="minorBidi"/>
      <w:color w:val="000000"/>
      <w:spacing w:val="0"/>
      <w:w w:val="100"/>
      <w:sz w:val="21"/>
      <w:szCs w:val="22"/>
      <w:u w:val="none" w:color="000000"/>
      <w:vertAlign w:val="baseline"/>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Office_11.8.2.11542_F1E327BC-269C-435d-A152-05C5408002CA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vank</dc:creator>
  <cp:lastModifiedBy>vank</cp:lastModifiedBy>
  <cp:lastPrinted>2024-05-16T07:32:00Z</cp:lastPrinted>
  <dcterms:modified xsi:type="dcterms:W3CDTF">2024-07-24T08:03:13Z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2052-11.8.2.11542</vt:lpwstr>
  </property>
  <property fmtid="{D5CDD505-2E9C-101B-9397-08002B2CF9AE}" pid="3" name="ICV">
    <vt:lpwstr>2A94D96FF30E4DF8A5DE0FF1592C3301</vt:lpwstr>
  </property>
</Properties>
</file>