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4" w:lineRule="atLeast"/>
        <w:jc w:val="center"/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  <w:lang w:eastAsia="zh-CN"/>
        </w:rPr>
      </w:pPr>
      <w:r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</w:rPr>
        <w:t>魏都区人民政府</w:t>
      </w:r>
      <w:r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  <w:lang w:eastAsia="zh-CN"/>
        </w:rPr>
        <w:t>低温雨雪冰冻灾害</w:t>
      </w:r>
      <w:r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</w:rPr>
        <w:t>应急</w:t>
      </w:r>
      <w:r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  <w:lang w:eastAsia="zh-CN"/>
        </w:rPr>
        <w:t>指挥部办公室</w:t>
      </w:r>
    </w:p>
    <w:p>
      <w:pPr>
        <w:shd w:val="solid" w:color="FFFFFF" w:fill="auto"/>
        <w:autoSpaceDN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冰雪应</w:t>
      </w:r>
      <w:r>
        <w:rPr>
          <w:rFonts w:hint="eastAsia" w:ascii="仿宋_GB2312" w:hAnsi="仿宋_GB2312" w:eastAsia="仿宋_GB2312" w:cs="仿宋_GB2312"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20" w:lineRule="exact"/>
        <w:jc w:val="center"/>
        <w:rPr>
          <w:rFonts w:hint="eastAsia" w:ascii="仿宋_GB2312" w:hAnsi="宋体" w:eastAsia="仿宋_GB2312"/>
          <w:b/>
          <w:bCs/>
          <w:spacing w:val="-20"/>
          <w:sz w:val="44"/>
          <w:szCs w:val="44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78105</wp:posOffset>
                </wp:positionV>
                <wp:extent cx="5939790" cy="28575"/>
                <wp:effectExtent l="0" t="12700" r="381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285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55pt;margin-top:6.15pt;height:2.25pt;width:467.7pt;z-index:251659264;mso-width-relative:page;mso-height-relative:page;" filled="f" stroked="t" coordsize="21600,21600" o:gfxdata="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Q+z3s1gAAAAkBAAAPAAAAAAAAAAEAIAAAACIAAABkcnMv&#10;ZG93bnJldi54bWxQSwECFAAUAAAACACHTuJAB3YN9QUCAAABBAAADgAAAAAAAAABACAAAAAlAQAA&#10;ZHJzL2Uyb0RvYy54bWxQSwUGAAAAAAYABgBZAQAAn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00" w:leftChars="0" w:right="0" w:rightChars="0" w:hanging="800" w:hanging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魏都区人民政府低温雨雪冰冻灾害应急指挥部办公室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关于做好近期低温雨雪冰冻灾害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防范应对工作的通知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各街道办事处（开发区），区直及驻区各有关单位：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根据目前气象资料分析，预计1月31日至2月4日我市将出现明显雨雪冰冻、大风降温天气过程，其中1月31日夜里至2月4日，全市有中到大雪过程，部分时段伴有冻雨。雨雪过程后，将出现明显积雪和道路结冰。2月1日至2日受冷空气影响， 偏北风4～5级、阵风7级左右。2月1 日至4日气温明显下降，温度在-6～-2℃之间。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本轮雨雪天气恰逢春运返乡出行高峰，</w:t>
      </w:r>
      <w:r>
        <w:rPr>
          <w:rFonts w:hint="eastAsia" w:ascii="仿宋_GB2312" w:hAnsi="仿宋_GB2312" w:eastAsia="仿宋_GB2312" w:cs="仿宋_GB2312"/>
          <w:sz w:val="32"/>
          <w:szCs w:val="32"/>
        </w:rPr>
        <w:t>预计全社会跨区域人员流动量、自驾出行占比将创历史新高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为做好新一轮</w:t>
      </w: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低温雨雪冰冻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天气</w:t>
      </w: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防范应对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工作，现就有关事项通知如下。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一、提高政治站位，压实各方防范责任。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各街道办事处（开发区）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及相关部门要深入贯彻习近平总书记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关于低温雨雪冰冻灾害的重要指示精神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，按照省委省政府、市委市政府和区委区政府部署要求，进一步深化思想认识，牢固树立“两个至上”理念，坚决克服麻痹思想松懈情绪，以时时放心不下的责任感，高度重视低温雨雪冰冻灾害防范应对工作，持续压实责任链条，落实工作措施，全力做好各项防范应对工作，确保人民群众温暖过年、春运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二、持续会商研判，及时精准安排部署。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各街道办事处（开发区）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及相关部门要按照“123”“321”工作要求，密切关注天气变化，加强低温雨雪冰冻天气实况监测、分析预报，多渠道、多形式发布预报预警信息和防灾避灾提示，及时组织会商分析研判，精准评估低温雨雪冰冻灾害风险，根据本辖区本行业预案规定适时启动应急响应。各成员单位充分发挥统筹协调作用，科学安排部署防范应对措施，将防范措施落实落地。</w:t>
      </w:r>
    </w:p>
    <w:p>
      <w:pPr>
        <w:pStyle w:val="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</w:pPr>
      <w:r>
        <w:rPr>
          <w:rFonts w:hint="eastAsia" w:ascii="黑体" w:hAnsi="黑体" w:eastAsia="黑体" w:cs="黑体"/>
          <w:color w:val="auto"/>
          <w:spacing w:val="-6"/>
          <w:kern w:val="2"/>
          <w:sz w:val="32"/>
          <w:szCs w:val="32"/>
          <w:lang w:val="en-US" w:eastAsia="zh-CN" w:bidi="ar-SA"/>
        </w:rPr>
        <w:t>三、突出防御重点，</w:t>
      </w: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全面落实防范措施。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民生、交通、供电、供水、供暖、通信、稳定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”等重点环节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做好煤电油气保供工作，加强巡查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检修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，确保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eastAsia="zh-CN"/>
        </w:rPr>
        <w:t>城乡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基础设施运转正常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加强粮油肉蛋奶果蔬菌等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供给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，加强市场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监测监管，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eastAsia="zh-CN"/>
        </w:rPr>
        <w:t>维护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供需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eastAsia="zh-CN"/>
        </w:rPr>
        <w:t>秩序；加强重点路段、重点时段路面巡查管控力度，积极做好春运服务保障，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确保群众平安出行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物流畅通高效。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加强对</w:t>
      </w: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散居特困供养人员、孤儿、残疾人、生活困难人员、受灾群众、流浪乞讨人员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的关爱帮扶，守好民生底线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-6"/>
          <w:kern w:val="2"/>
          <w:sz w:val="32"/>
          <w:szCs w:val="32"/>
          <w:shd w:val="clear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-6"/>
          <w:kern w:val="2"/>
          <w:sz w:val="32"/>
          <w:szCs w:val="32"/>
          <w:shd w:val="clear"/>
          <w:lang w:eastAsia="zh-CN"/>
        </w:rPr>
        <w:t>及时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-6"/>
          <w:kern w:val="2"/>
          <w:sz w:val="32"/>
          <w:szCs w:val="32"/>
          <w:shd w:val="clear" w:fill="FFFFFF"/>
        </w:rPr>
        <w:t>排查风险，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-6"/>
          <w:kern w:val="2"/>
          <w:sz w:val="32"/>
          <w:szCs w:val="32"/>
          <w:shd w:val="clear"/>
          <w:lang w:val="en-US" w:eastAsia="zh-CN"/>
        </w:rPr>
        <w:t>预置物资装备力量。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/>
        </w:rPr>
        <w:t>及时开展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/>
        </w:rPr>
        <w:t>设施农业、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地质灾害隐患点、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/>
        </w:rPr>
        <w:t>户外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旅游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/>
        </w:rPr>
        <w:t>、野外施工、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/>
        </w:rPr>
        <w:t>水上作业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等领域隐患排查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/>
        </w:rPr>
        <w:t>采取专项措施针对用电、用火、用气激增可能导致的各类安全隐患和灾害事故，避免关键时期发生敏感事件。各级救援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/>
        </w:rPr>
        <w:t>抢险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/>
        </w:rPr>
        <w:t>队伍要做好恶劣天气下应急救援准备，确保人员、装备、物资到位，发生紧急情况能够迅速出动，必要情况下做好预置前置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对可能受到灾害威胁的群众，及时转移避险。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67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</w:rPr>
        <w:t>、加强值班值守，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/>
        </w:rPr>
        <w:t>广泛开展科普宣传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kern w:val="2"/>
          <w:sz w:val="32"/>
          <w:szCs w:val="32"/>
          <w:shd w:val="clear" w:fill="auto"/>
        </w:rPr>
        <w:t>严格执行24小时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-6"/>
          <w:kern w:val="2"/>
          <w:sz w:val="32"/>
          <w:szCs w:val="32"/>
          <w:shd w:val="clear"/>
          <w:lang w:eastAsia="zh-CN"/>
        </w:rPr>
        <w:t>应急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kern w:val="2"/>
          <w:sz w:val="32"/>
          <w:szCs w:val="32"/>
          <w:shd w:val="clear" w:fill="auto"/>
        </w:rPr>
        <w:t>值班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-6"/>
          <w:kern w:val="2"/>
          <w:sz w:val="32"/>
          <w:szCs w:val="32"/>
          <w:shd w:val="clear"/>
          <w:lang w:val="en-US" w:eastAsia="zh-CN"/>
        </w:rPr>
        <w:t>值守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kern w:val="2"/>
          <w:sz w:val="32"/>
          <w:szCs w:val="32"/>
          <w:shd w:val="clear" w:fill="auto"/>
        </w:rPr>
        <w:t>和领导干部在岗带班制度。严格落实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kern w:val="2"/>
          <w:sz w:val="32"/>
          <w:szCs w:val="32"/>
          <w:shd w:val="clear" w:fill="auto"/>
          <w:lang w:val="en-US" w:eastAsia="zh-CN"/>
        </w:rPr>
        <w:t>信息报告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kern w:val="2"/>
          <w:sz w:val="32"/>
          <w:szCs w:val="32"/>
          <w:shd w:val="clear" w:fill="auto"/>
        </w:rPr>
        <w:t>制度，重要情况第一时间报告并及时有效应对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-6"/>
          <w:kern w:val="2"/>
          <w:sz w:val="32"/>
          <w:szCs w:val="32"/>
          <w:shd w:val="clear"/>
          <w:lang w:val="en-US" w:eastAsia="zh-CN"/>
        </w:rPr>
        <w:t>处置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kern w:val="2"/>
          <w:sz w:val="32"/>
          <w:szCs w:val="32"/>
          <w:shd w:val="clear" w:fill="auto"/>
        </w:rPr>
        <w:t>，杜绝迟报漏报谎报瞒报。应急救援队伍要时刻保持应急状态，优化力量和装备编成，确保遇有突发事件第一时间响应。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加大科普宣传力度，提升社会公众防灾避险意识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密切监测网络舆情，正确引导社会公众心理预期并妥善处置网络舆情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-SA"/>
        </w:rPr>
        <w:t>，营造良好氛围。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67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67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67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017" w:firstLineChars="1568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2024年1月30日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/>
    <w:p>
      <w:pPr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ZDk5YTIyNWQ2NGQ5MmM1NzhiMGNhYjkzNmI5YmIifQ=="/>
  </w:docVars>
  <w:rsids>
    <w:rsidRoot w:val="2FCE09D3"/>
    <w:rsid w:val="2FCE09D3"/>
    <w:rsid w:val="63D351D4"/>
    <w:rsid w:val="71D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4">
    <w:name w:val="Body Text 2"/>
    <w:basedOn w:val="1"/>
    <w:autoRedefine/>
    <w:unhideWhenUsed/>
    <w:qFormat/>
    <w:uiPriority w:val="99"/>
    <w:pPr>
      <w:spacing w:before="100" w:beforeAutospacing="1" w:line="480" w:lineRule="auto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正文首行缩进1"/>
    <w:autoRedefine/>
    <w:qFormat/>
    <w:uiPriority w:val="0"/>
    <w:pPr>
      <w:spacing w:after="120" w:line="620" w:lineRule="exact"/>
      <w:ind w:firstLine="420" w:firstLineChars="100"/>
    </w:pPr>
    <w:rPr>
      <w:rFonts w:ascii="方正仿宋_GBK" w:hAnsi="方正仿宋_GBK" w:eastAsia="仿宋_GB2312" w:cs="Tahoma"/>
      <w:color w:val="000000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2023-12-09T01:53:00Z</dcterms:created>
  <dc:creator>执念你心</dc:creator>
  <cp:lastModifiedBy>执念你心</cp:lastModifiedBy>
  <dcterms:modified xsi:type="dcterms:W3CDTF">2024-01-30T06:49:01Z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A45A4903F97D499A9C458B5D9A9E64B4_11</vt:lpwstr>
  </property>
</Properties>
</file>