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ascii="仿宋_GB2312" w:eastAsia="仿宋_GB2312"/>
          <w:sz w:val="32"/>
          <w:szCs w:val="32"/>
        </w:rPr>
      </w:pPr>
      <w:r>
        <w:rPr>
          <w:rFonts w:hint="eastAsia" w:ascii="方正小标宋简体" w:hAnsi="方正小标宋简体" w:eastAsia="方正小标宋简体" w:cs="方正小标宋简体"/>
          <w:b w:val="0"/>
          <w:bCs/>
          <w:sz w:val="44"/>
          <w:szCs w:val="44"/>
        </w:rPr>
        <w:t>魏都区</w:t>
      </w:r>
      <w:r>
        <w:rPr>
          <w:rFonts w:hint="eastAsia" w:ascii="方正小标宋简体" w:hAnsi="方正小标宋简体" w:eastAsia="方正小标宋简体" w:cs="方正小标宋简体"/>
          <w:b w:val="0"/>
          <w:bCs/>
          <w:sz w:val="44"/>
          <w:szCs w:val="44"/>
          <w:lang w:eastAsia="zh-CN"/>
        </w:rPr>
        <w:t>农业农村局关于</w:t>
      </w:r>
      <w:r>
        <w:rPr>
          <w:rFonts w:hint="eastAsia" w:ascii="方正小标宋简体" w:hAnsi="方正小标宋简体" w:eastAsia="方正小标宋简体" w:cs="方正小标宋简体"/>
          <w:b w:val="0"/>
          <w:bCs/>
          <w:sz w:val="44"/>
          <w:szCs w:val="44"/>
          <w:lang w:val="en-US" w:eastAsia="zh-CN"/>
        </w:rPr>
        <w:t>2023年法治政府建设情况的报告</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宋体" w:eastAsia="仿宋_GB2312" w:cs="宋体"/>
          <w:kern w:val="0"/>
          <w:sz w:val="32"/>
          <w:szCs w:val="32"/>
        </w:rPr>
      </w:pP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firstLine="645"/>
        <w:jc w:val="both"/>
        <w:rPr>
          <w:rFonts w:ascii="微软雅黑" w:hAnsi="微软雅黑" w:eastAsia="微软雅黑" w:cs="微软雅黑"/>
          <w:b w:val="0"/>
          <w:bCs w:val="0"/>
          <w:i w:val="0"/>
          <w:iCs w:val="0"/>
          <w:caps w:val="0"/>
          <w:color w:val="000000"/>
          <w:spacing w:val="0"/>
          <w:sz w:val="24"/>
          <w:szCs w:val="24"/>
        </w:rPr>
      </w:pPr>
      <w:r>
        <w:rPr>
          <w:rFonts w:ascii="仿宋_GB2312" w:hAnsi="微软雅黑" w:eastAsia="仿宋_GB2312" w:cs="仿宋_GB2312"/>
          <w:b w:val="0"/>
          <w:bCs w:val="0"/>
          <w:i w:val="0"/>
          <w:iCs w:val="0"/>
          <w:caps w:val="0"/>
          <w:color w:val="000000"/>
          <w:spacing w:val="0"/>
          <w:sz w:val="31"/>
          <w:szCs w:val="31"/>
          <w:bdr w:val="none" w:color="auto" w:sz="0" w:space="0"/>
        </w:rPr>
        <w:t>今</w:t>
      </w:r>
      <w:r>
        <w:rPr>
          <w:rFonts w:hint="default" w:ascii="仿宋_GB2312" w:hAnsi="微软雅黑" w:eastAsia="仿宋_GB2312" w:cs="仿宋_GB2312"/>
          <w:b w:val="0"/>
          <w:bCs w:val="0"/>
          <w:i w:val="0"/>
          <w:iCs w:val="0"/>
          <w:caps w:val="0"/>
          <w:color w:val="000000"/>
          <w:spacing w:val="0"/>
          <w:sz w:val="31"/>
          <w:szCs w:val="31"/>
          <w:bdr w:val="none" w:color="auto" w:sz="0" w:space="0"/>
        </w:rPr>
        <w:t>年以来，在区委、区政府的正确领导下，在区依法治区办精心指导下，我局严格按照区委、区政府关于依法治区的工作安排部署，坚持以习近平新时代中国特色社会主义思想为指导，深入贯彻习近平法治思想和中央全面依法治国工作会议精神，以加强法治宣传教育，增强干部群众的法律意识和法治观念，以推进全面依法治区进程为根本出发点，努力开创农业系统依法行政新局面。</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firstLine="645"/>
        <w:rPr>
          <w:rFonts w:hint="eastAsia" w:ascii="微软雅黑" w:hAnsi="微软雅黑" w:eastAsia="微软雅黑" w:cs="微软雅黑"/>
          <w:b w:val="0"/>
          <w:bCs w:val="0"/>
          <w:i w:val="0"/>
          <w:iCs w:val="0"/>
          <w:caps w:val="0"/>
          <w:color w:val="000000"/>
          <w:spacing w:val="0"/>
          <w:sz w:val="24"/>
          <w:szCs w:val="24"/>
        </w:rPr>
      </w:pPr>
      <w:r>
        <w:rPr>
          <w:rFonts w:ascii="黑体" w:hAnsi="宋体" w:eastAsia="黑体" w:cs="黑体"/>
          <w:b w:val="0"/>
          <w:bCs w:val="0"/>
          <w:i w:val="0"/>
          <w:iCs w:val="0"/>
          <w:caps w:val="0"/>
          <w:color w:val="000000"/>
          <w:spacing w:val="0"/>
          <w:sz w:val="31"/>
          <w:szCs w:val="31"/>
          <w:bdr w:val="none" w:color="auto" w:sz="0" w:space="0"/>
        </w:rPr>
        <w:t>一、</w:t>
      </w:r>
      <w:r>
        <w:rPr>
          <w:rFonts w:hint="eastAsia" w:ascii="黑体" w:hAnsi="宋体" w:eastAsia="黑体" w:cs="黑体"/>
          <w:b w:val="0"/>
          <w:bCs w:val="0"/>
          <w:i w:val="0"/>
          <w:iCs w:val="0"/>
          <w:caps w:val="0"/>
          <w:color w:val="000000"/>
          <w:spacing w:val="0"/>
          <w:sz w:val="31"/>
          <w:szCs w:val="31"/>
          <w:bdr w:val="none" w:color="auto" w:sz="0" w:space="0"/>
        </w:rPr>
        <w:t>党政主要负责人履行推进法治建设第一责任人职责加强法治政府建设的有关情况</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firstLine="645"/>
        <w:rPr>
          <w:rFonts w:hint="eastAsia" w:ascii="微软雅黑" w:hAnsi="微软雅黑" w:eastAsia="微软雅黑" w:cs="微软雅黑"/>
          <w:b w:val="0"/>
          <w:bCs w:val="0"/>
          <w:i w:val="0"/>
          <w:iCs w:val="0"/>
          <w:caps w:val="0"/>
          <w:color w:val="000000"/>
          <w:spacing w:val="0"/>
          <w:sz w:val="24"/>
          <w:szCs w:val="24"/>
        </w:rPr>
      </w:pPr>
      <w:r>
        <w:rPr>
          <w:rFonts w:hint="default" w:ascii="仿宋_GB2312" w:hAnsi="微软雅黑" w:eastAsia="仿宋_GB2312" w:cs="仿宋_GB2312"/>
          <w:b w:val="0"/>
          <w:bCs w:val="0"/>
          <w:i w:val="0"/>
          <w:iCs w:val="0"/>
          <w:caps w:val="0"/>
          <w:color w:val="000000"/>
          <w:spacing w:val="0"/>
          <w:sz w:val="31"/>
          <w:szCs w:val="31"/>
          <w:bdr w:val="none" w:color="auto" w:sz="0" w:space="0"/>
        </w:rPr>
        <w:t>为了加强法治建设的组织领导，我局成立了魏都区农业农村局法治建设领导小组，由党组书记、局长担任组长，作为法治建设第一责任人，党组成员、副局长分管领导任副组长，各股室负责人为成员，领导小组办公室设在农业农村局办公室。局党组多次听取法治建设工作汇报，研究部署法治建设相关工作，特别是对权力清单清理事项多次组织专题研究。落实牵头股室，定期向法治办报送依法行政工作推进情况的信息。在年初制定了全年的工作计划，分阶段安排好学法培训、专题会议等重要工作。</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firstLine="645"/>
        <w:jc w:val="both"/>
        <w:rPr>
          <w:rFonts w:hint="eastAsia" w:ascii="微软雅黑" w:hAnsi="微软雅黑" w:eastAsia="微软雅黑" w:cs="微软雅黑"/>
          <w:b w:val="0"/>
          <w:bCs w:val="0"/>
          <w:i w:val="0"/>
          <w:iCs w:val="0"/>
          <w:caps w:val="0"/>
          <w:color w:val="000000"/>
          <w:spacing w:val="0"/>
          <w:sz w:val="24"/>
          <w:szCs w:val="24"/>
        </w:rPr>
      </w:pPr>
      <w:r>
        <w:rPr>
          <w:rFonts w:hint="eastAsia" w:ascii="黑体" w:hAnsi="宋体" w:eastAsia="黑体" w:cs="黑体"/>
          <w:b w:val="0"/>
          <w:bCs w:val="0"/>
          <w:i w:val="0"/>
          <w:iCs w:val="0"/>
          <w:caps w:val="0"/>
          <w:color w:val="000000"/>
          <w:spacing w:val="0"/>
          <w:sz w:val="31"/>
          <w:szCs w:val="31"/>
          <w:bdr w:val="none" w:color="auto" w:sz="0" w:space="0"/>
        </w:rPr>
        <w:t>二、推进法治政府建设的主要举措和成效</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firstLine="645"/>
        <w:jc w:val="both"/>
        <w:rPr>
          <w:rFonts w:hint="eastAsia" w:ascii="微软雅黑" w:hAnsi="微软雅黑" w:eastAsia="微软雅黑" w:cs="微软雅黑"/>
          <w:b w:val="0"/>
          <w:bCs w:val="0"/>
          <w:i w:val="0"/>
          <w:iCs w:val="0"/>
          <w:caps w:val="0"/>
          <w:color w:val="000000"/>
          <w:spacing w:val="0"/>
          <w:sz w:val="24"/>
          <w:szCs w:val="24"/>
        </w:rPr>
      </w:pPr>
      <w:r>
        <w:rPr>
          <w:rFonts w:ascii="楷体_GB2312" w:hAnsi="微软雅黑" w:eastAsia="楷体_GB2312" w:cs="楷体_GB2312"/>
          <w:i w:val="0"/>
          <w:iCs w:val="0"/>
          <w:caps w:val="0"/>
          <w:color w:val="000000"/>
          <w:spacing w:val="0"/>
          <w:sz w:val="31"/>
          <w:szCs w:val="31"/>
          <w:bdr w:val="none" w:color="auto" w:sz="0" w:space="0"/>
        </w:rPr>
        <w:t>（</w:t>
      </w:r>
      <w:r>
        <w:rPr>
          <w:rStyle w:val="9"/>
          <w:rFonts w:hint="default" w:ascii="楷体_GB2312" w:hAnsi="微软雅黑" w:eastAsia="楷体_GB2312" w:cs="楷体_GB2312"/>
          <w:i w:val="0"/>
          <w:iCs w:val="0"/>
          <w:caps w:val="0"/>
          <w:color w:val="000000"/>
          <w:spacing w:val="0"/>
          <w:sz w:val="31"/>
          <w:szCs w:val="31"/>
          <w:bdr w:val="none" w:color="auto" w:sz="0" w:space="0"/>
        </w:rPr>
        <w:t>一</w:t>
      </w:r>
      <w:r>
        <w:rPr>
          <w:rFonts w:hint="default" w:ascii="楷体_GB2312" w:hAnsi="微软雅黑" w:eastAsia="楷体_GB2312" w:cs="楷体_GB2312"/>
          <w:i w:val="0"/>
          <w:iCs w:val="0"/>
          <w:caps w:val="0"/>
          <w:color w:val="000000"/>
          <w:spacing w:val="0"/>
          <w:sz w:val="31"/>
          <w:szCs w:val="31"/>
          <w:bdr w:val="none" w:color="auto" w:sz="0" w:space="0"/>
        </w:rPr>
        <w:t>）</w:t>
      </w:r>
      <w:r>
        <w:rPr>
          <w:rStyle w:val="9"/>
          <w:rFonts w:hint="default" w:ascii="楷体_GB2312" w:hAnsi="微软雅黑" w:eastAsia="楷体_GB2312" w:cs="楷体_GB2312"/>
          <w:i w:val="0"/>
          <w:iCs w:val="0"/>
          <w:caps w:val="0"/>
          <w:color w:val="000000"/>
          <w:spacing w:val="0"/>
          <w:sz w:val="31"/>
          <w:szCs w:val="31"/>
          <w:bdr w:val="none" w:color="auto" w:sz="0" w:space="0"/>
        </w:rPr>
        <w:t>加强理论学习，提高思想认识。</w:t>
      </w:r>
      <w:r>
        <w:rPr>
          <w:rFonts w:hint="default" w:ascii="仿宋_GB2312" w:hAnsi="微软雅黑" w:eastAsia="仿宋_GB2312" w:cs="仿宋_GB2312"/>
          <w:b w:val="0"/>
          <w:bCs w:val="0"/>
          <w:i w:val="0"/>
          <w:iCs w:val="0"/>
          <w:caps w:val="0"/>
          <w:color w:val="000000"/>
          <w:spacing w:val="0"/>
          <w:sz w:val="31"/>
          <w:szCs w:val="31"/>
          <w:bdr w:val="none" w:color="auto" w:sz="0" w:space="0"/>
        </w:rPr>
        <w:t>把习近平总书记全面依法治国的重要论述，习近平总书记全面依法治国的新理念新思想新战略，列入局党组中心组学习内容，把学习习近平全面依法治国新理、念新思、想新战略作为全局“八五”普法的首要任务，进一步推动了农业干部职工学法、知法、用法，提高干部职工学法、知法、用法、管法的思想认识。</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firstLine="645"/>
        <w:rPr>
          <w:rFonts w:hint="eastAsia" w:ascii="微软雅黑" w:hAnsi="微软雅黑" w:eastAsia="微软雅黑" w:cs="微软雅黑"/>
          <w:b w:val="0"/>
          <w:bCs w:val="0"/>
          <w:i w:val="0"/>
          <w:iCs w:val="0"/>
          <w:caps w:val="0"/>
          <w:color w:val="000000"/>
          <w:spacing w:val="0"/>
          <w:sz w:val="24"/>
          <w:szCs w:val="24"/>
        </w:rPr>
      </w:pPr>
      <w:r>
        <w:rPr>
          <w:rFonts w:hint="default" w:ascii="楷体_GB2312" w:hAnsi="微软雅黑" w:eastAsia="楷体_GB2312" w:cs="楷体_GB2312"/>
          <w:i w:val="0"/>
          <w:iCs w:val="0"/>
          <w:caps w:val="0"/>
          <w:color w:val="000000"/>
          <w:spacing w:val="0"/>
          <w:sz w:val="31"/>
          <w:szCs w:val="31"/>
          <w:bdr w:val="none" w:color="auto" w:sz="0" w:space="0"/>
        </w:rPr>
        <w:t>（</w:t>
      </w:r>
      <w:r>
        <w:rPr>
          <w:rStyle w:val="9"/>
          <w:rFonts w:hint="default" w:ascii="楷体_GB2312" w:hAnsi="微软雅黑" w:eastAsia="楷体_GB2312" w:cs="楷体_GB2312"/>
          <w:i w:val="0"/>
          <w:iCs w:val="0"/>
          <w:caps w:val="0"/>
          <w:color w:val="000000"/>
          <w:spacing w:val="0"/>
          <w:sz w:val="31"/>
          <w:szCs w:val="31"/>
          <w:bdr w:val="none" w:color="auto" w:sz="0" w:space="0"/>
        </w:rPr>
        <w:t>二</w:t>
      </w:r>
      <w:r>
        <w:rPr>
          <w:rFonts w:hint="default" w:ascii="楷体_GB2312" w:hAnsi="微软雅黑" w:eastAsia="楷体_GB2312" w:cs="楷体_GB2312"/>
          <w:i w:val="0"/>
          <w:iCs w:val="0"/>
          <w:caps w:val="0"/>
          <w:color w:val="000000"/>
          <w:spacing w:val="0"/>
          <w:sz w:val="31"/>
          <w:szCs w:val="31"/>
          <w:bdr w:val="none" w:color="auto" w:sz="0" w:space="0"/>
        </w:rPr>
        <w:t>）</w:t>
      </w:r>
      <w:r>
        <w:rPr>
          <w:rStyle w:val="9"/>
          <w:rFonts w:hint="default" w:ascii="楷体_GB2312" w:hAnsi="微软雅黑" w:eastAsia="楷体_GB2312" w:cs="楷体_GB2312"/>
          <w:i w:val="0"/>
          <w:iCs w:val="0"/>
          <w:caps w:val="0"/>
          <w:color w:val="000000"/>
          <w:spacing w:val="0"/>
          <w:sz w:val="31"/>
          <w:szCs w:val="31"/>
          <w:bdr w:val="none" w:color="auto" w:sz="0" w:space="0"/>
        </w:rPr>
        <w:t>切实健全学法、知法、用法制度。</w:t>
      </w:r>
      <w:r>
        <w:rPr>
          <w:rFonts w:hint="default" w:ascii="仿宋_GB2312" w:hAnsi="微软雅黑" w:eastAsia="仿宋_GB2312" w:cs="仿宋_GB2312"/>
          <w:b w:val="0"/>
          <w:bCs w:val="0"/>
          <w:i w:val="0"/>
          <w:iCs w:val="0"/>
          <w:caps w:val="0"/>
          <w:color w:val="000000"/>
          <w:spacing w:val="0"/>
          <w:sz w:val="31"/>
          <w:szCs w:val="31"/>
          <w:bdr w:val="none" w:color="auto" w:sz="0" w:space="0"/>
        </w:rPr>
        <w:t>为进一步提高依法决策、依法行政、依法管理、依法办事和运用法治思维解决问题的能力和水平，全面推进农业、农村法治建设，局党组坚持领导干部带头学习法律、带头遵守法律、带头依法用权，先后学习了《中华人民共和国农业法》《基本农田保护条例》《中华人民共和国畜牧法》《中华人民共和国动物防疫法》《中华人民共和国农产品质量安全法》等法律法规，进一步强化了领导和干部职工的法律意识，提高了领导干部依法行政能力。</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firstLine="645"/>
        <w:rPr>
          <w:rFonts w:hint="eastAsia" w:ascii="微软雅黑" w:hAnsi="微软雅黑" w:eastAsia="微软雅黑" w:cs="微软雅黑"/>
          <w:b w:val="0"/>
          <w:bCs w:val="0"/>
          <w:i w:val="0"/>
          <w:iCs w:val="0"/>
          <w:caps w:val="0"/>
          <w:color w:val="000000"/>
          <w:spacing w:val="0"/>
          <w:sz w:val="24"/>
          <w:szCs w:val="24"/>
        </w:rPr>
      </w:pPr>
      <w:r>
        <w:rPr>
          <w:rFonts w:hint="default" w:ascii="楷体_GB2312" w:hAnsi="微软雅黑" w:eastAsia="楷体_GB2312" w:cs="楷体_GB2312"/>
          <w:i w:val="0"/>
          <w:iCs w:val="0"/>
          <w:caps w:val="0"/>
          <w:color w:val="000000"/>
          <w:spacing w:val="0"/>
          <w:sz w:val="31"/>
          <w:szCs w:val="31"/>
          <w:bdr w:val="none" w:color="auto" w:sz="0" w:space="0"/>
        </w:rPr>
        <w:t>（</w:t>
      </w:r>
      <w:r>
        <w:rPr>
          <w:rStyle w:val="9"/>
          <w:rFonts w:hint="default" w:ascii="楷体_GB2312" w:hAnsi="微软雅黑" w:eastAsia="楷体_GB2312" w:cs="楷体_GB2312"/>
          <w:i w:val="0"/>
          <w:iCs w:val="0"/>
          <w:caps w:val="0"/>
          <w:color w:val="000000"/>
          <w:spacing w:val="0"/>
          <w:sz w:val="31"/>
          <w:szCs w:val="31"/>
          <w:bdr w:val="none" w:color="auto" w:sz="0" w:space="0"/>
        </w:rPr>
        <w:t>三</w:t>
      </w:r>
      <w:r>
        <w:rPr>
          <w:rFonts w:hint="default" w:ascii="楷体_GB2312" w:hAnsi="微软雅黑" w:eastAsia="楷体_GB2312" w:cs="楷体_GB2312"/>
          <w:i w:val="0"/>
          <w:iCs w:val="0"/>
          <w:caps w:val="0"/>
          <w:color w:val="000000"/>
          <w:spacing w:val="0"/>
          <w:sz w:val="31"/>
          <w:szCs w:val="31"/>
          <w:bdr w:val="none" w:color="auto" w:sz="0" w:space="0"/>
        </w:rPr>
        <w:t>)深入</w:t>
      </w:r>
      <w:r>
        <w:rPr>
          <w:rStyle w:val="9"/>
          <w:rFonts w:hint="default" w:ascii="楷体_GB2312" w:hAnsi="微软雅黑" w:eastAsia="楷体_GB2312" w:cs="楷体_GB2312"/>
          <w:i w:val="0"/>
          <w:iCs w:val="0"/>
          <w:caps w:val="0"/>
          <w:color w:val="000000"/>
          <w:spacing w:val="0"/>
          <w:sz w:val="31"/>
          <w:szCs w:val="31"/>
          <w:bdr w:val="none" w:color="auto" w:sz="0" w:space="0"/>
        </w:rPr>
        <w:t>开展“学法用法”活动，提高干部群众的法律意识。</w:t>
      </w:r>
      <w:r>
        <w:rPr>
          <w:rFonts w:hint="default" w:ascii="仿宋_GB2312" w:hAnsi="微软雅黑" w:eastAsia="仿宋_GB2312" w:cs="仿宋_GB2312"/>
          <w:b w:val="0"/>
          <w:bCs w:val="0"/>
          <w:i w:val="0"/>
          <w:iCs w:val="0"/>
          <w:caps w:val="0"/>
          <w:color w:val="000000"/>
          <w:spacing w:val="0"/>
          <w:sz w:val="31"/>
          <w:szCs w:val="31"/>
          <w:bdr w:val="none" w:color="auto" w:sz="0" w:space="0"/>
        </w:rPr>
        <w:t>一是组织党员、干部职工学法用法。全局党员、干部职工全部参加学法用法普法学习，参与率100%；二是新增执法人员积极参加执法证考试。通过学法用法，对于提高行政执法能力，推进法治政府建设有良好的促进作用。</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firstLine="645"/>
        <w:rPr>
          <w:rFonts w:hint="eastAsia" w:ascii="微软雅黑" w:hAnsi="微软雅黑" w:eastAsia="微软雅黑" w:cs="微软雅黑"/>
          <w:b w:val="0"/>
          <w:bCs w:val="0"/>
          <w:i w:val="0"/>
          <w:iCs w:val="0"/>
          <w:caps w:val="0"/>
          <w:color w:val="000000"/>
          <w:spacing w:val="0"/>
          <w:sz w:val="24"/>
          <w:szCs w:val="24"/>
        </w:rPr>
      </w:pPr>
      <w:r>
        <w:rPr>
          <w:rFonts w:hint="default" w:ascii="楷体_GB2312" w:hAnsi="微软雅黑" w:eastAsia="楷体_GB2312" w:cs="楷体_GB2312"/>
          <w:i w:val="0"/>
          <w:iCs w:val="0"/>
          <w:caps w:val="0"/>
          <w:color w:val="000000"/>
          <w:spacing w:val="0"/>
          <w:sz w:val="31"/>
          <w:szCs w:val="31"/>
          <w:bdr w:val="none" w:color="auto" w:sz="0" w:space="0"/>
        </w:rPr>
        <w:t>（</w:t>
      </w:r>
      <w:r>
        <w:rPr>
          <w:rStyle w:val="9"/>
          <w:rFonts w:hint="default" w:ascii="楷体_GB2312" w:hAnsi="微软雅黑" w:eastAsia="楷体_GB2312" w:cs="楷体_GB2312"/>
          <w:i w:val="0"/>
          <w:iCs w:val="0"/>
          <w:caps w:val="0"/>
          <w:color w:val="000000"/>
          <w:spacing w:val="0"/>
          <w:sz w:val="31"/>
          <w:szCs w:val="31"/>
          <w:bdr w:val="none" w:color="auto" w:sz="0" w:space="0"/>
        </w:rPr>
        <w:t>四</w:t>
      </w:r>
      <w:r>
        <w:rPr>
          <w:rFonts w:hint="default" w:ascii="楷体_GB2312" w:hAnsi="微软雅黑" w:eastAsia="楷体_GB2312" w:cs="楷体_GB2312"/>
          <w:i w:val="0"/>
          <w:iCs w:val="0"/>
          <w:caps w:val="0"/>
          <w:color w:val="000000"/>
          <w:spacing w:val="0"/>
          <w:sz w:val="31"/>
          <w:szCs w:val="31"/>
          <w:bdr w:val="none" w:color="auto" w:sz="0" w:space="0"/>
        </w:rPr>
        <w:t>)广泛</w:t>
      </w:r>
      <w:r>
        <w:rPr>
          <w:rStyle w:val="9"/>
          <w:rFonts w:hint="default" w:ascii="楷体_GB2312" w:hAnsi="微软雅黑" w:eastAsia="楷体_GB2312" w:cs="楷体_GB2312"/>
          <w:i w:val="0"/>
          <w:iCs w:val="0"/>
          <w:caps w:val="0"/>
          <w:color w:val="000000"/>
          <w:spacing w:val="0"/>
          <w:sz w:val="31"/>
          <w:szCs w:val="31"/>
          <w:bdr w:val="none" w:color="auto" w:sz="0" w:space="0"/>
        </w:rPr>
        <w:t>宣传，积极营造浓厚舆论氛围。</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firstLine="645"/>
        <w:rPr>
          <w:rFonts w:hint="eastAsia" w:ascii="微软雅黑" w:hAnsi="微软雅黑" w:eastAsia="微软雅黑" w:cs="微软雅黑"/>
          <w:b w:val="0"/>
          <w:bCs w:val="0"/>
          <w:i w:val="0"/>
          <w:iCs w:val="0"/>
          <w:caps w:val="0"/>
          <w:color w:val="000000"/>
          <w:spacing w:val="0"/>
          <w:sz w:val="24"/>
          <w:szCs w:val="24"/>
        </w:rPr>
      </w:pPr>
      <w:r>
        <w:rPr>
          <w:rFonts w:hint="default" w:ascii="仿宋_GB2312" w:hAnsi="微软雅黑" w:eastAsia="仿宋_GB2312" w:cs="仿宋_GB2312"/>
          <w:b w:val="0"/>
          <w:bCs w:val="0"/>
          <w:i w:val="0"/>
          <w:iCs w:val="0"/>
          <w:caps w:val="0"/>
          <w:color w:val="000000"/>
          <w:spacing w:val="0"/>
          <w:sz w:val="31"/>
          <w:szCs w:val="31"/>
          <w:bdr w:val="none" w:color="auto" w:sz="0" w:space="0"/>
        </w:rPr>
        <w:t>“三夏”“三秋”生产期间我局农业、农技、畜牧相关人员深入田间地头宣传相关法律知识，提高我区涉农社区居民农业法律意识。印制和发放相关法律知识宣传册，并通过广播、标语等形式，广泛开展农业、农村相关法律法规宣传。全年共发放各种法律法规宣传册（页）3000余份。</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firstLine="645"/>
        <w:jc w:val="both"/>
        <w:rPr>
          <w:rFonts w:hint="eastAsia" w:ascii="微软雅黑" w:hAnsi="微软雅黑" w:eastAsia="微软雅黑" w:cs="微软雅黑"/>
          <w:b w:val="0"/>
          <w:bCs w:val="0"/>
          <w:i w:val="0"/>
          <w:iCs w:val="0"/>
          <w:caps w:val="0"/>
          <w:color w:val="000000"/>
          <w:spacing w:val="0"/>
          <w:sz w:val="24"/>
          <w:szCs w:val="24"/>
        </w:rPr>
      </w:pPr>
      <w:r>
        <w:rPr>
          <w:rFonts w:hint="eastAsia" w:ascii="黑体" w:hAnsi="宋体" w:eastAsia="黑体" w:cs="黑体"/>
          <w:b w:val="0"/>
          <w:bCs w:val="0"/>
          <w:i w:val="0"/>
          <w:iCs w:val="0"/>
          <w:caps w:val="0"/>
          <w:color w:val="000000"/>
          <w:spacing w:val="0"/>
          <w:sz w:val="31"/>
          <w:szCs w:val="31"/>
          <w:bdr w:val="none" w:color="auto" w:sz="0" w:space="0"/>
        </w:rPr>
        <w:t>三、推进法治政府建设存在的不足和问题整改情况</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firstLine="645"/>
        <w:jc w:val="both"/>
        <w:rPr>
          <w:rFonts w:hint="eastAsia" w:ascii="微软雅黑" w:hAnsi="微软雅黑" w:eastAsia="微软雅黑" w:cs="微软雅黑"/>
          <w:b w:val="0"/>
          <w:bCs w:val="0"/>
          <w:i w:val="0"/>
          <w:iCs w:val="0"/>
          <w:caps w:val="0"/>
          <w:color w:val="000000"/>
          <w:spacing w:val="0"/>
          <w:sz w:val="24"/>
          <w:szCs w:val="24"/>
        </w:rPr>
      </w:pPr>
      <w:r>
        <w:rPr>
          <w:rFonts w:hint="default" w:ascii="仿宋_GB2312" w:hAnsi="微软雅黑" w:eastAsia="仿宋_GB2312" w:cs="仿宋_GB2312"/>
          <w:b w:val="0"/>
          <w:bCs w:val="0"/>
          <w:i w:val="0"/>
          <w:iCs w:val="0"/>
          <w:caps w:val="0"/>
          <w:color w:val="000000"/>
          <w:spacing w:val="0"/>
          <w:sz w:val="31"/>
          <w:szCs w:val="31"/>
          <w:bdr w:val="none" w:color="auto" w:sz="0" w:space="0"/>
        </w:rPr>
        <w:t>2023年区农业农村局法治建设工作虽取得了一定的成效，但与上级要求还存在一定的差距，主要表现在：一是法律法规学习还不够系统深入，运用法律处理疑难复杂问题的能力还需要进一步提升。二是工作中习惯于把任务和责任分解下去，对有些工作疏于指导，在督促落实上缺乏力度。三是个别干部法治意识有待提高。个别工作人员法治意识不强，不习惯不善于用法治思维、法治方式和法律手段来管理和处理行政事务。</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firstLine="645"/>
        <w:rPr>
          <w:rFonts w:hint="eastAsia" w:ascii="微软雅黑" w:hAnsi="微软雅黑" w:eastAsia="微软雅黑" w:cs="微软雅黑"/>
          <w:b w:val="0"/>
          <w:bCs w:val="0"/>
          <w:i w:val="0"/>
          <w:iCs w:val="0"/>
          <w:caps w:val="0"/>
          <w:color w:val="000000"/>
          <w:spacing w:val="0"/>
          <w:sz w:val="24"/>
          <w:szCs w:val="24"/>
        </w:rPr>
      </w:pPr>
      <w:r>
        <w:rPr>
          <w:rFonts w:hint="eastAsia" w:ascii="黑体" w:hAnsi="宋体" w:eastAsia="黑体" w:cs="黑体"/>
          <w:b w:val="0"/>
          <w:bCs w:val="0"/>
          <w:i w:val="0"/>
          <w:iCs w:val="0"/>
          <w:caps w:val="0"/>
          <w:color w:val="000000"/>
          <w:spacing w:val="0"/>
          <w:sz w:val="31"/>
          <w:szCs w:val="31"/>
          <w:bdr w:val="none" w:color="auto" w:sz="0" w:space="0"/>
        </w:rPr>
        <w:t>四、下一年度推进法治政府建设的初步安排</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firstLine="645"/>
        <w:rPr>
          <w:rFonts w:hint="eastAsia" w:ascii="微软雅黑" w:hAnsi="微软雅黑" w:eastAsia="微软雅黑" w:cs="微软雅黑"/>
          <w:b w:val="0"/>
          <w:bCs w:val="0"/>
          <w:i w:val="0"/>
          <w:iCs w:val="0"/>
          <w:caps w:val="0"/>
          <w:color w:val="000000"/>
          <w:spacing w:val="0"/>
          <w:sz w:val="24"/>
          <w:szCs w:val="24"/>
        </w:rPr>
      </w:pPr>
      <w:r>
        <w:rPr>
          <w:rFonts w:hint="default" w:ascii="仿宋_GB2312" w:hAnsi="微软雅黑" w:eastAsia="仿宋_GB2312" w:cs="仿宋_GB2312"/>
          <w:b w:val="0"/>
          <w:bCs w:val="0"/>
          <w:i w:val="0"/>
          <w:iCs w:val="0"/>
          <w:caps w:val="0"/>
          <w:color w:val="000000"/>
          <w:spacing w:val="0"/>
          <w:sz w:val="31"/>
          <w:szCs w:val="31"/>
          <w:bdr w:val="none" w:color="auto" w:sz="0" w:space="0"/>
        </w:rPr>
        <w:t>下步工作中，我局将继续坚决履行推进法治建设“第一责任人”的职责，完善党组决策机制，实施依法、科学和民主决策，扎实开展好普法宣传活动，逐步健全法治宣传机制，完善服务保障体系，切实为推进全局法治工作做出应有贡献。</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firstLine="645"/>
        <w:rPr>
          <w:rFonts w:hint="eastAsia" w:ascii="微软雅黑" w:hAnsi="微软雅黑" w:eastAsia="微软雅黑" w:cs="微软雅黑"/>
          <w:b w:val="0"/>
          <w:bCs w:val="0"/>
          <w:i w:val="0"/>
          <w:iCs w:val="0"/>
          <w:caps w:val="0"/>
          <w:color w:val="000000"/>
          <w:spacing w:val="0"/>
          <w:sz w:val="24"/>
          <w:szCs w:val="24"/>
        </w:rPr>
      </w:pPr>
      <w:r>
        <w:rPr>
          <w:rFonts w:hint="default" w:ascii="仿宋_GB2312" w:hAnsi="微软雅黑" w:eastAsia="仿宋_GB2312" w:cs="仿宋_GB2312"/>
          <w:b w:val="0"/>
          <w:bCs w:val="0"/>
          <w:i w:val="0"/>
          <w:iCs w:val="0"/>
          <w:caps w:val="0"/>
          <w:color w:val="000000"/>
          <w:spacing w:val="0"/>
          <w:sz w:val="31"/>
          <w:szCs w:val="31"/>
          <w:bdr w:val="none" w:color="auto" w:sz="0" w:space="0"/>
        </w:rPr>
        <w:t>一、带头培育文明理性的法治环境。带头学法知法守法，加强理论武装，坚定理想信念。自觉尊崇宪法，把牢理想信念观念。</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firstLine="645"/>
        <w:rPr>
          <w:rFonts w:hint="eastAsia" w:ascii="微软雅黑" w:hAnsi="微软雅黑" w:eastAsia="微软雅黑" w:cs="微软雅黑"/>
          <w:b w:val="0"/>
          <w:bCs w:val="0"/>
          <w:i w:val="0"/>
          <w:iCs w:val="0"/>
          <w:caps w:val="0"/>
          <w:color w:val="000000"/>
          <w:spacing w:val="0"/>
          <w:sz w:val="24"/>
          <w:szCs w:val="24"/>
        </w:rPr>
      </w:pPr>
      <w:r>
        <w:rPr>
          <w:rFonts w:hint="default" w:ascii="仿宋_GB2312" w:hAnsi="微软雅黑" w:eastAsia="仿宋_GB2312" w:cs="仿宋_GB2312"/>
          <w:b w:val="0"/>
          <w:bCs w:val="0"/>
          <w:i w:val="0"/>
          <w:iCs w:val="0"/>
          <w:caps w:val="0"/>
          <w:color w:val="000000"/>
          <w:spacing w:val="0"/>
          <w:sz w:val="31"/>
          <w:szCs w:val="31"/>
          <w:bdr w:val="none" w:color="auto" w:sz="0" w:space="0"/>
        </w:rPr>
        <w:t>二、强化队伍建设。加大执法队伍的建设力度，严格落实执法人员持证上岗和资格管理制度，做好对执法人员特别是基层执法人员专业知识、执法能力、执法科学化、规范化、常态化管理。</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firstLine="645"/>
        <w:rPr>
          <w:rFonts w:hint="eastAsia" w:ascii="微软雅黑" w:hAnsi="微软雅黑" w:eastAsia="微软雅黑" w:cs="微软雅黑"/>
          <w:b w:val="0"/>
          <w:bCs w:val="0"/>
          <w:i w:val="0"/>
          <w:iCs w:val="0"/>
          <w:caps w:val="0"/>
          <w:color w:val="000000"/>
          <w:spacing w:val="0"/>
          <w:sz w:val="24"/>
          <w:szCs w:val="24"/>
        </w:rPr>
      </w:pPr>
      <w:r>
        <w:rPr>
          <w:rFonts w:hint="default" w:ascii="仿宋_GB2312" w:hAnsi="微软雅黑" w:eastAsia="仿宋_GB2312" w:cs="仿宋_GB2312"/>
          <w:b w:val="0"/>
          <w:bCs w:val="0"/>
          <w:i w:val="0"/>
          <w:iCs w:val="0"/>
          <w:caps w:val="0"/>
          <w:color w:val="000000"/>
          <w:spacing w:val="0"/>
          <w:sz w:val="31"/>
          <w:szCs w:val="31"/>
          <w:bdr w:val="none" w:color="auto" w:sz="0" w:space="0"/>
        </w:rPr>
        <w:t>三、健全行政执法监督制度。以行政执法“四项制度”为抓手，强化行政执法裁量权基准制度、执法公示、落实执法责任制等情况的监督检查。有序推进公正文明执法。</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jc w:val="both"/>
        <w:textAlignment w:val="auto"/>
        <w:rPr>
          <w:rFonts w:hint="eastAsia" w:ascii="仿宋_GB2312" w:hAnsi="仿宋_GB2312" w:eastAsia="仿宋_GB2312" w:cs="仿宋_GB2312"/>
          <w:b/>
          <w:bCs/>
          <w:sz w:val="32"/>
          <w:szCs w:val="32"/>
        </w:rPr>
      </w:pPr>
      <w:bookmarkStart w:id="0" w:name="_GoBack"/>
      <w:bookmarkEnd w:id="0"/>
    </w:p>
    <w:p>
      <w:pPr>
        <w:wordWrap w:val="0"/>
        <w:jc w:val="right"/>
        <w:rPr>
          <w:rFonts w:ascii="仿宋_GB2312" w:eastAsia="仿宋_GB2312"/>
          <w:sz w:val="32"/>
          <w:szCs w:val="32"/>
        </w:rPr>
      </w:pPr>
    </w:p>
    <w:p>
      <w:pPr>
        <w:wordWrap w:val="0"/>
        <w:jc w:val="center"/>
        <w:rPr>
          <w:rFonts w:ascii="仿宋_GB2312" w:eastAsia="仿宋_GB2312"/>
          <w:sz w:val="32"/>
          <w:szCs w:val="32"/>
        </w:rPr>
      </w:pPr>
      <w:r>
        <w:rPr>
          <w:rFonts w:hint="eastAsia" w:ascii="仿宋_GB2312" w:eastAsia="仿宋_GB2312"/>
          <w:sz w:val="32"/>
          <w:szCs w:val="32"/>
          <w:lang w:val="en-US" w:eastAsia="zh-CN"/>
        </w:rPr>
        <w:t xml:space="preserve">                               </w:t>
      </w:r>
      <w:r>
        <w:rPr>
          <w:rFonts w:hint="eastAsia" w:ascii="仿宋_GB2312" w:eastAsia="仿宋_GB2312"/>
          <w:sz w:val="32"/>
          <w:szCs w:val="32"/>
          <w:lang w:eastAsia="zh-CN"/>
        </w:rPr>
        <w:t>魏都区农业农村局</w:t>
      </w:r>
      <w:r>
        <w:rPr>
          <w:rFonts w:hint="eastAsia" w:ascii="仿宋_GB2312" w:eastAsia="仿宋_GB2312"/>
          <w:sz w:val="32"/>
          <w:szCs w:val="32"/>
          <w:lang w:val="en-US" w:eastAsia="zh-CN"/>
        </w:rPr>
        <w:t xml:space="preserve">                                2024年3月11日</w:t>
      </w:r>
      <w:r>
        <w:rPr>
          <w:rFonts w:ascii="仿宋_GB2312" w:eastAsia="仿宋_GB2312"/>
          <w:sz w:val="32"/>
          <w:szCs w:val="32"/>
        </w:rPr>
        <w:t xml:space="preserve"> </w:t>
      </w:r>
    </w:p>
    <w:sectPr>
      <w:footerReference r:id="rId3" w:type="default"/>
      <w:pgSz w:w="11906" w:h="16838"/>
      <w:pgMar w:top="1871" w:right="1417" w:bottom="1701" w:left="1417" w:header="851" w:footer="992" w:gutter="0"/>
      <w:pgNumType w:fmt="numberInDash"/>
      <w:cols w:space="425" w:num="1"/>
      <w:docGrid w:type="lines" w:linePitch="29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方正小标宋简体">
    <w:altName w:val="黑体"/>
    <w:panose1 w:val="03000509000000000000"/>
    <w:charset w:val="86"/>
    <w:family w:val="auto"/>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0000000000000000000"/>
    <w:charset w:val="00"/>
    <w:family w:val="auto"/>
    <w:pitch w:val="default"/>
    <w:sig w:usb0="00000000" w:usb1="00000000" w:usb2="00000000" w:usb3="00000000" w:csb0="00000000" w:csb1="00000000"/>
  </w:font>
  <w:font w:name="楷体_GB2312">
    <w:altName w:val="楷体"/>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525519418"/>
      <w:docPartObj>
        <w:docPartGallery w:val="autotext"/>
      </w:docPartObj>
    </w:sdtPr>
    <w:sdtContent>
      <w:p>
        <w:pPr>
          <w:pStyle w:val="4"/>
          <w:jc w:val="center"/>
        </w:pPr>
        <w:r>
          <w:fldChar w:fldCharType="begin"/>
        </w:r>
        <w:r>
          <w:instrText xml:space="preserve">PAGE   \* MERGEFORMAT</w:instrText>
        </w:r>
        <w:r>
          <w:fldChar w:fldCharType="separate"/>
        </w:r>
        <w:r>
          <w:rPr>
            <w:lang w:val="zh-CN"/>
          </w:rPr>
          <w:t>-</w:t>
        </w:r>
        <w:r>
          <w:t xml:space="preserve"> 5 -</w:t>
        </w:r>
        <w:r>
          <w:fldChar w:fldCharType="end"/>
        </w:r>
      </w:p>
    </w:sdtContent>
  </w:sdt>
  <w:p>
    <w:pPr>
      <w:pStyle w:val="4"/>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48"/>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JlNDA3MjI4MGM3MWE3OGU5ZjNhNzU5NzU2MGYwYzgifQ=="/>
  </w:docVars>
  <w:rsids>
    <w:rsidRoot w:val="003660FA"/>
    <w:rsid w:val="00012E10"/>
    <w:rsid w:val="000746CF"/>
    <w:rsid w:val="0009716D"/>
    <w:rsid w:val="000E04AC"/>
    <w:rsid w:val="00103BCE"/>
    <w:rsid w:val="00130DCD"/>
    <w:rsid w:val="0013505E"/>
    <w:rsid w:val="0014300D"/>
    <w:rsid w:val="001432AE"/>
    <w:rsid w:val="001745D2"/>
    <w:rsid w:val="00181BDF"/>
    <w:rsid w:val="001E25F4"/>
    <w:rsid w:val="001F6CE2"/>
    <w:rsid w:val="00223951"/>
    <w:rsid w:val="002A54A1"/>
    <w:rsid w:val="002D3845"/>
    <w:rsid w:val="00322E2B"/>
    <w:rsid w:val="003660FA"/>
    <w:rsid w:val="003B42CA"/>
    <w:rsid w:val="003C18EF"/>
    <w:rsid w:val="003D151B"/>
    <w:rsid w:val="003D493F"/>
    <w:rsid w:val="004664E6"/>
    <w:rsid w:val="004A2124"/>
    <w:rsid w:val="004A7C85"/>
    <w:rsid w:val="004C75C8"/>
    <w:rsid w:val="004F67BC"/>
    <w:rsid w:val="00502FE5"/>
    <w:rsid w:val="00552FE8"/>
    <w:rsid w:val="005E1292"/>
    <w:rsid w:val="00687345"/>
    <w:rsid w:val="006A65EA"/>
    <w:rsid w:val="007309CD"/>
    <w:rsid w:val="007337A7"/>
    <w:rsid w:val="00780548"/>
    <w:rsid w:val="007D4FFA"/>
    <w:rsid w:val="007E24DE"/>
    <w:rsid w:val="007E7339"/>
    <w:rsid w:val="00840A35"/>
    <w:rsid w:val="0087373E"/>
    <w:rsid w:val="00886AD0"/>
    <w:rsid w:val="00924DFA"/>
    <w:rsid w:val="009620BD"/>
    <w:rsid w:val="009B788C"/>
    <w:rsid w:val="00A17758"/>
    <w:rsid w:val="00A46A74"/>
    <w:rsid w:val="00A66F17"/>
    <w:rsid w:val="00AF1536"/>
    <w:rsid w:val="00B14157"/>
    <w:rsid w:val="00B15C4A"/>
    <w:rsid w:val="00B81D61"/>
    <w:rsid w:val="00CB630C"/>
    <w:rsid w:val="00CC5158"/>
    <w:rsid w:val="00CD0CD6"/>
    <w:rsid w:val="00CD335C"/>
    <w:rsid w:val="00CE1966"/>
    <w:rsid w:val="00CF71A6"/>
    <w:rsid w:val="00D42416"/>
    <w:rsid w:val="00D75FB6"/>
    <w:rsid w:val="00D83F79"/>
    <w:rsid w:val="00DA393A"/>
    <w:rsid w:val="00DF6558"/>
    <w:rsid w:val="00E011F3"/>
    <w:rsid w:val="00E32AD4"/>
    <w:rsid w:val="00E90BD8"/>
    <w:rsid w:val="00F034D8"/>
    <w:rsid w:val="00F17E60"/>
    <w:rsid w:val="00F243B9"/>
    <w:rsid w:val="00F72A2C"/>
    <w:rsid w:val="00FB1265"/>
    <w:rsid w:val="01670E99"/>
    <w:rsid w:val="0DC54747"/>
    <w:rsid w:val="12FC66FC"/>
    <w:rsid w:val="1FE2232B"/>
    <w:rsid w:val="21F44ED3"/>
    <w:rsid w:val="2AB21898"/>
    <w:rsid w:val="4991672D"/>
    <w:rsid w:val="4B5D793F"/>
    <w:rsid w:val="5AD54BF5"/>
    <w:rsid w:val="60FE092F"/>
    <w:rsid w:val="617D588D"/>
    <w:rsid w:val="6E677D69"/>
    <w:rsid w:val="6EFC7FA5"/>
    <w:rsid w:val="72074C40"/>
    <w:rsid w:val="7E9247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nhideWhenUsed="0"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link w:val="15"/>
    <w:autoRedefine/>
    <w:semiHidden/>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3">
    <w:name w:val="heading 3"/>
    <w:basedOn w:val="1"/>
    <w:next w:val="1"/>
    <w:link w:val="14"/>
    <w:autoRedefine/>
    <w:qFormat/>
    <w:uiPriority w:val="9"/>
    <w:pPr>
      <w:widowControl/>
      <w:spacing w:before="100" w:beforeAutospacing="1" w:after="100" w:afterAutospacing="1"/>
      <w:jc w:val="left"/>
      <w:outlineLvl w:val="2"/>
    </w:pPr>
    <w:rPr>
      <w:rFonts w:ascii="宋体" w:hAnsi="宋体" w:eastAsia="宋体" w:cs="宋体"/>
      <w:b/>
      <w:bCs/>
      <w:kern w:val="0"/>
      <w:sz w:val="27"/>
      <w:szCs w:val="27"/>
    </w:rPr>
  </w:style>
  <w:style w:type="character" w:default="1" w:styleId="8">
    <w:name w:val="Default Paragraph Font"/>
    <w:autoRedefine/>
    <w:semiHidden/>
    <w:unhideWhenUsed/>
    <w:qFormat/>
    <w:uiPriority w:val="1"/>
  </w:style>
  <w:style w:type="table" w:default="1" w:styleId="7">
    <w:name w:val="Normal Table"/>
    <w:autoRedefine/>
    <w:semiHidden/>
    <w:unhideWhenUsed/>
    <w:qFormat/>
    <w:uiPriority w:val="99"/>
    <w:tblPr>
      <w:tblCellMar>
        <w:top w:w="0" w:type="dxa"/>
        <w:left w:w="108" w:type="dxa"/>
        <w:bottom w:w="0" w:type="dxa"/>
        <w:right w:w="108" w:type="dxa"/>
      </w:tblCellMar>
    </w:tblPr>
  </w:style>
  <w:style w:type="paragraph" w:styleId="4">
    <w:name w:val="footer"/>
    <w:basedOn w:val="1"/>
    <w:link w:val="12"/>
    <w:autoRedefine/>
    <w:unhideWhenUsed/>
    <w:qFormat/>
    <w:uiPriority w:val="99"/>
    <w:pPr>
      <w:tabs>
        <w:tab w:val="center" w:pos="4153"/>
        <w:tab w:val="right" w:pos="8306"/>
      </w:tabs>
      <w:snapToGrid w:val="0"/>
      <w:jc w:val="left"/>
    </w:pPr>
    <w:rPr>
      <w:sz w:val="18"/>
      <w:szCs w:val="18"/>
    </w:rPr>
  </w:style>
  <w:style w:type="paragraph" w:styleId="5">
    <w:name w:val="header"/>
    <w:basedOn w:val="1"/>
    <w:link w:val="11"/>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autoRedefine/>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9">
    <w:name w:val="Strong"/>
    <w:basedOn w:val="8"/>
    <w:qFormat/>
    <w:uiPriority w:val="22"/>
    <w:rPr>
      <w:b/>
    </w:rPr>
  </w:style>
  <w:style w:type="character" w:styleId="10">
    <w:name w:val="Hyperlink"/>
    <w:basedOn w:val="8"/>
    <w:autoRedefine/>
    <w:unhideWhenUsed/>
    <w:qFormat/>
    <w:uiPriority w:val="99"/>
    <w:rPr>
      <w:color w:val="0000FF"/>
      <w:u w:val="single"/>
    </w:rPr>
  </w:style>
  <w:style w:type="character" w:customStyle="1" w:styleId="11">
    <w:name w:val="页眉 字符"/>
    <w:basedOn w:val="8"/>
    <w:link w:val="5"/>
    <w:autoRedefine/>
    <w:qFormat/>
    <w:uiPriority w:val="99"/>
    <w:rPr>
      <w:sz w:val="18"/>
      <w:szCs w:val="18"/>
    </w:rPr>
  </w:style>
  <w:style w:type="character" w:customStyle="1" w:styleId="12">
    <w:name w:val="页脚 字符"/>
    <w:basedOn w:val="8"/>
    <w:link w:val="4"/>
    <w:autoRedefine/>
    <w:qFormat/>
    <w:uiPriority w:val="99"/>
    <w:rPr>
      <w:sz w:val="18"/>
      <w:szCs w:val="18"/>
    </w:rPr>
  </w:style>
  <w:style w:type="character" w:customStyle="1" w:styleId="13">
    <w:name w:val="apple-converted-space"/>
    <w:basedOn w:val="8"/>
    <w:autoRedefine/>
    <w:qFormat/>
    <w:uiPriority w:val="0"/>
  </w:style>
  <w:style w:type="character" w:customStyle="1" w:styleId="14">
    <w:name w:val="标题 3 字符"/>
    <w:basedOn w:val="8"/>
    <w:link w:val="3"/>
    <w:autoRedefine/>
    <w:qFormat/>
    <w:uiPriority w:val="9"/>
    <w:rPr>
      <w:rFonts w:ascii="宋体" w:hAnsi="宋体" w:eastAsia="宋体" w:cs="宋体"/>
      <w:b/>
      <w:bCs/>
      <w:kern w:val="0"/>
      <w:sz w:val="27"/>
      <w:szCs w:val="27"/>
    </w:rPr>
  </w:style>
  <w:style w:type="character" w:customStyle="1" w:styleId="15">
    <w:name w:val="标题 2 字符"/>
    <w:basedOn w:val="8"/>
    <w:link w:val="2"/>
    <w:autoRedefine/>
    <w:semiHidden/>
    <w:qFormat/>
    <w:uiPriority w:val="9"/>
    <w:rPr>
      <w:rFonts w:asciiTheme="majorHAnsi" w:hAnsiTheme="majorHAnsi" w:eastAsiaTheme="majorEastAsia" w:cstheme="majorBidi"/>
      <w:b/>
      <w:bCs/>
      <w:sz w:val="32"/>
      <w:szCs w:val="32"/>
    </w:rPr>
  </w:style>
  <w:style w:type="paragraph" w:customStyle="1" w:styleId="16">
    <w:name w:val="reader-word-layer"/>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微软中国</Company>
  <Pages>5</Pages>
  <Words>368</Words>
  <Characters>2104</Characters>
  <Lines>17</Lines>
  <Paragraphs>4</Paragraphs>
  <TotalTime>11</TotalTime>
  <ScaleCrop>false</ScaleCrop>
  <LinksUpToDate>false</LinksUpToDate>
  <CharactersWithSpaces>2468</CharactersWithSpaces>
  <Application>WPS Office_12.1.0.16399_F1E327BC-269C-435d-A152-05C5408002CA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2016-08-24T02:28:00Z</dcterms:created>
  <dc:creator>微软用户</dc:creator>
  <cp:lastModifiedBy>Administrator</cp:lastModifiedBy>
  <cp:lastPrinted>2024-02-26T03:23:00Z</cp:lastPrinted>
  <dcterms:modified xsi:type="dcterms:W3CDTF">2024-03-26T01:30:13Z</dcterms:modified>
  <cp:revision>40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2052-12.1.0.16399</vt:lpwstr>
  </property>
  <property fmtid="{D5CDD505-2E9C-101B-9397-08002B2CF9AE}" pid="3" name="ICV">
    <vt:lpwstr>C6A15CFAF5C140639D3158084FFF686F_13</vt:lpwstr>
  </property>
</Properties>
</file>