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90" w:lineRule="exact"/>
        <w:ind w:firstLine="924" w:firstLineChars="200"/>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灞陵街道党工委 灞陵街道办事处</w:t>
      </w:r>
    </w:p>
    <w:p>
      <w:pPr>
        <w:keepNext w:val="0"/>
        <w:keepLines w:val="0"/>
        <w:pageBreakBefore w:val="0"/>
        <w:widowControl w:val="0"/>
        <w:kinsoku/>
        <w:wordWrap/>
        <w:overflowPunct/>
        <w:topLinePunct w:val="0"/>
        <w:autoSpaceDE/>
        <w:autoSpaceDN/>
        <w:bidi w:val="0"/>
        <w:adjustRightInd/>
        <w:snapToGrid/>
        <w:spacing w:line="590" w:lineRule="exact"/>
        <w:ind w:firstLine="462" w:firstLineChars="100"/>
        <w:jc w:val="center"/>
        <w:textAlignment w:val="auto"/>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w:t>
      </w:r>
      <w:r>
        <w:rPr>
          <w:rFonts w:hint="eastAsia" w:ascii="Times New Roman" w:hAnsi="Times New Roman" w:eastAsia="方正小标宋简体" w:cs="Times New Roman"/>
          <w:spacing w:val="11"/>
          <w:sz w:val="44"/>
          <w:szCs w:val="44"/>
          <w:lang w:val="en-US" w:eastAsia="zh-CN"/>
        </w:rPr>
        <w:t>2023</w:t>
      </w:r>
      <w:r>
        <w:rPr>
          <w:rFonts w:hint="eastAsia" w:ascii="方正小标宋简体" w:hAnsi="方正小标宋简体" w:eastAsia="方正小标宋简体" w:cs="方正小标宋简体"/>
          <w:spacing w:val="11"/>
          <w:sz w:val="44"/>
          <w:szCs w:val="44"/>
          <w:lang w:val="en-US" w:eastAsia="zh-CN"/>
        </w:rPr>
        <w:t>年法治政府建设情况的报告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11"/>
          <w:sz w:val="32"/>
          <w:szCs w:val="32"/>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90"/>
        <w:jc w:val="both"/>
        <w:rPr>
          <w:rFonts w:ascii="微软雅黑" w:hAnsi="微软雅黑" w:eastAsia="微软雅黑" w:cs="微软雅黑"/>
          <w:b w:val="0"/>
          <w:bCs w:val="0"/>
          <w:i w:val="0"/>
          <w:iCs w:val="0"/>
          <w:caps w:val="0"/>
          <w:color w:val="000000"/>
          <w:spacing w:val="0"/>
          <w:sz w:val="24"/>
          <w:szCs w:val="24"/>
        </w:rPr>
      </w:pPr>
      <w:r>
        <w:rPr>
          <w:rFonts w:hint="default" w:ascii="Times New Roman" w:hAnsi="Times New Roman" w:eastAsia="仿宋_GB2312" w:cs="Times New Roman"/>
          <w:b w:val="0"/>
          <w:bCs w:val="0"/>
          <w:i w:val="0"/>
          <w:iCs w:val="0"/>
          <w:caps w:val="0"/>
          <w:color w:val="000000"/>
          <w:spacing w:val="15"/>
          <w:sz w:val="31"/>
          <w:szCs w:val="31"/>
          <w:bdr w:val="none" w:color="auto" w:sz="0" w:space="0"/>
        </w:rPr>
        <w:t>2023</w:t>
      </w:r>
      <w:r>
        <w:rPr>
          <w:rFonts w:hint="default" w:ascii="仿宋_GB2312" w:hAnsi="微软雅黑" w:eastAsia="仿宋_GB2312" w:cs="仿宋_GB2312"/>
          <w:b w:val="0"/>
          <w:bCs w:val="0"/>
          <w:i w:val="0"/>
          <w:iCs w:val="0"/>
          <w:caps w:val="0"/>
          <w:color w:val="000000"/>
          <w:spacing w:val="15"/>
          <w:sz w:val="31"/>
          <w:szCs w:val="31"/>
          <w:bdr w:val="none" w:color="auto" w:sz="0" w:space="0"/>
        </w:rPr>
        <w:t>年，灞陵街道法治政府建设工作在区委、区政府的正确领导下，坚持以习近平新时代中国特色社会主义思想为指导，全面贯彻落实党的二十大精神，深入学习贯彻习近平法治思想，严格落实中共魏都区委全面依法治区委员会印发的《中共魏都区委全面依法治区委员会</w:t>
      </w:r>
      <w:r>
        <w:rPr>
          <w:rFonts w:hint="default" w:ascii="Times New Roman" w:hAnsi="Times New Roman" w:eastAsia="仿宋_GB2312" w:cs="Times New Roman"/>
          <w:b w:val="0"/>
          <w:bCs w:val="0"/>
          <w:i w:val="0"/>
          <w:iCs w:val="0"/>
          <w:caps w:val="0"/>
          <w:color w:val="000000"/>
          <w:spacing w:val="15"/>
          <w:sz w:val="31"/>
          <w:szCs w:val="31"/>
          <w:bdr w:val="none" w:color="auto" w:sz="0" w:space="0"/>
        </w:rPr>
        <w:t>2023</w:t>
      </w:r>
      <w:r>
        <w:rPr>
          <w:rFonts w:hint="default" w:ascii="仿宋_GB2312" w:hAnsi="微软雅黑" w:eastAsia="仿宋_GB2312" w:cs="仿宋_GB2312"/>
          <w:b w:val="0"/>
          <w:bCs w:val="0"/>
          <w:i w:val="0"/>
          <w:iCs w:val="0"/>
          <w:caps w:val="0"/>
          <w:color w:val="000000"/>
          <w:spacing w:val="15"/>
          <w:sz w:val="31"/>
          <w:szCs w:val="31"/>
          <w:bdr w:val="none" w:color="auto" w:sz="0" w:space="0"/>
        </w:rPr>
        <w:t>年工作要点及分工方案》的通知（许魏法〔</w:t>
      </w:r>
      <w:r>
        <w:rPr>
          <w:rFonts w:hint="default" w:ascii="Times New Roman" w:hAnsi="Times New Roman" w:eastAsia="仿宋_GB2312" w:cs="Times New Roman"/>
          <w:b w:val="0"/>
          <w:bCs w:val="0"/>
          <w:i w:val="0"/>
          <w:iCs w:val="0"/>
          <w:caps w:val="0"/>
          <w:color w:val="000000"/>
          <w:spacing w:val="15"/>
          <w:sz w:val="31"/>
          <w:szCs w:val="31"/>
          <w:bdr w:val="none" w:color="auto" w:sz="0" w:space="0"/>
        </w:rPr>
        <w:t>2023</w:t>
      </w:r>
      <w:r>
        <w:rPr>
          <w:rFonts w:hint="default" w:ascii="仿宋_GB2312" w:hAnsi="微软雅黑" w:eastAsia="仿宋_GB2312" w:cs="仿宋_GB2312"/>
          <w:b w:val="0"/>
          <w:bCs w:val="0"/>
          <w:i w:val="0"/>
          <w:iCs w:val="0"/>
          <w:caps w:val="0"/>
          <w:color w:val="000000"/>
          <w:spacing w:val="15"/>
          <w:sz w:val="31"/>
          <w:szCs w:val="31"/>
          <w:bdr w:val="none" w:color="auto" w:sz="0" w:space="0"/>
        </w:rPr>
        <w:t>〕</w:t>
      </w:r>
      <w:r>
        <w:rPr>
          <w:rFonts w:hint="default" w:ascii="Times New Roman" w:hAnsi="Times New Roman" w:eastAsia="仿宋_GB2312" w:cs="Times New Roman"/>
          <w:b w:val="0"/>
          <w:bCs w:val="0"/>
          <w:i w:val="0"/>
          <w:iCs w:val="0"/>
          <w:caps w:val="0"/>
          <w:color w:val="000000"/>
          <w:spacing w:val="15"/>
          <w:sz w:val="31"/>
          <w:szCs w:val="31"/>
          <w:bdr w:val="none" w:color="auto" w:sz="0" w:space="0"/>
        </w:rPr>
        <w:t>6</w:t>
      </w:r>
      <w:r>
        <w:rPr>
          <w:rFonts w:hint="default" w:ascii="仿宋_GB2312" w:hAnsi="微软雅黑" w:eastAsia="仿宋_GB2312" w:cs="仿宋_GB2312"/>
          <w:b w:val="0"/>
          <w:bCs w:val="0"/>
          <w:i w:val="0"/>
          <w:iCs w:val="0"/>
          <w:caps w:val="0"/>
          <w:color w:val="000000"/>
          <w:spacing w:val="15"/>
          <w:sz w:val="31"/>
          <w:szCs w:val="31"/>
          <w:bdr w:val="none" w:color="auto" w:sz="0" w:space="0"/>
        </w:rPr>
        <w:t>号）的文件要求，紧紧围绕灞陵街道发展大局，扎实推进法治政府建设工作。灞陵街道依法行政能力得到进一步提高，公民的法治意识、法治观念得到进一步增强，法治政府建设工作取得了成效。</w:t>
      </w:r>
      <w:r>
        <w:rPr>
          <w:rFonts w:hint="default" w:ascii="仿宋_GB2312" w:hAnsi="微软雅黑" w:eastAsia="仿宋_GB2312" w:cs="仿宋_GB2312"/>
          <w:b w:val="0"/>
          <w:bCs w:val="0"/>
          <w:i w:val="0"/>
          <w:iCs w:val="0"/>
          <w:caps w:val="0"/>
          <w:color w:val="000000"/>
          <w:spacing w:val="0"/>
          <w:sz w:val="31"/>
          <w:szCs w:val="31"/>
          <w:bdr w:val="none" w:color="auto" w:sz="0" w:space="0"/>
        </w:rPr>
        <w:t>现将我街道2023年度法治政府建设情况报告如下。</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15"/>
          <w:sz w:val="31"/>
          <w:szCs w:val="31"/>
          <w:bdr w:val="none" w:color="auto" w:sz="0" w:space="0"/>
        </w:rPr>
        <w:t>一、</w:t>
      </w:r>
      <w:r>
        <w:rPr>
          <w:rFonts w:hint="eastAsia" w:ascii="黑体" w:hAnsi="宋体" w:eastAsia="黑体" w:cs="黑体"/>
          <w:b w:val="0"/>
          <w:bCs w:val="0"/>
          <w:i w:val="0"/>
          <w:iCs w:val="0"/>
          <w:caps w:val="0"/>
          <w:color w:val="000000"/>
          <w:spacing w:val="15"/>
          <w:sz w:val="31"/>
          <w:szCs w:val="31"/>
          <w:bdr w:val="none" w:color="auto" w:sz="0" w:space="0"/>
        </w:rPr>
        <w:t>党政主要负责人履行推进法治建设第一责任人职责，加强法治政府建设的有关情况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15"/>
          <w:sz w:val="31"/>
          <w:szCs w:val="31"/>
          <w:bdr w:val="none" w:color="auto" w:sz="0" w:space="0"/>
        </w:rPr>
        <w:t>灞陵街道党政主要负责人切实履行法治建设第一责任人职责，坚持把法治政府建设工作作为贯彻落实党的依法治国理论、打造高品质法治环境的重要举措，不断增强广大干部群众特别是领导干部的法治观念和依法执政能力。健全工作机制，将法治建设工作纳入党政重要议事议程，研究解决有关重大问题。定期分析法治建设工作推进情况，及时听取法治建设工作中存在的问题和困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15"/>
          <w:sz w:val="31"/>
          <w:szCs w:val="31"/>
          <w:bdr w:val="none" w:color="auto" w:sz="0" w:space="0"/>
        </w:rPr>
        <w:t>二、推进法治政府建设的主要举措和成效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ascii="楷体" w:hAnsi="楷体" w:eastAsia="楷体" w:cs="楷体"/>
          <w:b w:val="0"/>
          <w:bCs w:val="0"/>
          <w:i w:val="0"/>
          <w:iCs w:val="0"/>
          <w:caps w:val="0"/>
          <w:color w:val="000000"/>
          <w:spacing w:val="15"/>
          <w:sz w:val="31"/>
          <w:szCs w:val="31"/>
          <w:bdr w:val="none" w:color="auto" w:sz="0" w:space="0"/>
        </w:rPr>
        <w:t>（</w:t>
      </w:r>
      <w:r>
        <w:rPr>
          <w:rFonts w:hint="eastAsia" w:ascii="楷体" w:hAnsi="楷体" w:eastAsia="楷体" w:cs="楷体"/>
          <w:b w:val="0"/>
          <w:bCs w:val="0"/>
          <w:i w:val="0"/>
          <w:iCs w:val="0"/>
          <w:caps w:val="0"/>
          <w:color w:val="000000"/>
          <w:spacing w:val="15"/>
          <w:sz w:val="31"/>
          <w:szCs w:val="31"/>
          <w:bdr w:val="none" w:color="auto" w:sz="0" w:space="0"/>
        </w:rPr>
        <w:t>一）强化依法行政，全面提升依法全面履职。</w:t>
      </w:r>
      <w:r>
        <w:rPr>
          <w:rFonts w:hint="default" w:ascii="仿宋_GB2312" w:hAnsi="微软雅黑" w:eastAsia="仿宋_GB2312" w:cs="仿宋_GB2312"/>
          <w:b w:val="0"/>
          <w:bCs w:val="0"/>
          <w:i w:val="0"/>
          <w:iCs w:val="0"/>
          <w:caps w:val="0"/>
          <w:color w:val="000000"/>
          <w:spacing w:val="15"/>
          <w:sz w:val="31"/>
          <w:szCs w:val="31"/>
          <w:bdr w:val="none" w:color="auto" w:sz="0" w:space="0"/>
        </w:rPr>
        <w:t>坚持以身作则、以上率下，对涉及“三重一大”事项集体讨论决定，带头践行民主集中制，不搞一言堂，落实监督要求，督促领导班子及其他成员依法行政，推动完善部门内部监督，严格执行重大行政决策法定程序。带头尊法学法守法用法，积极参加法律法规集中学习和法治专题讲座，增强自身的法治理念，提高灞陵街道法治建设的能力和水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15"/>
          <w:sz w:val="31"/>
          <w:szCs w:val="31"/>
          <w:bdr w:val="none" w:color="auto" w:sz="0" w:space="0"/>
        </w:rPr>
        <w:t>（二）强化学习培训，全面提高依法行政能力。</w:t>
      </w:r>
      <w:r>
        <w:rPr>
          <w:rFonts w:hint="default" w:ascii="仿宋_GB2312" w:hAnsi="微软雅黑" w:eastAsia="仿宋_GB2312" w:cs="仿宋_GB2312"/>
          <w:b w:val="0"/>
          <w:bCs w:val="0"/>
          <w:i w:val="0"/>
          <w:iCs w:val="0"/>
          <w:caps w:val="0"/>
          <w:color w:val="000000"/>
          <w:spacing w:val="15"/>
          <w:sz w:val="31"/>
          <w:szCs w:val="31"/>
          <w:bdr w:val="none" w:color="auto" w:sz="0" w:space="0"/>
        </w:rPr>
        <w:t>深化法治工作部门全站线、全覆盖培训轮训，围绕习近平法治思想“十一个坚持”开展专题学习。将学习贯彻习近平法治思想与学习贯彻党的二十大精神贯通起来，严格落实“第一议题”制度，纳入街道党工委理论学习中心组学习计划。同时依托学习强国及学法用法考试等平台，采取培训、学习、自学等形式，开展干部学法用法工作。全年组织街道工作人员开展轮训</w:t>
      </w:r>
      <w:r>
        <w:rPr>
          <w:rFonts w:hint="default" w:ascii="Times New Roman" w:hAnsi="Times New Roman" w:eastAsia="仿宋_GB2312" w:cs="Times New Roman"/>
          <w:b w:val="0"/>
          <w:bCs w:val="0"/>
          <w:i w:val="0"/>
          <w:iCs w:val="0"/>
          <w:caps w:val="0"/>
          <w:color w:val="000000"/>
          <w:spacing w:val="15"/>
          <w:sz w:val="31"/>
          <w:szCs w:val="31"/>
          <w:bdr w:val="none" w:color="auto" w:sz="0" w:space="0"/>
        </w:rPr>
        <w:t>2</w:t>
      </w:r>
      <w:r>
        <w:rPr>
          <w:rFonts w:hint="default" w:ascii="仿宋_GB2312" w:hAnsi="微软雅黑" w:eastAsia="仿宋_GB2312" w:cs="仿宋_GB2312"/>
          <w:b w:val="0"/>
          <w:bCs w:val="0"/>
          <w:i w:val="0"/>
          <w:iCs w:val="0"/>
          <w:caps w:val="0"/>
          <w:color w:val="000000"/>
          <w:spacing w:val="15"/>
          <w:sz w:val="31"/>
          <w:szCs w:val="31"/>
          <w:bdr w:val="none" w:color="auto" w:sz="0" w:space="0"/>
        </w:rPr>
        <w:t>次、街道班子领导讲党课</w:t>
      </w:r>
      <w:r>
        <w:rPr>
          <w:rFonts w:hint="default" w:ascii="Times New Roman" w:hAnsi="Times New Roman" w:eastAsia="仿宋_GB2312" w:cs="Times New Roman"/>
          <w:b w:val="0"/>
          <w:bCs w:val="0"/>
          <w:i w:val="0"/>
          <w:iCs w:val="0"/>
          <w:caps w:val="0"/>
          <w:color w:val="000000"/>
          <w:spacing w:val="15"/>
          <w:sz w:val="31"/>
          <w:szCs w:val="31"/>
          <w:bdr w:val="none" w:color="auto" w:sz="0" w:space="0"/>
        </w:rPr>
        <w:t>2</w:t>
      </w:r>
      <w:r>
        <w:rPr>
          <w:rFonts w:hint="default" w:ascii="仿宋_GB2312" w:hAnsi="微软雅黑" w:eastAsia="仿宋_GB2312" w:cs="仿宋_GB2312"/>
          <w:b w:val="0"/>
          <w:bCs w:val="0"/>
          <w:i w:val="0"/>
          <w:iCs w:val="0"/>
          <w:caps w:val="0"/>
          <w:color w:val="000000"/>
          <w:spacing w:val="15"/>
          <w:sz w:val="31"/>
          <w:szCs w:val="31"/>
          <w:bdr w:val="none" w:color="auto" w:sz="0" w:space="0"/>
        </w:rPr>
        <w:t>次，组织街道所有干部职工登陆“魏都学法”小程序进行了自学并考试。街道执法人员对执法证进行了年审申报，实现规范、公正、文明执法。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15"/>
          <w:sz w:val="31"/>
          <w:szCs w:val="31"/>
          <w:bdr w:val="none" w:color="auto" w:sz="0" w:space="0"/>
        </w:rPr>
        <w:t>（三）强化法治教育，全面提升群众法治意识。</w:t>
      </w:r>
      <w:r>
        <w:rPr>
          <w:rFonts w:hint="default" w:ascii="仿宋_GB2312" w:hAnsi="微软雅黑" w:eastAsia="仿宋_GB2312" w:cs="仿宋_GB2312"/>
          <w:b w:val="0"/>
          <w:bCs w:val="0"/>
          <w:i w:val="0"/>
          <w:iCs w:val="0"/>
          <w:caps w:val="0"/>
          <w:color w:val="000000"/>
          <w:spacing w:val="15"/>
          <w:sz w:val="31"/>
          <w:szCs w:val="31"/>
          <w:bdr w:val="none" w:color="auto" w:sz="0" w:space="0"/>
        </w:rPr>
        <w:t>深入开展法治宣传活动，将习近平法治思想作为“八五”普法重要内容，发挥各类普法阵地和平台作用，进一步动员辖区群众积极参与法治宣传，以构建和谐社会为重点，广泛深入地开展法治宣传活动。街道开展了打击整治养老诈骗、打击治理电信网络诈骗、防范非法集资、</w:t>
      </w:r>
      <w:r>
        <w:rPr>
          <w:rFonts w:hint="default" w:ascii="Times New Roman" w:hAnsi="Times New Roman" w:eastAsia="仿宋_GB2312" w:cs="Times New Roman"/>
          <w:b w:val="0"/>
          <w:bCs w:val="0"/>
          <w:i w:val="0"/>
          <w:iCs w:val="0"/>
          <w:caps w:val="0"/>
          <w:color w:val="000000"/>
          <w:spacing w:val="15"/>
          <w:sz w:val="31"/>
          <w:szCs w:val="31"/>
          <w:bdr w:val="none" w:color="auto" w:sz="0" w:space="0"/>
        </w:rPr>
        <w:t>12</w:t>
      </w:r>
      <w:r>
        <w:rPr>
          <w:rFonts w:hint="default" w:ascii="仿宋_GB2312" w:hAnsi="微软雅黑" w:eastAsia="仿宋_GB2312" w:cs="仿宋_GB2312"/>
          <w:b w:val="0"/>
          <w:bCs w:val="0"/>
          <w:i w:val="0"/>
          <w:iCs w:val="0"/>
          <w:caps w:val="0"/>
          <w:color w:val="000000"/>
          <w:spacing w:val="15"/>
          <w:sz w:val="31"/>
          <w:szCs w:val="31"/>
          <w:bdr w:val="none" w:color="auto" w:sz="0" w:space="0"/>
        </w:rPr>
        <w:t>月</w:t>
      </w:r>
      <w:r>
        <w:rPr>
          <w:rFonts w:hint="default" w:ascii="Times New Roman" w:hAnsi="Times New Roman" w:eastAsia="仿宋_GB2312" w:cs="Times New Roman"/>
          <w:b w:val="0"/>
          <w:bCs w:val="0"/>
          <w:i w:val="0"/>
          <w:iCs w:val="0"/>
          <w:caps w:val="0"/>
          <w:color w:val="000000"/>
          <w:spacing w:val="15"/>
          <w:sz w:val="31"/>
          <w:szCs w:val="31"/>
          <w:bdr w:val="none" w:color="auto" w:sz="0" w:space="0"/>
        </w:rPr>
        <w:t>4</w:t>
      </w:r>
      <w:r>
        <w:rPr>
          <w:rFonts w:hint="default" w:ascii="仿宋_GB2312" w:hAnsi="微软雅黑" w:eastAsia="仿宋_GB2312" w:cs="仿宋_GB2312"/>
          <w:b w:val="0"/>
          <w:bCs w:val="0"/>
          <w:i w:val="0"/>
          <w:iCs w:val="0"/>
          <w:caps w:val="0"/>
          <w:color w:val="000000"/>
          <w:spacing w:val="15"/>
          <w:sz w:val="31"/>
          <w:szCs w:val="31"/>
          <w:bdr w:val="none" w:color="auto" w:sz="0" w:space="0"/>
        </w:rPr>
        <w:t>日国家宪法日宣传等主题宣传活动，向群众发放普法宣传单</w:t>
      </w:r>
      <w:r>
        <w:rPr>
          <w:rFonts w:hint="default" w:ascii="Times New Roman" w:hAnsi="Times New Roman" w:eastAsia="仿宋_GB2312" w:cs="Times New Roman"/>
          <w:b w:val="0"/>
          <w:bCs w:val="0"/>
          <w:i w:val="0"/>
          <w:iCs w:val="0"/>
          <w:caps w:val="0"/>
          <w:color w:val="000000"/>
          <w:spacing w:val="15"/>
          <w:sz w:val="31"/>
          <w:szCs w:val="31"/>
          <w:bdr w:val="none" w:color="auto" w:sz="0" w:space="0"/>
        </w:rPr>
        <w:t>500</w:t>
      </w:r>
      <w:r>
        <w:rPr>
          <w:rFonts w:hint="default" w:ascii="仿宋_GB2312" w:hAnsi="微软雅黑" w:eastAsia="仿宋_GB2312" w:cs="仿宋_GB2312"/>
          <w:b w:val="0"/>
          <w:bCs w:val="0"/>
          <w:i w:val="0"/>
          <w:iCs w:val="0"/>
          <w:caps w:val="0"/>
          <w:color w:val="000000"/>
          <w:spacing w:val="15"/>
          <w:sz w:val="31"/>
          <w:szCs w:val="31"/>
          <w:bdr w:val="none" w:color="auto" w:sz="0" w:space="0"/>
        </w:rPr>
        <w:t>余份，制作普法宣传展板近</w:t>
      </w:r>
      <w:r>
        <w:rPr>
          <w:rFonts w:hint="default" w:ascii="Times New Roman" w:hAnsi="Times New Roman" w:eastAsia="仿宋_GB2312" w:cs="Times New Roman"/>
          <w:b w:val="0"/>
          <w:bCs w:val="0"/>
          <w:i w:val="0"/>
          <w:iCs w:val="0"/>
          <w:caps w:val="0"/>
          <w:color w:val="000000"/>
          <w:spacing w:val="15"/>
          <w:sz w:val="31"/>
          <w:szCs w:val="31"/>
          <w:bdr w:val="none" w:color="auto" w:sz="0" w:space="0"/>
        </w:rPr>
        <w:t>20</w:t>
      </w:r>
      <w:r>
        <w:rPr>
          <w:rFonts w:hint="default" w:ascii="仿宋_GB2312" w:hAnsi="微软雅黑" w:eastAsia="仿宋_GB2312" w:cs="仿宋_GB2312"/>
          <w:b w:val="0"/>
          <w:bCs w:val="0"/>
          <w:i w:val="0"/>
          <w:iCs w:val="0"/>
          <w:caps w:val="0"/>
          <w:color w:val="000000"/>
          <w:spacing w:val="15"/>
          <w:sz w:val="31"/>
          <w:szCs w:val="31"/>
          <w:bdr w:val="none" w:color="auto" w:sz="0" w:space="0"/>
        </w:rPr>
        <w:t>块，宣传横幅</w:t>
      </w:r>
      <w:r>
        <w:rPr>
          <w:rFonts w:hint="default" w:ascii="Times New Roman" w:hAnsi="Times New Roman" w:eastAsia="仿宋_GB2312" w:cs="Times New Roman"/>
          <w:b w:val="0"/>
          <w:bCs w:val="0"/>
          <w:i w:val="0"/>
          <w:iCs w:val="0"/>
          <w:caps w:val="0"/>
          <w:color w:val="000000"/>
          <w:spacing w:val="15"/>
          <w:sz w:val="31"/>
          <w:szCs w:val="31"/>
          <w:bdr w:val="none" w:color="auto" w:sz="0" w:space="0"/>
        </w:rPr>
        <w:t>20</w:t>
      </w:r>
      <w:r>
        <w:rPr>
          <w:rFonts w:hint="default" w:ascii="仿宋_GB2312" w:hAnsi="微软雅黑" w:eastAsia="仿宋_GB2312" w:cs="仿宋_GB2312"/>
          <w:b w:val="0"/>
          <w:bCs w:val="0"/>
          <w:i w:val="0"/>
          <w:iCs w:val="0"/>
          <w:caps w:val="0"/>
          <w:color w:val="000000"/>
          <w:spacing w:val="15"/>
          <w:sz w:val="31"/>
          <w:szCs w:val="31"/>
          <w:bdr w:val="none" w:color="auto" w:sz="0" w:space="0"/>
        </w:rPr>
        <w:t>条，营造全民学法的浓厚氛围，增强了群众守法意识。抓好重点人员的普法工作，尤其是社区矫正和社区戒毒（康复)人员，以帮教为主，及时掌握其思想状况，并通过谈心等方法进行针对性的教育，提升他们的法治意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15"/>
          <w:sz w:val="31"/>
          <w:szCs w:val="31"/>
          <w:bdr w:val="none" w:color="auto" w:sz="0" w:space="0"/>
        </w:rPr>
        <w:t>（四）强化纠纷化解，全面推进便民政务建设。</w:t>
      </w:r>
      <w:r>
        <w:rPr>
          <w:rFonts w:hint="default" w:ascii="仿宋_GB2312" w:hAnsi="微软雅黑" w:eastAsia="仿宋_GB2312" w:cs="仿宋_GB2312"/>
          <w:b w:val="0"/>
          <w:bCs w:val="0"/>
          <w:i w:val="0"/>
          <w:iCs w:val="0"/>
          <w:caps w:val="0"/>
          <w:color w:val="000000"/>
          <w:spacing w:val="15"/>
          <w:sz w:val="31"/>
          <w:szCs w:val="31"/>
          <w:bdr w:val="none" w:color="auto" w:sz="0" w:space="0"/>
        </w:rPr>
        <w:t>实行“五包一"责任机制，全面落实责任细化落实到人，完善及时就地解决群众合理诉求机制，让矛盾在基层得到及时就地化解，确保辖区社会稳定局面，矛盾纠纷的排查化解。全年共排查调处各类大小矛盾纠纷</w:t>
      </w:r>
      <w:r>
        <w:rPr>
          <w:rFonts w:hint="default" w:ascii="Times New Roman" w:hAnsi="Times New Roman" w:eastAsia="仿宋_GB2312" w:cs="Times New Roman"/>
          <w:b w:val="0"/>
          <w:bCs w:val="0"/>
          <w:i w:val="0"/>
          <w:iCs w:val="0"/>
          <w:caps w:val="0"/>
          <w:color w:val="000000"/>
          <w:spacing w:val="15"/>
          <w:sz w:val="31"/>
          <w:szCs w:val="31"/>
          <w:bdr w:val="none" w:color="auto" w:sz="0" w:space="0"/>
        </w:rPr>
        <w:t>30</w:t>
      </w:r>
      <w:r>
        <w:rPr>
          <w:rFonts w:hint="default" w:ascii="仿宋_GB2312" w:hAnsi="微软雅黑" w:eastAsia="仿宋_GB2312" w:cs="仿宋_GB2312"/>
          <w:b w:val="0"/>
          <w:bCs w:val="0"/>
          <w:i w:val="0"/>
          <w:iCs w:val="0"/>
          <w:caps w:val="0"/>
          <w:color w:val="000000"/>
          <w:spacing w:val="15"/>
          <w:sz w:val="31"/>
          <w:szCs w:val="31"/>
          <w:bdr w:val="none" w:color="auto" w:sz="0" w:space="0"/>
        </w:rPr>
        <w:t>余起，调解率</w:t>
      </w:r>
      <w:r>
        <w:rPr>
          <w:rFonts w:hint="default" w:ascii="Times New Roman" w:hAnsi="Times New Roman" w:eastAsia="仿宋_GB2312" w:cs="Times New Roman"/>
          <w:b w:val="0"/>
          <w:bCs w:val="0"/>
          <w:i w:val="0"/>
          <w:iCs w:val="0"/>
          <w:caps w:val="0"/>
          <w:color w:val="000000"/>
          <w:spacing w:val="15"/>
          <w:sz w:val="31"/>
          <w:szCs w:val="31"/>
          <w:bdr w:val="none" w:color="auto" w:sz="0" w:space="0"/>
        </w:rPr>
        <w:t>100</w:t>
      </w:r>
      <w:r>
        <w:rPr>
          <w:rFonts w:hint="default" w:ascii="仿宋_GB2312" w:hAnsi="微软雅黑" w:eastAsia="仿宋_GB2312" w:cs="仿宋_GB2312"/>
          <w:b w:val="0"/>
          <w:bCs w:val="0"/>
          <w:i w:val="0"/>
          <w:iCs w:val="0"/>
          <w:caps w:val="0"/>
          <w:color w:val="000000"/>
          <w:spacing w:val="15"/>
          <w:sz w:val="31"/>
          <w:szCs w:val="31"/>
          <w:bdr w:val="none" w:color="auto" w:sz="0" w:space="0"/>
        </w:rPr>
        <w:t>%，成功率</w:t>
      </w:r>
      <w:r>
        <w:rPr>
          <w:rFonts w:hint="default" w:ascii="Times New Roman" w:hAnsi="Times New Roman" w:eastAsia="仿宋_GB2312" w:cs="Times New Roman"/>
          <w:b w:val="0"/>
          <w:bCs w:val="0"/>
          <w:i w:val="0"/>
          <w:iCs w:val="0"/>
          <w:caps w:val="0"/>
          <w:color w:val="000000"/>
          <w:spacing w:val="15"/>
          <w:sz w:val="31"/>
          <w:szCs w:val="31"/>
          <w:bdr w:val="none" w:color="auto" w:sz="0" w:space="0"/>
        </w:rPr>
        <w:t>100</w:t>
      </w:r>
      <w:r>
        <w:rPr>
          <w:rFonts w:hint="default" w:ascii="仿宋_GB2312" w:hAnsi="微软雅黑" w:eastAsia="仿宋_GB2312" w:cs="仿宋_GB2312"/>
          <w:b w:val="0"/>
          <w:bCs w:val="0"/>
          <w:i w:val="0"/>
          <w:iCs w:val="0"/>
          <w:caps w:val="0"/>
          <w:color w:val="000000"/>
          <w:spacing w:val="15"/>
          <w:sz w:val="31"/>
          <w:szCs w:val="31"/>
          <w:bdr w:val="none" w:color="auto" w:sz="0" w:space="0"/>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15"/>
          <w:sz w:val="31"/>
          <w:szCs w:val="31"/>
          <w:bdr w:val="none" w:color="auto" w:sz="0" w:space="0"/>
        </w:rPr>
        <w:t>三、</w:t>
      </w:r>
      <w:r>
        <w:rPr>
          <w:rFonts w:hint="eastAsia" w:ascii="黑体" w:hAnsi="宋体" w:eastAsia="黑体" w:cs="黑体"/>
          <w:b w:val="0"/>
          <w:bCs w:val="0"/>
          <w:i w:val="0"/>
          <w:iCs w:val="0"/>
          <w:caps w:val="0"/>
          <w:color w:val="000000"/>
          <w:spacing w:val="0"/>
          <w:sz w:val="31"/>
          <w:szCs w:val="31"/>
          <w:bdr w:val="none" w:color="auto" w:sz="0" w:space="0"/>
        </w:rPr>
        <w:t>推进法治政府建设存在的不足、原因和问题整改情况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15"/>
          <w:sz w:val="31"/>
          <w:szCs w:val="31"/>
          <w:bdr w:val="none" w:color="auto" w:sz="0" w:space="0"/>
        </w:rPr>
        <w:t>在完成工作的同时，也正视不足之处，主要表现在街道领导干部优先运用法治思维和法治方式开展工作的能力有待提升，普法宣传，公共法律服务整体水平存在较大提升空间等。下一步的工作中，我们将继续以习近平新时代中国特色社会主义思想为指导，以习近平法治思想为引领，不断推进街道法治政府建设各领域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15"/>
          <w:sz w:val="31"/>
          <w:szCs w:val="31"/>
          <w:bdr w:val="none" w:color="auto" w:sz="0" w:space="0"/>
        </w:rPr>
        <w:t>四、下一年度推进法治政府建设的初步安排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15"/>
          <w:sz w:val="31"/>
          <w:szCs w:val="31"/>
          <w:bdr w:val="none" w:color="auto" w:sz="0" w:space="0"/>
        </w:rPr>
        <w:t>（一）提升学习，加强习近平法治思想的学习宣传贯彻。</w:t>
      </w:r>
      <w:r>
        <w:rPr>
          <w:rFonts w:hint="default" w:ascii="仿宋_GB2312" w:hAnsi="微软雅黑" w:eastAsia="仿宋_GB2312" w:cs="仿宋_GB2312"/>
          <w:b w:val="0"/>
          <w:bCs w:val="0"/>
          <w:i w:val="0"/>
          <w:iCs w:val="0"/>
          <w:caps w:val="0"/>
          <w:color w:val="000000"/>
          <w:spacing w:val="15"/>
          <w:sz w:val="31"/>
          <w:szCs w:val="31"/>
          <w:bdr w:val="none" w:color="auto" w:sz="0" w:space="0"/>
        </w:rPr>
        <w:t>认真贯彻落实《领导干部应知应会党内法规和国家法律清单制度》，把习近平法治思想纳入党工委理论学习中心组学习重点内容。推动领导干部带头学习、模范践行，进一步提高领导干部的法律素质和法治思维水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15"/>
          <w:sz w:val="31"/>
          <w:szCs w:val="31"/>
          <w:bdr w:val="none" w:color="auto" w:sz="0" w:space="0"/>
        </w:rPr>
        <w:t>（二）增强意识，继续做好依法行政宣传。</w:t>
      </w:r>
      <w:r>
        <w:rPr>
          <w:rFonts w:hint="default" w:ascii="仿宋_GB2312" w:hAnsi="微软雅黑" w:eastAsia="仿宋_GB2312" w:cs="仿宋_GB2312"/>
          <w:b w:val="0"/>
          <w:bCs w:val="0"/>
          <w:i w:val="0"/>
          <w:iCs w:val="0"/>
          <w:caps w:val="0"/>
          <w:color w:val="000000"/>
          <w:spacing w:val="15"/>
          <w:sz w:val="31"/>
          <w:szCs w:val="31"/>
          <w:bdr w:val="none" w:color="auto" w:sz="0" w:space="0"/>
        </w:rPr>
        <w:t>把依法行政工作纳入街道工作的重要议事日程，针对社区管理和建设的特点，加大宣传力度。把依法行政与加强社会治理有机结合，不断提高依法行政的水平和能力。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15"/>
          <w:sz w:val="31"/>
          <w:szCs w:val="31"/>
          <w:bdr w:val="none" w:color="auto" w:sz="0" w:space="0"/>
        </w:rPr>
        <w:t>（三）完善制度，切实抓好重点对象法治教育。</w:t>
      </w:r>
      <w:r>
        <w:rPr>
          <w:rFonts w:hint="default" w:ascii="仿宋_GB2312" w:hAnsi="微软雅黑" w:eastAsia="仿宋_GB2312" w:cs="仿宋_GB2312"/>
          <w:b w:val="0"/>
          <w:bCs w:val="0"/>
          <w:i w:val="0"/>
          <w:iCs w:val="0"/>
          <w:caps w:val="0"/>
          <w:color w:val="000000"/>
          <w:spacing w:val="15"/>
          <w:sz w:val="31"/>
          <w:szCs w:val="31"/>
          <w:bdr w:val="none" w:color="auto" w:sz="0" w:space="0"/>
        </w:rPr>
        <w:t>继续抓好以领导干部、青少年和企业经营者为重点对象的法治宣传教育。通过教育，使领导干部提高依法决策、依法行政的意识，青少年提高遵纪守法的意识，企业经营管理人员提高依法经营管理的意识。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eastAsia" w:ascii="楷体" w:hAnsi="楷体" w:eastAsia="楷体" w:cs="楷体"/>
          <w:b w:val="0"/>
          <w:bCs w:val="0"/>
          <w:i w:val="0"/>
          <w:iCs w:val="0"/>
          <w:caps w:val="0"/>
          <w:color w:val="000000"/>
          <w:spacing w:val="15"/>
          <w:sz w:val="31"/>
          <w:szCs w:val="31"/>
          <w:bdr w:val="none" w:color="auto" w:sz="0" w:space="0"/>
        </w:rPr>
        <w:t>（四）把牢节点，多措并举做好普法宣传教育。</w:t>
      </w:r>
      <w:r>
        <w:rPr>
          <w:rFonts w:hint="default" w:ascii="仿宋_GB2312" w:hAnsi="微软雅黑" w:eastAsia="仿宋_GB2312" w:cs="仿宋_GB2312"/>
          <w:b w:val="0"/>
          <w:bCs w:val="0"/>
          <w:i w:val="0"/>
          <w:iCs w:val="0"/>
          <w:caps w:val="0"/>
          <w:color w:val="000000"/>
          <w:spacing w:val="15"/>
          <w:sz w:val="31"/>
          <w:szCs w:val="31"/>
          <w:bdr w:val="none" w:color="auto" w:sz="0" w:space="0"/>
        </w:rPr>
        <w:t>认真组织开展好“</w:t>
      </w:r>
      <w:r>
        <w:rPr>
          <w:rFonts w:hint="default" w:ascii="Times New Roman" w:hAnsi="Times New Roman" w:eastAsia="仿宋_GB2312" w:cs="Times New Roman"/>
          <w:b w:val="0"/>
          <w:bCs w:val="0"/>
          <w:i w:val="0"/>
          <w:iCs w:val="0"/>
          <w:caps w:val="0"/>
          <w:color w:val="000000"/>
          <w:spacing w:val="15"/>
          <w:sz w:val="31"/>
          <w:szCs w:val="31"/>
          <w:bdr w:val="none" w:color="auto" w:sz="0" w:space="0"/>
        </w:rPr>
        <w:t>12</w:t>
      </w:r>
      <w:r>
        <w:rPr>
          <w:rFonts w:hint="default" w:ascii="仿宋_GB2312" w:hAnsi="微软雅黑" w:eastAsia="仿宋_GB2312" w:cs="仿宋_GB2312"/>
          <w:b w:val="0"/>
          <w:bCs w:val="0"/>
          <w:i w:val="0"/>
          <w:iCs w:val="0"/>
          <w:caps w:val="0"/>
          <w:color w:val="000000"/>
          <w:spacing w:val="15"/>
          <w:sz w:val="31"/>
          <w:szCs w:val="31"/>
          <w:bdr w:val="none" w:color="auto" w:sz="0" w:space="0"/>
        </w:rPr>
        <w:t>·</w:t>
      </w:r>
      <w:r>
        <w:rPr>
          <w:rFonts w:hint="default" w:ascii="Times New Roman" w:hAnsi="Times New Roman" w:eastAsia="仿宋_GB2312" w:cs="Times New Roman"/>
          <w:b w:val="0"/>
          <w:bCs w:val="0"/>
          <w:i w:val="0"/>
          <w:iCs w:val="0"/>
          <w:caps w:val="0"/>
          <w:color w:val="000000"/>
          <w:spacing w:val="15"/>
          <w:sz w:val="31"/>
          <w:szCs w:val="31"/>
          <w:bdr w:val="none" w:color="auto" w:sz="0" w:space="0"/>
        </w:rPr>
        <w:t>4</w:t>
      </w:r>
      <w:r>
        <w:rPr>
          <w:rFonts w:hint="default" w:ascii="仿宋_GB2312" w:hAnsi="微软雅黑" w:eastAsia="仿宋_GB2312" w:cs="仿宋_GB2312"/>
          <w:b w:val="0"/>
          <w:bCs w:val="0"/>
          <w:i w:val="0"/>
          <w:iCs w:val="0"/>
          <w:caps w:val="0"/>
          <w:color w:val="000000"/>
          <w:spacing w:val="15"/>
          <w:sz w:val="31"/>
          <w:szCs w:val="31"/>
          <w:bdr w:val="none" w:color="auto" w:sz="0" w:space="0"/>
        </w:rPr>
        <w:t>”国家宪法日宣传活动，并利用好法治宣传日、宣传周、宣传月等时机，创新方式方法送法进社区。广泛开展普法教育，让普法教育入眼、入耳、入脑、入心。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90"/>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15"/>
          <w:sz w:val="31"/>
          <w:szCs w:val="31"/>
          <w:bdr w:val="none" w:color="auto" w:sz="0" w:space="0"/>
        </w:rPr>
        <w:t>特此报告。</w:t>
      </w:r>
    </w:p>
    <w:p>
      <w:pPr>
        <w:keepNext w:val="0"/>
        <w:keepLines w:val="0"/>
        <w:pageBreakBefore w:val="0"/>
        <w:widowControl w:val="0"/>
        <w:kinsoku/>
        <w:wordWrap/>
        <w:overflowPunct/>
        <w:topLinePunct w:val="0"/>
        <w:autoSpaceDE/>
        <w:autoSpaceDN/>
        <w:bidi w:val="0"/>
        <w:adjustRightInd/>
        <w:snapToGrid/>
        <w:spacing w:line="590" w:lineRule="exact"/>
        <w:ind w:firstLine="684" w:firstLineChars="200"/>
        <w:textAlignment w:val="auto"/>
        <w:rPr>
          <w:rFonts w:hint="eastAsia" w:ascii="仿宋_GB2312" w:hAnsi="仿宋_GB2312" w:eastAsia="仿宋_GB2312" w:cs="仿宋_GB2312"/>
          <w:spacing w:val="11"/>
          <w:sz w:val="32"/>
          <w:szCs w:val="32"/>
          <w:lang w:eastAsia="zh-CN"/>
        </w:rPr>
      </w:pPr>
      <w:bookmarkStart w:id="0" w:name="_GoBack"/>
      <w:bookmarkEnd w:id="0"/>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lang w:eastAsia="zh-CN"/>
        </w:rPr>
        <w:t>中共灞陵街道工作委员会</w:t>
      </w:r>
    </w:p>
    <w:p>
      <w:pPr>
        <w:keepNext w:val="0"/>
        <w:keepLines w:val="0"/>
        <w:pageBreakBefore w:val="0"/>
        <w:widowControl w:val="0"/>
        <w:kinsoku/>
        <w:wordWrap/>
        <w:overflowPunct/>
        <w:topLinePunct w:val="0"/>
        <w:autoSpaceDE/>
        <w:autoSpaceDN/>
        <w:bidi w:val="0"/>
        <w:adjustRightInd/>
        <w:snapToGrid/>
        <w:spacing w:line="590" w:lineRule="exact"/>
        <w:ind w:firstLine="5472" w:firstLineChars="160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灞陵街道办事处</w:t>
      </w:r>
    </w:p>
    <w:p>
      <w:pPr>
        <w:pStyle w:val="2"/>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spacing w:val="11"/>
          <w:lang w:val="en-US" w:eastAsia="zh-CN"/>
        </w:rPr>
      </w:pPr>
      <w:r>
        <w:rPr>
          <w:rFonts w:hint="eastAsia" w:ascii="仿宋_GB2312" w:hAnsi="仿宋_GB2312" w:eastAsia="仿宋_GB2312" w:cs="仿宋_GB2312"/>
          <w:spacing w:val="11"/>
          <w:sz w:val="32"/>
          <w:szCs w:val="32"/>
          <w:lang w:val="en-US" w:eastAsia="zh-CN"/>
        </w:rPr>
        <w:t xml:space="preserve">                      </w:t>
      </w:r>
      <w:r>
        <w:rPr>
          <w:rFonts w:hint="default" w:ascii="Times New Roman" w:hAnsi="Times New Roman" w:eastAsia="仿宋_GB2312" w:cs="Times New Roman"/>
          <w:b w:val="0"/>
          <w:bCs w:val="0"/>
          <w:spacing w:val="11"/>
          <w:sz w:val="32"/>
          <w:szCs w:val="32"/>
          <w:lang w:val="en-US" w:eastAsia="zh-CN"/>
        </w:rPr>
        <w:t xml:space="preserve">    </w:t>
      </w:r>
      <w:r>
        <w:rPr>
          <w:rFonts w:hint="eastAsia" w:eastAsia="仿宋_GB2312" w:cs="Times New Roman"/>
          <w:b w:val="0"/>
          <w:bCs w:val="0"/>
          <w:spacing w:val="11"/>
          <w:sz w:val="32"/>
          <w:szCs w:val="32"/>
          <w:lang w:val="en-US" w:eastAsia="zh-CN"/>
        </w:rPr>
        <w:t xml:space="preserve"> </w:t>
      </w:r>
      <w:r>
        <w:rPr>
          <w:rFonts w:hint="default" w:ascii="Times New Roman" w:hAnsi="Times New Roman" w:eastAsia="仿宋_GB2312" w:cs="Times New Roman"/>
          <w:b w:val="0"/>
          <w:bCs w:val="0"/>
          <w:spacing w:val="11"/>
          <w:sz w:val="32"/>
          <w:szCs w:val="32"/>
          <w:lang w:val="en-US" w:eastAsia="zh-CN"/>
        </w:rPr>
        <w:t>2024</w:t>
      </w:r>
      <w:r>
        <w:rPr>
          <w:rFonts w:hint="eastAsia" w:ascii="仿宋_GB2312" w:hAnsi="仿宋_GB2312" w:eastAsia="仿宋_GB2312" w:cs="仿宋_GB2312"/>
          <w:spacing w:val="11"/>
          <w:sz w:val="32"/>
          <w:szCs w:val="32"/>
          <w:lang w:val="en-US" w:eastAsia="zh-CN"/>
        </w:rPr>
        <w:t>年</w:t>
      </w:r>
      <w:r>
        <w:rPr>
          <w:rFonts w:hint="default" w:ascii="Times New Roman" w:hAnsi="Times New Roman" w:eastAsia="仿宋_GB2312" w:cs="Times New Roman"/>
          <w:spacing w:val="11"/>
          <w:sz w:val="32"/>
          <w:szCs w:val="32"/>
          <w:lang w:val="en-US" w:eastAsia="zh-CN"/>
        </w:rPr>
        <w:t>3</w:t>
      </w:r>
      <w:r>
        <w:rPr>
          <w:rFonts w:hint="eastAsia" w:ascii="仿宋_GB2312" w:hAnsi="仿宋_GB2312" w:eastAsia="仿宋_GB2312" w:cs="仿宋_GB2312"/>
          <w:spacing w:val="11"/>
          <w:sz w:val="32"/>
          <w:szCs w:val="32"/>
          <w:lang w:val="en-US" w:eastAsia="zh-CN"/>
        </w:rPr>
        <w:t>月</w:t>
      </w:r>
      <w:r>
        <w:rPr>
          <w:rFonts w:hint="default" w:ascii="Times New Roman" w:hAnsi="Times New Roman" w:eastAsia="仿宋_GB2312" w:cs="Times New Roman"/>
          <w:spacing w:val="11"/>
          <w:sz w:val="32"/>
          <w:szCs w:val="32"/>
          <w:lang w:val="en-US" w:eastAsia="zh-CN"/>
        </w:rPr>
        <w:t>6</w:t>
      </w:r>
      <w:r>
        <w:rPr>
          <w:rFonts w:hint="eastAsia" w:ascii="仿宋_GB2312" w:hAnsi="仿宋_GB2312" w:eastAsia="仿宋_GB2312" w:cs="仿宋_GB2312"/>
          <w:spacing w:val="11"/>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5213985</wp:posOffset>
                </wp:positionV>
                <wp:extent cx="4940300" cy="4406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940300" cy="440690"/>
                        </a:xfrm>
                        <a:prstGeom prst="rect">
                          <a:avLst/>
                        </a:prstGeom>
                        <a:noFill/>
                        <a:ln w="6350">
                          <a:noFill/>
                        </a:ln>
                        <a:effectLst/>
                      </wps:spPr>
                      <wps:txbx>
                        <w:txbxContent>
                          <w:p>
                            <w:pPr>
                              <w:wordWrap w:val="0"/>
                              <w:jc w:val="right"/>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35pt;margin-top:410.55pt;height:34.7pt;width:389pt;z-index:251660288;mso-width-relative:page;mso-height-relative:page;" filled="f" stroked="f" coordsize="21600,21600" o:gfxdata="UEsDBAoAAAAAAIdO4kAAAAAAAAAAAAAAAAAEAAAAZHJzL1BLAwQUAAAACACHTuJASfMfddoAAAAL&#10;AQAADwAAAGRycy9kb3ducmV2LnhtbE2PzU7DMBCE70i8g7VI3KidoEAa4lQoUoWE4NDSC7dN7CYR&#10;8TrE7g88PcsJjjP7aXamXJ3dKI52DoMnDclCgbDUejNQp2H3tr7JQYSIZHD0ZDV82QCr6vKixML4&#10;E23scRs7wSEUCtTQxzgVUoa2tw7Dwk+W+Lb3s8PIcu6kmfHE4W6UqVJ30uFA/KHHyda9bT+2B6fh&#10;uV6/4qZJXf491k8v+8fpc/eeaX19lagHENGe4x8Mv/W5OlTcqfEHMkGMrLP0nlENeZokIJhY3ip2&#10;GnaWKgNZlfL/huoHUEsDBBQAAAAIAIdO4kBWXrXUQgIAAHQEAAAOAAAAZHJzL2Uyb0RvYy54bWyt&#10;VMFu1DAQvSPxD5bvNNl2t9BVs9XSqgipopUK4ux1nCaS7TG2t0n5APgDTly48139Dp6d3W1VOPTA&#10;xRl7xjPz3jzn+GQwmt0qHzqyFZ/slZwpK6nu7E3FP308f/WGsxCFrYUmqyp+pwI/Wbx8cdy7udqn&#10;lnStPEMSG+a9q3gbo5sXRZCtMiLskVMWzoa8ERFbf1PUXvTIbnSxX5aHRU++dp6kCgGnZ6OTbzL6&#10;5ySkpumkOiO5NsrGMatXWkRACm3nAl/kbptGyXjZNEFFpisOpDGvKAJ7ldZicSzmN164tpObFsRz&#10;WniCyYjOougu1ZmIgq1991cq00lPgZq4J8kUI5DMCFBMyifcXLfCqYwFVAe3Iz38v7Tyw+2VZ11d&#10;8RlnVhgM/P7H9/ufv+9/fWOzRE/vwhxR1w5xcXhLA0SzPQ84TKiHxpv0BR4GP8i925GrhsgkDqdH&#10;0/KghEvCN52Wh0eZ/eLhtvMhvlNkWDIq7jG8zKm4vQgRnSB0G5KKWTrvtM4D1Jb1FT88mJX5ws6D&#10;G9qmWJWlsEmTEI2dJysOq2EDc0X1HVB6GmUSnDzv0MqFCPFKeOgC3ePlxEssjSaUpI3FWUv+67/O&#10;UzzGBS9nPXRW8fBlLbziTL+3GOTRBFxAmHkznb3ex8Y/9qwee+zanBKkPMEbdTKbKT7qrdl4Mp/x&#10;wJapKlzCStSueNyap3FUPx6oVMtlDoIUnYgX9trJlHokd7mO1HSZ90TTyA2GkDYQYx7H5uEktT/e&#10;56iHn8Xi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nzH3XaAAAACwEAAA8AAAAAAAAAAQAgAAAA&#10;IgAAAGRycy9kb3ducmV2LnhtbFBLAQIUABQAAAAIAIdO4kBWXrXUQgIAAHQEAAAOAAAAAAAAAAEA&#10;IAAAACkBAABkcnMvZTJvRG9jLnhtbFBLBQYAAAAABgAGAFkBAADdBQAAAAA=&#10;">
                <v:fill on="f" focussize="0,0"/>
                <v:stroke on="f" weight="0.5pt"/>
                <v:imagedata o:title=""/>
                <o:lock v:ext="edit" aspectratio="f"/>
                <v:textbox>
                  <w:txbxContent>
                    <w:p>
                      <w:pPr>
                        <w:wordWrap w:val="0"/>
                        <w:jc w:val="right"/>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w:t>
                      </w:r>
                    </w:p>
                  </w:txbxContent>
                </v:textbox>
              </v:shap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1871" w:right="1361" w:bottom="1871" w:left="1644" w:header="851" w:footer="1417"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17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adjustRightInd/>
                            <w:snapToGrid w:val="0"/>
                            <w:ind w:left="0" w:leftChars="0" w:firstLine="262" w:firstLineChars="100"/>
                            <w:jc w:val="both"/>
                            <w:textAlignment w:val="auto"/>
                            <w:rPr>
                              <w:rFonts w:hint="eastAsia" w:eastAsia="宋体"/>
                              <w:spacing w:val="11"/>
                              <w:sz w:val="24"/>
                              <w:szCs w:val="24"/>
                              <w:lang w:val="en-US" w:eastAsia="zh-CN"/>
                            </w:rPr>
                          </w:pPr>
                          <w:r>
                            <w:rPr>
                              <w:spacing w:val="11"/>
                              <w:sz w:val="24"/>
                              <w:szCs w:val="24"/>
                            </w:rPr>
                            <w:t>—</w:t>
                          </w:r>
                          <w:r>
                            <w:rPr>
                              <w:spacing w:val="11"/>
                              <w:sz w:val="28"/>
                              <w:szCs w:val="28"/>
                            </w:rPr>
                            <w:fldChar w:fldCharType="begin"/>
                          </w:r>
                          <w:r>
                            <w:rPr>
                              <w:spacing w:val="11"/>
                              <w:sz w:val="28"/>
                              <w:szCs w:val="28"/>
                            </w:rPr>
                            <w:instrText xml:space="preserve"> PAGE  \* MERGEFORMAT </w:instrText>
                          </w:r>
                          <w:r>
                            <w:rPr>
                              <w:spacing w:val="11"/>
                              <w:sz w:val="28"/>
                              <w:szCs w:val="28"/>
                            </w:rPr>
                            <w:fldChar w:fldCharType="separate"/>
                          </w:r>
                          <w:r>
                            <w:rPr>
                              <w:spacing w:val="11"/>
                              <w:sz w:val="28"/>
                              <w:szCs w:val="28"/>
                            </w:rPr>
                            <w:t>1</w:t>
                          </w:r>
                          <w:r>
                            <w:rPr>
                              <w:spacing w:val="11"/>
                              <w:sz w:val="28"/>
                              <w:szCs w:val="28"/>
                            </w:rPr>
                            <w:fldChar w:fldCharType="end"/>
                          </w:r>
                          <w:r>
                            <w:rPr>
                              <w:rFonts w:hint="eastAsia"/>
                              <w:spacing w:val="11"/>
                              <w:sz w:val="28"/>
                              <w:szCs w:val="28"/>
                              <w:lang w:val="en-US" w:eastAsia="zh-CN"/>
                            </w:rPr>
                            <w:t xml:space="preserve">   </w:t>
                          </w:r>
                          <w:r>
                            <w:rPr>
                              <w:spacing w:val="11"/>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6pt;height:144pt;width:144pt;mso-position-horizontal:outside;mso-position-horizontal-relative:margin;mso-wrap-style:none;z-index:251659264;mso-width-relative:page;mso-height-relative:page;" filled="f" stroked="f" coordsize="21600,21600" o:gfxdata="UEsDBAoAAAAAAIdO4kAAAAAAAAAAAAAAAAAEAAAAZHJzL1BLAwQUAAAACACHTuJA5ksJK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zSDAS7WZ7z4ngbNjnI&#10;qpT/+atf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ksJK9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adjustRightInd/>
                      <w:snapToGrid w:val="0"/>
                      <w:ind w:left="0" w:leftChars="0" w:firstLine="262" w:firstLineChars="100"/>
                      <w:jc w:val="both"/>
                      <w:textAlignment w:val="auto"/>
                      <w:rPr>
                        <w:rFonts w:hint="eastAsia" w:eastAsia="宋体"/>
                        <w:spacing w:val="11"/>
                        <w:sz w:val="24"/>
                        <w:szCs w:val="24"/>
                        <w:lang w:val="en-US" w:eastAsia="zh-CN"/>
                      </w:rPr>
                    </w:pPr>
                    <w:r>
                      <w:rPr>
                        <w:spacing w:val="11"/>
                        <w:sz w:val="24"/>
                        <w:szCs w:val="24"/>
                      </w:rPr>
                      <w:t>—</w:t>
                    </w:r>
                    <w:r>
                      <w:rPr>
                        <w:spacing w:val="11"/>
                        <w:sz w:val="28"/>
                        <w:szCs w:val="28"/>
                      </w:rPr>
                      <w:fldChar w:fldCharType="begin"/>
                    </w:r>
                    <w:r>
                      <w:rPr>
                        <w:spacing w:val="11"/>
                        <w:sz w:val="28"/>
                        <w:szCs w:val="28"/>
                      </w:rPr>
                      <w:instrText xml:space="preserve"> PAGE  \* MERGEFORMAT </w:instrText>
                    </w:r>
                    <w:r>
                      <w:rPr>
                        <w:spacing w:val="11"/>
                        <w:sz w:val="28"/>
                        <w:szCs w:val="28"/>
                      </w:rPr>
                      <w:fldChar w:fldCharType="separate"/>
                    </w:r>
                    <w:r>
                      <w:rPr>
                        <w:spacing w:val="11"/>
                        <w:sz w:val="28"/>
                        <w:szCs w:val="28"/>
                      </w:rPr>
                      <w:t>1</w:t>
                    </w:r>
                    <w:r>
                      <w:rPr>
                        <w:spacing w:val="11"/>
                        <w:sz w:val="28"/>
                        <w:szCs w:val="28"/>
                      </w:rPr>
                      <w:fldChar w:fldCharType="end"/>
                    </w:r>
                    <w:r>
                      <w:rPr>
                        <w:rFonts w:hint="eastAsia"/>
                        <w:spacing w:val="11"/>
                        <w:sz w:val="28"/>
                        <w:szCs w:val="28"/>
                        <w:lang w:val="en-US" w:eastAsia="zh-CN"/>
                      </w:rPr>
                      <w:t xml:space="preserve">   </w:t>
                    </w:r>
                    <w:r>
                      <w:rPr>
                        <w:spacing w:val="11"/>
                        <w:sz w:val="24"/>
                        <w:szCs w:val="24"/>
                      </w:rPr>
                      <w:t>—</w:t>
                    </w:r>
                  </w:p>
                </w:txbxContent>
              </v:textbox>
            </v:shape>
          </w:pict>
        </mc:Fallback>
      </mc:AlternateContent>
    </w:r>
    <w:r>
      <w:rPr>
        <w:rFonts w:hint="eastAsia"/>
        <w:lang w:val="en-US" w:eastAsia="zh-CN"/>
      </w:rPr>
      <w:t xml:space="preserve"> </w:t>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pStyle w:val="24"/>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00172A27"/>
    <w:rsid w:val="00540531"/>
    <w:rsid w:val="006D3D92"/>
    <w:rsid w:val="007E0D9A"/>
    <w:rsid w:val="00815AB2"/>
    <w:rsid w:val="00F907CF"/>
    <w:rsid w:val="00F92D88"/>
    <w:rsid w:val="019C73F6"/>
    <w:rsid w:val="020C0690"/>
    <w:rsid w:val="022B5C5F"/>
    <w:rsid w:val="028133D3"/>
    <w:rsid w:val="02C14E8A"/>
    <w:rsid w:val="02CE17E8"/>
    <w:rsid w:val="032E79A4"/>
    <w:rsid w:val="03A3186D"/>
    <w:rsid w:val="03A6635D"/>
    <w:rsid w:val="042E42BB"/>
    <w:rsid w:val="046773F8"/>
    <w:rsid w:val="04842AA6"/>
    <w:rsid w:val="048A2FD4"/>
    <w:rsid w:val="051777AE"/>
    <w:rsid w:val="06083957"/>
    <w:rsid w:val="06C877C8"/>
    <w:rsid w:val="06E57945"/>
    <w:rsid w:val="06FB6683"/>
    <w:rsid w:val="083F5EEE"/>
    <w:rsid w:val="08742482"/>
    <w:rsid w:val="08F5187C"/>
    <w:rsid w:val="09042BA3"/>
    <w:rsid w:val="09212671"/>
    <w:rsid w:val="0984086D"/>
    <w:rsid w:val="09994D39"/>
    <w:rsid w:val="09C34087"/>
    <w:rsid w:val="0A342978"/>
    <w:rsid w:val="0A544E3D"/>
    <w:rsid w:val="0AF376E2"/>
    <w:rsid w:val="0BA454D0"/>
    <w:rsid w:val="0BA654F2"/>
    <w:rsid w:val="0BC40876"/>
    <w:rsid w:val="0BCD2F68"/>
    <w:rsid w:val="0C7D0506"/>
    <w:rsid w:val="0C994C14"/>
    <w:rsid w:val="0CAA68C0"/>
    <w:rsid w:val="0CD14C99"/>
    <w:rsid w:val="0CF314A3"/>
    <w:rsid w:val="0D584ACF"/>
    <w:rsid w:val="0D847597"/>
    <w:rsid w:val="0DAA42B4"/>
    <w:rsid w:val="0EC84A4C"/>
    <w:rsid w:val="0F2C12A9"/>
    <w:rsid w:val="0F707DC9"/>
    <w:rsid w:val="0FA66967"/>
    <w:rsid w:val="1013531F"/>
    <w:rsid w:val="10795489"/>
    <w:rsid w:val="11EE6D74"/>
    <w:rsid w:val="12A83ACE"/>
    <w:rsid w:val="12D83F4B"/>
    <w:rsid w:val="12E076BA"/>
    <w:rsid w:val="133C7D3B"/>
    <w:rsid w:val="148B4E01"/>
    <w:rsid w:val="14BB72AB"/>
    <w:rsid w:val="14E373F9"/>
    <w:rsid w:val="15325C06"/>
    <w:rsid w:val="15B4486D"/>
    <w:rsid w:val="16776DF7"/>
    <w:rsid w:val="16E01DBD"/>
    <w:rsid w:val="16ED6288"/>
    <w:rsid w:val="17195EA2"/>
    <w:rsid w:val="171C0DD8"/>
    <w:rsid w:val="1722395D"/>
    <w:rsid w:val="177F6D0E"/>
    <w:rsid w:val="17A230D1"/>
    <w:rsid w:val="17CC3766"/>
    <w:rsid w:val="1A5D0E3A"/>
    <w:rsid w:val="1A9F1F86"/>
    <w:rsid w:val="1AEE4AAD"/>
    <w:rsid w:val="1B675E70"/>
    <w:rsid w:val="1C0C0186"/>
    <w:rsid w:val="1C2C10E4"/>
    <w:rsid w:val="1CFF0AC4"/>
    <w:rsid w:val="1D0B577E"/>
    <w:rsid w:val="1E0E681C"/>
    <w:rsid w:val="1E3A0CA4"/>
    <w:rsid w:val="1EC16567"/>
    <w:rsid w:val="2066658E"/>
    <w:rsid w:val="20C718F8"/>
    <w:rsid w:val="20EF182C"/>
    <w:rsid w:val="2120005A"/>
    <w:rsid w:val="21AB3CC4"/>
    <w:rsid w:val="21B176B2"/>
    <w:rsid w:val="21E464DA"/>
    <w:rsid w:val="221D156A"/>
    <w:rsid w:val="222A21B9"/>
    <w:rsid w:val="22D06D45"/>
    <w:rsid w:val="23315496"/>
    <w:rsid w:val="233C481F"/>
    <w:rsid w:val="2352050E"/>
    <w:rsid w:val="244A4D1A"/>
    <w:rsid w:val="24775B20"/>
    <w:rsid w:val="247C6339"/>
    <w:rsid w:val="248621B4"/>
    <w:rsid w:val="24BA2F50"/>
    <w:rsid w:val="24E10A0D"/>
    <w:rsid w:val="253F05F7"/>
    <w:rsid w:val="255A624B"/>
    <w:rsid w:val="259C15A5"/>
    <w:rsid w:val="25C61809"/>
    <w:rsid w:val="265236D5"/>
    <w:rsid w:val="26551754"/>
    <w:rsid w:val="266F7C4E"/>
    <w:rsid w:val="269F0969"/>
    <w:rsid w:val="26BE1307"/>
    <w:rsid w:val="26FB054E"/>
    <w:rsid w:val="271D0435"/>
    <w:rsid w:val="27E014F2"/>
    <w:rsid w:val="29FE62D6"/>
    <w:rsid w:val="2A3117A7"/>
    <w:rsid w:val="2AC6331D"/>
    <w:rsid w:val="2BA8529B"/>
    <w:rsid w:val="2C063C1D"/>
    <w:rsid w:val="2C1874AC"/>
    <w:rsid w:val="2C5F50DB"/>
    <w:rsid w:val="2C965046"/>
    <w:rsid w:val="2DA24710"/>
    <w:rsid w:val="2DC97885"/>
    <w:rsid w:val="2DE723BE"/>
    <w:rsid w:val="2E393768"/>
    <w:rsid w:val="2F2D5789"/>
    <w:rsid w:val="2F9E7C7C"/>
    <w:rsid w:val="3082583C"/>
    <w:rsid w:val="309811D7"/>
    <w:rsid w:val="30B55C11"/>
    <w:rsid w:val="30F13D81"/>
    <w:rsid w:val="31042ED2"/>
    <w:rsid w:val="31DF1009"/>
    <w:rsid w:val="3209459F"/>
    <w:rsid w:val="323555AE"/>
    <w:rsid w:val="331035D3"/>
    <w:rsid w:val="34032CE2"/>
    <w:rsid w:val="340E3AA3"/>
    <w:rsid w:val="341303FA"/>
    <w:rsid w:val="342067C1"/>
    <w:rsid w:val="346B6C5F"/>
    <w:rsid w:val="34F12F90"/>
    <w:rsid w:val="3556637D"/>
    <w:rsid w:val="35FC7E3E"/>
    <w:rsid w:val="362C0724"/>
    <w:rsid w:val="370B46CC"/>
    <w:rsid w:val="375C316C"/>
    <w:rsid w:val="37F34188"/>
    <w:rsid w:val="384C5E6B"/>
    <w:rsid w:val="38AA67D8"/>
    <w:rsid w:val="38B83436"/>
    <w:rsid w:val="394668C7"/>
    <w:rsid w:val="39851845"/>
    <w:rsid w:val="39AA3547"/>
    <w:rsid w:val="39FB3A19"/>
    <w:rsid w:val="3A8D375B"/>
    <w:rsid w:val="3B025891"/>
    <w:rsid w:val="3B5822BE"/>
    <w:rsid w:val="3C2141BB"/>
    <w:rsid w:val="3C7F4B9D"/>
    <w:rsid w:val="3D6F7148"/>
    <w:rsid w:val="3E876AB8"/>
    <w:rsid w:val="3ED234EF"/>
    <w:rsid w:val="3EE00F88"/>
    <w:rsid w:val="3F7A0B7E"/>
    <w:rsid w:val="3F873FC2"/>
    <w:rsid w:val="3FD24E42"/>
    <w:rsid w:val="40352017"/>
    <w:rsid w:val="40A67324"/>
    <w:rsid w:val="4108369A"/>
    <w:rsid w:val="42A63956"/>
    <w:rsid w:val="43BB5A9D"/>
    <w:rsid w:val="440101D5"/>
    <w:rsid w:val="44B006F9"/>
    <w:rsid w:val="455C6098"/>
    <w:rsid w:val="45D943AB"/>
    <w:rsid w:val="46446892"/>
    <w:rsid w:val="46466CB8"/>
    <w:rsid w:val="46AB7328"/>
    <w:rsid w:val="46CD4E06"/>
    <w:rsid w:val="47013EC9"/>
    <w:rsid w:val="470E44F9"/>
    <w:rsid w:val="47783B70"/>
    <w:rsid w:val="47790FA3"/>
    <w:rsid w:val="47E950BF"/>
    <w:rsid w:val="47F55390"/>
    <w:rsid w:val="48E528D0"/>
    <w:rsid w:val="49146B29"/>
    <w:rsid w:val="4A2869F5"/>
    <w:rsid w:val="4ABD2A38"/>
    <w:rsid w:val="4B814C16"/>
    <w:rsid w:val="4BAD5139"/>
    <w:rsid w:val="4C2B7C95"/>
    <w:rsid w:val="4D782049"/>
    <w:rsid w:val="4E0D60FE"/>
    <w:rsid w:val="4F205113"/>
    <w:rsid w:val="4F275AD4"/>
    <w:rsid w:val="4F6B33D5"/>
    <w:rsid w:val="4F7B53F3"/>
    <w:rsid w:val="4FB072D4"/>
    <w:rsid w:val="503151AA"/>
    <w:rsid w:val="508605D9"/>
    <w:rsid w:val="509671C9"/>
    <w:rsid w:val="50B81611"/>
    <w:rsid w:val="50DC46BF"/>
    <w:rsid w:val="510B7C3A"/>
    <w:rsid w:val="515C06B0"/>
    <w:rsid w:val="51FF0643"/>
    <w:rsid w:val="522B681A"/>
    <w:rsid w:val="52AE3C91"/>
    <w:rsid w:val="52D66CFA"/>
    <w:rsid w:val="52DD59B7"/>
    <w:rsid w:val="52EF77F3"/>
    <w:rsid w:val="53821C2B"/>
    <w:rsid w:val="5384193F"/>
    <w:rsid w:val="538608EE"/>
    <w:rsid w:val="53971289"/>
    <w:rsid w:val="53E80709"/>
    <w:rsid w:val="547E4DF8"/>
    <w:rsid w:val="54A528A4"/>
    <w:rsid w:val="54BF1528"/>
    <w:rsid w:val="55264138"/>
    <w:rsid w:val="55333939"/>
    <w:rsid w:val="56C163E8"/>
    <w:rsid w:val="56D31AE6"/>
    <w:rsid w:val="57332A89"/>
    <w:rsid w:val="57876693"/>
    <w:rsid w:val="57D83ADB"/>
    <w:rsid w:val="584A4ECC"/>
    <w:rsid w:val="58FA6881"/>
    <w:rsid w:val="59284F72"/>
    <w:rsid w:val="59AF2530"/>
    <w:rsid w:val="5ABF1859"/>
    <w:rsid w:val="5B8D127E"/>
    <w:rsid w:val="5BE65008"/>
    <w:rsid w:val="5C951B86"/>
    <w:rsid w:val="5CBE76C8"/>
    <w:rsid w:val="5EA4480C"/>
    <w:rsid w:val="5F225970"/>
    <w:rsid w:val="5FD80850"/>
    <w:rsid w:val="60343BAD"/>
    <w:rsid w:val="60D86C2E"/>
    <w:rsid w:val="60F2384C"/>
    <w:rsid w:val="61C10986"/>
    <w:rsid w:val="62E50B9F"/>
    <w:rsid w:val="62E62BE1"/>
    <w:rsid w:val="633A1C00"/>
    <w:rsid w:val="63573360"/>
    <w:rsid w:val="63C075FC"/>
    <w:rsid w:val="649C3709"/>
    <w:rsid w:val="65297F6D"/>
    <w:rsid w:val="656F13C6"/>
    <w:rsid w:val="65956212"/>
    <w:rsid w:val="66052315"/>
    <w:rsid w:val="665169BC"/>
    <w:rsid w:val="67A022BA"/>
    <w:rsid w:val="67A310DD"/>
    <w:rsid w:val="67D14485"/>
    <w:rsid w:val="68270821"/>
    <w:rsid w:val="68A044D6"/>
    <w:rsid w:val="68A41D70"/>
    <w:rsid w:val="68BB139E"/>
    <w:rsid w:val="69024A44"/>
    <w:rsid w:val="690E5325"/>
    <w:rsid w:val="699E3EED"/>
    <w:rsid w:val="6AB305BC"/>
    <w:rsid w:val="6B204AEC"/>
    <w:rsid w:val="6B4274FD"/>
    <w:rsid w:val="6C710906"/>
    <w:rsid w:val="6C747DA0"/>
    <w:rsid w:val="6CB36FD6"/>
    <w:rsid w:val="6CB90B5F"/>
    <w:rsid w:val="6D292E87"/>
    <w:rsid w:val="6D403E6F"/>
    <w:rsid w:val="6D4C69DA"/>
    <w:rsid w:val="6D6D06DB"/>
    <w:rsid w:val="6DD97AE5"/>
    <w:rsid w:val="6DDB1B0C"/>
    <w:rsid w:val="6E34121C"/>
    <w:rsid w:val="6E8A7CBC"/>
    <w:rsid w:val="6EB0092A"/>
    <w:rsid w:val="6F1316F6"/>
    <w:rsid w:val="6F485569"/>
    <w:rsid w:val="6FB20780"/>
    <w:rsid w:val="703C1C9B"/>
    <w:rsid w:val="7071054E"/>
    <w:rsid w:val="709E4559"/>
    <w:rsid w:val="719318F5"/>
    <w:rsid w:val="731414AE"/>
    <w:rsid w:val="73A26E49"/>
    <w:rsid w:val="73C37479"/>
    <w:rsid w:val="73DA6D43"/>
    <w:rsid w:val="73F03F77"/>
    <w:rsid w:val="743877F5"/>
    <w:rsid w:val="746A3BEA"/>
    <w:rsid w:val="74923C9E"/>
    <w:rsid w:val="74BB4445"/>
    <w:rsid w:val="74FC20BA"/>
    <w:rsid w:val="75464CE1"/>
    <w:rsid w:val="75DF4F65"/>
    <w:rsid w:val="76B86E8E"/>
    <w:rsid w:val="76C07D3E"/>
    <w:rsid w:val="76CA6BC2"/>
    <w:rsid w:val="770737D2"/>
    <w:rsid w:val="77521117"/>
    <w:rsid w:val="78197564"/>
    <w:rsid w:val="7B4C65F5"/>
    <w:rsid w:val="7C8041B7"/>
    <w:rsid w:val="7DD845E8"/>
    <w:rsid w:val="7E1B5CDA"/>
    <w:rsid w:val="7EA96C28"/>
    <w:rsid w:val="7F871AF4"/>
    <w:rsid w:val="7FD00C37"/>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autoRedefine/>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14">
    <w:name w:val="Default Paragraph Font"/>
    <w:autoRedefine/>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szCs w:val="18"/>
    </w:rPr>
  </w:style>
  <w:style w:type="paragraph" w:styleId="5">
    <w:name w:val="Normal Indent"/>
    <w:basedOn w:val="1"/>
    <w:autoRedefine/>
    <w:qFormat/>
    <w:uiPriority w:val="0"/>
    <w:pPr>
      <w:ind w:firstLine="420" w:firstLineChars="200"/>
    </w:pPr>
  </w:style>
  <w:style w:type="paragraph" w:styleId="6">
    <w:name w:val="Body Text"/>
    <w:basedOn w:val="1"/>
    <w:next w:val="7"/>
    <w:autoRedefine/>
    <w:qFormat/>
    <w:uiPriority w:val="0"/>
    <w:pPr>
      <w:spacing w:after="120" w:afterLines="0"/>
    </w:pPr>
  </w:style>
  <w:style w:type="paragraph" w:styleId="7">
    <w:name w:val="Body Text 2"/>
    <w:basedOn w:val="1"/>
    <w:autoRedefine/>
    <w:qFormat/>
    <w:uiPriority w:val="0"/>
    <w:pPr>
      <w:spacing w:after="120" w:afterLines="0" w:line="480" w:lineRule="auto"/>
    </w:p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character" w:styleId="15">
    <w:name w:val="Strong"/>
    <w:basedOn w:val="14"/>
    <w:autoRedefine/>
    <w:qFormat/>
    <w:uiPriority w:val="0"/>
    <w:rPr>
      <w:b/>
    </w:rPr>
  </w:style>
  <w:style w:type="character" w:styleId="16">
    <w:name w:val="FollowedHyperlink"/>
    <w:basedOn w:val="14"/>
    <w:autoRedefine/>
    <w:qFormat/>
    <w:uiPriority w:val="0"/>
    <w:rPr>
      <w:color w:val="337AB7"/>
      <w:u w:val="none"/>
    </w:rPr>
  </w:style>
  <w:style w:type="character" w:styleId="17">
    <w:name w:val="Emphasis"/>
    <w:basedOn w:val="14"/>
    <w:autoRedefine/>
    <w:qFormat/>
    <w:uiPriority w:val="0"/>
    <w:rPr>
      <w:u w:val="single"/>
    </w:rPr>
  </w:style>
  <w:style w:type="character" w:styleId="18">
    <w:name w:val="HTML Definition"/>
    <w:basedOn w:val="14"/>
    <w:autoRedefine/>
    <w:qFormat/>
    <w:uiPriority w:val="0"/>
    <w:rPr>
      <w:i/>
    </w:rPr>
  </w:style>
  <w:style w:type="character" w:styleId="19">
    <w:name w:val="Hyperlink"/>
    <w:basedOn w:val="14"/>
    <w:autoRedefine/>
    <w:qFormat/>
    <w:uiPriority w:val="0"/>
    <w:rPr>
      <w:color w:val="337AB7"/>
      <w:u w:val="none"/>
    </w:rPr>
  </w:style>
  <w:style w:type="character" w:styleId="20">
    <w:name w:val="HTML Code"/>
    <w:basedOn w:val="14"/>
    <w:autoRedefine/>
    <w:qFormat/>
    <w:uiPriority w:val="0"/>
    <w:rPr>
      <w:rFonts w:hint="default" w:ascii="monospace" w:hAnsi="monospace" w:eastAsia="monospace" w:cs="monospace"/>
      <w:sz w:val="21"/>
      <w:szCs w:val="21"/>
    </w:rPr>
  </w:style>
  <w:style w:type="character" w:styleId="21">
    <w:name w:val="HTML Cite"/>
    <w:basedOn w:val="14"/>
    <w:autoRedefine/>
    <w:qFormat/>
    <w:uiPriority w:val="0"/>
  </w:style>
  <w:style w:type="character" w:styleId="22">
    <w:name w:val="HTML Keyboard"/>
    <w:basedOn w:val="14"/>
    <w:autoRedefine/>
    <w:qFormat/>
    <w:uiPriority w:val="0"/>
    <w:rPr>
      <w:rFonts w:hint="default" w:ascii="monospace" w:hAnsi="monospace" w:eastAsia="monospace" w:cs="monospace"/>
      <w:sz w:val="21"/>
      <w:szCs w:val="21"/>
    </w:rPr>
  </w:style>
  <w:style w:type="character" w:styleId="23">
    <w:name w:val="HTML Sample"/>
    <w:basedOn w:val="14"/>
    <w:autoRedefine/>
    <w:qFormat/>
    <w:uiPriority w:val="0"/>
    <w:rPr>
      <w:rFonts w:ascii="monospace" w:hAnsi="monospace" w:eastAsia="monospace" w:cs="monospace"/>
      <w:sz w:val="21"/>
      <w:szCs w:val="21"/>
    </w:rPr>
  </w:style>
  <w:style w:type="paragraph" w:customStyle="1" w:styleId="24">
    <w:name w:val="Body Text 21"/>
    <w:basedOn w:val="1"/>
    <w:autoRedefine/>
    <w:qFormat/>
    <w:uiPriority w:val="0"/>
    <w:pPr>
      <w:widowControl/>
      <w:numPr>
        <w:ilvl w:val="0"/>
        <w:numId w:val="1"/>
      </w:numPr>
      <w:spacing w:before="156" w:beforeLines="50" w:line="336" w:lineRule="auto"/>
      <w:ind w:left="0" w:firstLine="0"/>
    </w:pPr>
    <w:rPr>
      <w:rFonts w:eastAsia="黑体"/>
      <w:szCs w:val="20"/>
    </w:rPr>
  </w:style>
  <w:style w:type="paragraph" w:customStyle="1" w:styleId="25">
    <w:name w:val="Body Text First Indent"/>
    <w:basedOn w:val="6"/>
    <w:autoRedefine/>
    <w:qFormat/>
    <w:uiPriority w:val="0"/>
    <w:pPr>
      <w:ind w:firstLine="420" w:firstLineChars="100"/>
    </w:pPr>
  </w:style>
  <w:style w:type="paragraph" w:customStyle="1" w:styleId="26">
    <w:name w:val="Body Text First Indent1"/>
    <w:basedOn w:val="6"/>
    <w:next w:val="6"/>
    <w:autoRedefine/>
    <w:qFormat/>
    <w:uiPriority w:val="0"/>
    <w:pPr>
      <w:ind w:firstLine="420" w:firstLineChars="100"/>
    </w:pPr>
  </w:style>
  <w:style w:type="character" w:customStyle="1" w:styleId="27">
    <w:name w:val="PageNumber"/>
    <w:basedOn w:val="28"/>
    <w:autoRedefine/>
    <w:qFormat/>
    <w:uiPriority w:val="0"/>
  </w:style>
  <w:style w:type="character" w:customStyle="1" w:styleId="28">
    <w:name w:val="NormalCharacter"/>
    <w:autoRedefine/>
    <w:qFormat/>
    <w:uiPriority w:val="0"/>
    <w:rPr>
      <w:rFonts w:eastAsia="宋体"/>
      <w:kern w:val="2"/>
      <w:sz w:val="21"/>
      <w:lang w:val="en-US" w:eastAsia="zh-CN"/>
    </w:rPr>
  </w:style>
  <w:style w:type="paragraph" w:customStyle="1" w:styleId="29">
    <w:name w:val="Table Paragraph"/>
    <w:basedOn w:val="1"/>
    <w:autoRedefine/>
    <w:qFormat/>
    <w:uiPriority w:val="0"/>
    <w:rPr>
      <w:rFonts w:ascii="仿宋" w:hAnsi="仿宋" w:eastAsia="仿宋" w:cs="仿宋"/>
      <w:lang w:val="zh-CN" w:eastAsia="zh-CN" w:bidi="zh-CN"/>
    </w:rPr>
  </w:style>
  <w:style w:type="paragraph" w:customStyle="1" w:styleId="30">
    <w:name w:val="Body text|1"/>
    <w:basedOn w:val="1"/>
    <w:autoRedefine/>
    <w:qFormat/>
    <w:uiPriority w:val="0"/>
    <w:pPr>
      <w:widowControl w:val="0"/>
      <w:shd w:val="clear" w:color="auto" w:fill="auto"/>
      <w:spacing w:line="41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222</Words>
  <Characters>234</Characters>
  <Lines>22</Lines>
  <Paragraphs>6</Paragraphs>
  <TotalTime>5</TotalTime>
  <ScaleCrop>false</ScaleCrop>
  <LinksUpToDate>false</LinksUpToDate>
  <CharactersWithSpaces>281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2019-11-27T08:53:00Z</dcterms:created>
  <dc:creator>Administrator</dc:creator>
  <cp:lastModifiedBy>Administrator</cp:lastModifiedBy>
  <cp:lastPrinted>2024-03-07T00:55:00Z</cp:lastPrinted>
  <dcterms:modified xsi:type="dcterms:W3CDTF">2024-03-26T01:05:50Z</dcterms:modified>
  <dc:title>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183DDC4221FE4A48ABF8B5687DBD6D9C_13</vt:lpwstr>
  </property>
</Properties>
</file>