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rPr>
          <w:rFonts w:hint="eastAsia" w:ascii="方正小标宋简体" w:hAnsi="方正小标宋简体" w:eastAsia="方正小标宋简体" w:cs="方正小标宋简体"/>
          <w:b w:val="0"/>
          <w:bCs w:val="0"/>
          <w:spacing w:val="0"/>
          <w:sz w:val="44"/>
          <w:szCs w:val="44"/>
          <w:lang w:val="en-US" w:eastAsia="zh-CN"/>
        </w:rPr>
      </w:pPr>
      <w:r>
        <w:rPr>
          <w:rFonts w:hint="eastAsia" w:ascii="方正小标宋简体" w:hAnsi="方正小标宋简体" w:eastAsia="方正小标宋简体" w:cs="方正小标宋简体"/>
          <w:b w:val="0"/>
          <w:bCs w:val="0"/>
          <w:spacing w:val="0"/>
          <w:sz w:val="44"/>
          <w:szCs w:val="44"/>
          <w:lang w:val="en-US" w:eastAsia="zh-CN"/>
        </w:rPr>
        <w:t xml:space="preserve">中共东大街道党工委  </w:t>
      </w:r>
      <w:bookmarkStart w:id="0" w:name="_GoBack"/>
      <w:r>
        <w:rPr>
          <w:rFonts w:hint="eastAsia" w:ascii="方正小标宋简体" w:hAnsi="方正小标宋简体" w:eastAsia="方正小标宋简体" w:cs="方正小标宋简体"/>
          <w:b w:val="0"/>
          <w:bCs w:val="0"/>
          <w:spacing w:val="0"/>
          <w:sz w:val="44"/>
          <w:szCs w:val="44"/>
          <w:lang w:val="en-US" w:eastAsia="zh-CN"/>
        </w:rPr>
        <w:t>东大街道办事处</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rPr>
          <w:rFonts w:hint="eastAsia" w:ascii="宋体" w:hAnsi="宋体" w:eastAsia="宋体" w:cs="宋体"/>
          <w:b/>
          <w:bCs/>
          <w:sz w:val="44"/>
          <w:szCs w:val="44"/>
          <w:lang w:val="en-US" w:eastAsia="zh-CN"/>
        </w:rPr>
      </w:pPr>
      <w:r>
        <w:rPr>
          <w:rFonts w:hint="eastAsia" w:ascii="方正小标宋简体" w:hAnsi="方正小标宋简体" w:eastAsia="方正小标宋简体" w:cs="方正小标宋简体"/>
          <w:b w:val="0"/>
          <w:bCs w:val="0"/>
          <w:spacing w:val="0"/>
          <w:sz w:val="44"/>
          <w:szCs w:val="44"/>
          <w:lang w:val="en-US" w:eastAsia="zh-CN"/>
        </w:rPr>
        <w:t>关于2023年法治政府建设情况的报告</w:t>
      </w:r>
    </w:p>
    <w:bookmarkEnd w:id="0"/>
    <w:p>
      <w:pPr>
        <w:ind w:left="0" w:leftChars="0" w:firstLine="838" w:firstLineChars="262"/>
        <w:jc w:val="center"/>
        <w:rPr>
          <w:rFonts w:hint="eastAsia" w:ascii="仿宋" w:hAnsi="仿宋" w:eastAsia="仿宋" w:cs="仿宋"/>
          <w:b w:val="0"/>
          <w:bCs w:val="0"/>
          <w:sz w:val="32"/>
          <w:szCs w:val="32"/>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40"/>
        <w:jc w:val="both"/>
        <w:rPr>
          <w:rFonts w:ascii="微软雅黑" w:hAnsi="微软雅黑" w:eastAsia="微软雅黑" w:cs="微软雅黑"/>
          <w:b w:val="0"/>
          <w:bCs w:val="0"/>
          <w:i w:val="0"/>
          <w:iCs w:val="0"/>
          <w:caps w:val="0"/>
          <w:color w:val="000000"/>
          <w:spacing w:val="0"/>
          <w:sz w:val="24"/>
          <w:szCs w:val="24"/>
        </w:rPr>
      </w:pPr>
      <w:r>
        <w:rPr>
          <w:rFonts w:ascii="仿宋" w:hAnsi="仿宋" w:eastAsia="仿宋" w:cs="仿宋"/>
          <w:b w:val="0"/>
          <w:bCs w:val="0"/>
          <w:i w:val="0"/>
          <w:iCs w:val="0"/>
          <w:caps w:val="0"/>
          <w:color w:val="000000"/>
          <w:spacing w:val="0"/>
          <w:sz w:val="31"/>
          <w:szCs w:val="31"/>
          <w:bdr w:val="none" w:color="auto" w:sz="0" w:space="0"/>
        </w:rPr>
        <w:t>20</w:t>
      </w:r>
      <w:r>
        <w:rPr>
          <w:rFonts w:hint="eastAsia" w:ascii="仿宋" w:hAnsi="仿宋" w:eastAsia="仿宋" w:cs="仿宋"/>
          <w:b w:val="0"/>
          <w:bCs w:val="0"/>
          <w:i w:val="0"/>
          <w:iCs w:val="0"/>
          <w:caps w:val="0"/>
          <w:color w:val="000000"/>
          <w:spacing w:val="0"/>
          <w:sz w:val="31"/>
          <w:szCs w:val="31"/>
          <w:bdr w:val="none" w:color="auto" w:sz="0" w:space="0"/>
        </w:rPr>
        <w:t>23年度在区委、区政府的领导下，我办认真学习贯彻党的二十大精神和习近平法治思想以及关于法治政府建设的重要指示精神，全面贯彻落实法治政府建设各项部署，大力推进依法行政，服务经济发展大局，多措并举，狠抓落实，推进法治政府各项工作有序推进，依法行政体制机制进一步完善，政府各项工作法治化、规范化水平进一步提升，法治政府建设取得新进展。结合我办实际，现将2023年度法治政府建设工作情况报告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Style w:val="10"/>
          <w:rFonts w:ascii="黑体" w:hAnsi="宋体" w:eastAsia="黑体" w:cs="黑体"/>
          <w:i w:val="0"/>
          <w:iCs w:val="0"/>
          <w:caps w:val="0"/>
          <w:color w:val="000000"/>
          <w:spacing w:val="0"/>
          <w:sz w:val="31"/>
          <w:szCs w:val="31"/>
          <w:bdr w:val="none" w:color="auto" w:sz="0" w:space="0"/>
        </w:rPr>
        <w:t>一、</w:t>
      </w:r>
      <w:r>
        <w:rPr>
          <w:rStyle w:val="10"/>
          <w:rFonts w:hint="eastAsia" w:ascii="黑体" w:hAnsi="宋体" w:eastAsia="黑体" w:cs="黑体"/>
          <w:i w:val="0"/>
          <w:iCs w:val="0"/>
          <w:caps w:val="0"/>
          <w:color w:val="000000"/>
          <w:spacing w:val="0"/>
          <w:sz w:val="31"/>
          <w:szCs w:val="31"/>
          <w:bdr w:val="none" w:color="auto" w:sz="0" w:space="0"/>
        </w:rPr>
        <w:t>推进法治建设第一责任人责任，加强法治政府建设</w:t>
      </w:r>
      <w:r>
        <w:rPr>
          <w:rStyle w:val="10"/>
          <w:rFonts w:hint="eastAsia" w:ascii="仿宋" w:hAnsi="仿宋" w:eastAsia="仿宋" w:cs="仿宋"/>
          <w:i w:val="0"/>
          <w:iCs w:val="0"/>
          <w:caps w:val="0"/>
          <w:color w:val="000000"/>
          <w:spacing w:val="0"/>
          <w:sz w:val="31"/>
          <w:szCs w:val="31"/>
          <w:bdr w:val="none" w:color="auto" w:sz="0" w:space="0"/>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rPr>
        <w:t>（</w:t>
      </w:r>
      <w:r>
        <w:rPr>
          <w:rStyle w:val="10"/>
          <w:rFonts w:hint="eastAsia" w:ascii="黑体" w:hAnsi="宋体" w:eastAsia="黑体" w:cs="黑体"/>
          <w:i w:val="0"/>
          <w:iCs w:val="0"/>
          <w:caps w:val="0"/>
          <w:color w:val="000000"/>
          <w:spacing w:val="0"/>
          <w:sz w:val="31"/>
          <w:szCs w:val="31"/>
          <w:bdr w:val="none" w:color="auto" w:sz="0" w:space="0"/>
        </w:rPr>
        <w:t>一</w:t>
      </w:r>
      <w:r>
        <w:rPr>
          <w:rFonts w:hint="eastAsia" w:ascii="黑体" w:hAnsi="宋体" w:eastAsia="黑体" w:cs="黑体"/>
          <w:i w:val="0"/>
          <w:iCs w:val="0"/>
          <w:caps w:val="0"/>
          <w:color w:val="000000"/>
          <w:spacing w:val="0"/>
          <w:sz w:val="31"/>
          <w:szCs w:val="31"/>
          <w:bdr w:val="none" w:color="auto" w:sz="0" w:space="0"/>
        </w:rPr>
        <w:t>）</w:t>
      </w:r>
      <w:r>
        <w:rPr>
          <w:rStyle w:val="10"/>
          <w:rFonts w:hint="eastAsia" w:ascii="黑体" w:hAnsi="宋体" w:eastAsia="黑体" w:cs="黑体"/>
          <w:i w:val="0"/>
          <w:iCs w:val="0"/>
          <w:caps w:val="0"/>
          <w:color w:val="000000"/>
          <w:spacing w:val="0"/>
          <w:sz w:val="31"/>
          <w:szCs w:val="31"/>
          <w:bdr w:val="none" w:color="auto" w:sz="0" w:space="0"/>
        </w:rPr>
        <w:t>提高认识，加强依法行政组织领导。</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1"/>
          <w:szCs w:val="31"/>
          <w:bdr w:val="none" w:color="auto" w:sz="0" w:space="0"/>
        </w:rPr>
        <w:t>街道党工委、办事处高度重视，将法治工作纳入2023年党工委年度工作计划中，制定方案，进一步细化依法行政工作任务，全面深入推进依法行政工作，始终坚持把依法行政工作当作构建和谐社会、建设法治政府的重大举措来推动落实。同时成立依法行政工作领导小组，由街道党工委书记担任组长，办事处主任、人大工委主任为副组长，切实履行推进法治建设第一责任人职责。街道各部门负责人为成员，负责组织、协调、推进街道依法行政工作，切实加强了对本街道范围内的依法行政工作领导。认真抓好学习培训考试工作。建立法律知识学习培训长效机制，采取以会代训，以案释法等形式，教育引导全体干部职工学法、知法、用法、守法，并督促执法人员加强学习，进一步强化法治意识，提高依法执政、依法行政的能力和水平。同时，领导干部带头尊法学法用法，为街道工作人员培养树立法治意识，并组织街道、社区干部学习法律法规及方针政策，开展全民学法知法懂法守法活动，营造浓厚氛围，进一步提高了对依法行政工作重要性的认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bCs w:val="0"/>
          <w:i w:val="0"/>
          <w:iCs w:val="0"/>
          <w:caps w:val="0"/>
          <w:color w:val="000000"/>
          <w:spacing w:val="0"/>
          <w:sz w:val="24"/>
          <w:szCs w:val="24"/>
        </w:rPr>
      </w:pPr>
      <w:r>
        <w:rPr>
          <w:rStyle w:val="10"/>
          <w:rFonts w:hint="eastAsia" w:ascii="黑体" w:hAnsi="宋体" w:eastAsia="黑体" w:cs="黑体"/>
          <w:i w:val="0"/>
          <w:iCs w:val="0"/>
          <w:caps w:val="0"/>
          <w:color w:val="000000"/>
          <w:spacing w:val="0"/>
          <w:sz w:val="31"/>
          <w:szCs w:val="31"/>
          <w:bdr w:val="none" w:color="auto" w:sz="0" w:space="0"/>
        </w:rPr>
        <w:t>（二）规范执法，提高行政执法工作效能。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1"/>
          <w:szCs w:val="31"/>
          <w:bdr w:val="none" w:color="auto" w:sz="0" w:space="0"/>
        </w:rPr>
        <w:t>一是严格依法履行职责。各职能部门严格履行职责，针对辖区内烟花爆竹小商小贩、煤气公司以及煤气专卖点等重点部位、重点场所定期开展消防安全大检查行动。二是持续规范行政执法行为。加强程序制度建设，细化执法流程，明确执法环节和步骤，保障执法公正。三是强化行政执法证件管理。为提高执法人员素质和执法水平，结合行政执法证件管理的要求，建立了执法人员的培训考核与资格管理制度，认真抓好我办执法人员证件的换发以及报名培训考试等工作，切实加强行政执法证件管理，从而强化了行政机关依法管理行政执法证件的意识，维护了行政执法证件的严肃性。</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Style w:val="10"/>
          <w:rFonts w:hint="eastAsia" w:ascii="黑体" w:hAnsi="宋体" w:eastAsia="黑体" w:cs="黑体"/>
          <w:i w:val="0"/>
          <w:iCs w:val="0"/>
          <w:caps w:val="0"/>
          <w:color w:val="000000"/>
          <w:spacing w:val="0"/>
          <w:sz w:val="31"/>
          <w:szCs w:val="31"/>
          <w:bdr w:val="none" w:color="auto" w:sz="0" w:space="0"/>
        </w:rPr>
        <w:t>（三）完善行政决策程序，健全依法决策制度和风险评估机制。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1"/>
          <w:szCs w:val="31"/>
          <w:bdr w:val="none" w:color="auto" w:sz="0" w:space="0"/>
        </w:rPr>
        <w:t>为提高行政决策科学水平，建立健全行政决策听取公众意见和听证制度。充分听取广大群众各方面意见，并进行公开公示。建立健全重大事项行政决策集体研究决策与合法性审查制度，重大事项行政决策由街道党工委会议研究审议。会议召开前，有关议题由办事处依法行政领导小组严格按照重大事项行政决策风险分析的评判标准、指标体系和分析方法进行合法性审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Style w:val="10"/>
          <w:rFonts w:hint="eastAsia" w:ascii="黑体" w:hAnsi="宋体" w:eastAsia="黑体" w:cs="黑体"/>
          <w:i w:val="0"/>
          <w:iCs w:val="0"/>
          <w:caps w:val="0"/>
          <w:color w:val="000000"/>
          <w:spacing w:val="0"/>
          <w:sz w:val="31"/>
          <w:szCs w:val="31"/>
          <w:bdr w:val="none" w:color="auto" w:sz="0" w:space="0"/>
        </w:rPr>
        <w:t>（四）推进依法行政，防范和化解社会矛盾。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1"/>
          <w:szCs w:val="31"/>
          <w:bdr w:val="none" w:color="auto" w:sz="0" w:space="0"/>
        </w:rPr>
        <w:t>一是切实发挥网格化管理实效，确保信息的及时性。完善信访接待制度，建立完善案件回访、受理申诉、接待群众举报、来信来访制度。积极处理居民群众反映的各类信访件，耐心细致地做好来访者的政策宣传与解释工作，依法有效地化解各类矛盾纠纷，维护社会和谐稳定；随着普法工作的深入开展，依法维权已成为群众的首选，群众法治意识逐渐增强，大多数群众在遇到纠纷时首先想到的是通过街道综治信访中心、司法所依法解决，而不是息事宁人或以暴治暴，从而创造了一个和谐稳定、群众安居乐业的治安环境，形成了有事主动请教法律顾问的良好风气。二是认真履行法律、法规、规章规定的各项行政执法职责。今年以来，我办进一步加强力度，认真组织街道干部、职工加强学习，提高对行政执法工作的意义、目的、具体内容、程序方法等的认识和理解,认真履行法律、法规、规章规定的各项行政执法职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40"/>
        <w:jc w:val="both"/>
        <w:rPr>
          <w:rFonts w:hint="eastAsia" w:ascii="微软雅黑" w:hAnsi="微软雅黑" w:eastAsia="微软雅黑" w:cs="微软雅黑"/>
          <w:b w:val="0"/>
          <w:bCs w:val="0"/>
          <w:i w:val="0"/>
          <w:iCs w:val="0"/>
          <w:caps w:val="0"/>
          <w:color w:val="000000"/>
          <w:spacing w:val="0"/>
          <w:sz w:val="24"/>
          <w:szCs w:val="24"/>
        </w:rPr>
      </w:pPr>
      <w:r>
        <w:rPr>
          <w:rStyle w:val="10"/>
          <w:rFonts w:hint="eastAsia" w:ascii="黑体" w:hAnsi="宋体" w:eastAsia="黑体" w:cs="黑体"/>
          <w:i w:val="0"/>
          <w:iCs w:val="0"/>
          <w:caps w:val="0"/>
          <w:color w:val="000000"/>
          <w:spacing w:val="0"/>
          <w:sz w:val="31"/>
          <w:szCs w:val="31"/>
          <w:bdr w:val="none" w:color="auto" w:sz="0" w:space="0"/>
        </w:rPr>
        <w:t>二、推进法治政府建设的主要举措和成效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40"/>
        <w:jc w:val="both"/>
        <w:rPr>
          <w:rFonts w:hint="eastAsia" w:ascii="微软雅黑" w:hAnsi="微软雅黑" w:eastAsia="微软雅黑" w:cs="微软雅黑"/>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1"/>
          <w:szCs w:val="31"/>
          <w:bdr w:val="none" w:color="auto" w:sz="0" w:space="0"/>
        </w:rPr>
        <w:t>一是按要求做好事前、事中、事后公示,行政执法文字记录合法规范，音像记录得到普遍运用和严格归档。二是制定和完善执法制度，做到执法流程清楚、要求具体、时限明确。落实各执法机构岗位责任制，做到执法流程清楚、要求具体、时限明确，落实各执法机构岗位责任制。三是提高法治思维和依法行政能力。领导干部带头学习法治思维和法律法规，认真贯彻落实习近平法治思想，认真学习习近平关于全面依法治国工作会议上重要讲话和指示批示精神。四是扎实开展普法宣传提高法治思维和依法行政能力。扎实推进普法宣传教育工作，组织开展系统普法教育和全体干部职工开展网络学法平台学习、“八五”普法法律知识线上评测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40"/>
        <w:jc w:val="both"/>
        <w:rPr>
          <w:rFonts w:hint="eastAsia" w:ascii="微软雅黑" w:hAnsi="微软雅黑" w:eastAsia="微软雅黑" w:cs="微软雅黑"/>
          <w:b w:val="0"/>
          <w:bCs w:val="0"/>
          <w:i w:val="0"/>
          <w:iCs w:val="0"/>
          <w:caps w:val="0"/>
          <w:color w:val="000000"/>
          <w:spacing w:val="0"/>
          <w:sz w:val="24"/>
          <w:szCs w:val="24"/>
        </w:rPr>
      </w:pPr>
      <w:r>
        <w:rPr>
          <w:rStyle w:val="10"/>
          <w:rFonts w:hint="eastAsia" w:ascii="黑体" w:hAnsi="宋体" w:eastAsia="黑体" w:cs="黑体"/>
          <w:i w:val="0"/>
          <w:iCs w:val="0"/>
          <w:caps w:val="0"/>
          <w:color w:val="000000"/>
          <w:spacing w:val="0"/>
          <w:sz w:val="31"/>
          <w:szCs w:val="31"/>
          <w:bdr w:val="none" w:color="auto" w:sz="0" w:space="0"/>
        </w:rPr>
        <w:t>三、推进法治政府建设存在不足</w:t>
      </w:r>
      <w:r>
        <w:rPr>
          <w:rFonts w:hint="eastAsia" w:ascii="黑体" w:hAnsi="宋体" w:eastAsia="黑体" w:cs="黑体"/>
          <w:i w:val="0"/>
          <w:iCs w:val="0"/>
          <w:caps w:val="0"/>
          <w:color w:val="000000"/>
          <w:spacing w:val="0"/>
          <w:sz w:val="31"/>
          <w:szCs w:val="31"/>
          <w:bdr w:val="none" w:color="auto" w:sz="0" w:space="0"/>
        </w:rPr>
        <w:t>、</w:t>
      </w:r>
      <w:r>
        <w:rPr>
          <w:rStyle w:val="10"/>
          <w:rFonts w:hint="eastAsia" w:ascii="黑体" w:hAnsi="宋体" w:eastAsia="黑体" w:cs="黑体"/>
          <w:i w:val="0"/>
          <w:iCs w:val="0"/>
          <w:caps w:val="0"/>
          <w:color w:val="000000"/>
          <w:spacing w:val="0"/>
          <w:sz w:val="31"/>
          <w:szCs w:val="31"/>
          <w:bdr w:val="none" w:color="auto" w:sz="0" w:space="0"/>
        </w:rPr>
        <w:t>原因和问题整改情况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40"/>
        <w:jc w:val="both"/>
        <w:rPr>
          <w:rFonts w:hint="eastAsia" w:ascii="微软雅黑" w:hAnsi="微软雅黑" w:eastAsia="微软雅黑" w:cs="微软雅黑"/>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1"/>
          <w:szCs w:val="31"/>
          <w:bdr w:val="none" w:color="auto" w:sz="0" w:space="0"/>
        </w:rPr>
        <w:t>今年，我办在法治政府创建方面虽然取得了一定成绩，但与上级的要求还有一定差距，与全面推进依法治国，建设法治政府的目标相比，还存在一些不足。主要表现在：一是部分基层行政执法人员法治观念、法律意识不强，与依法行政的要求还不适应；二是基层执法人员编制、执法经费保障机制与依法行政的要求还不相适应；三是依法行政形势严峻，委托执法过多且权责不对等现象仍然存在；四是行政执法监督力度不够；五是普法工作有待进一步加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val="0"/>
          <w:bCs w:val="0"/>
          <w:i w:val="0"/>
          <w:iCs w:val="0"/>
          <w:caps w:val="0"/>
          <w:color w:val="000000"/>
          <w:spacing w:val="0"/>
          <w:sz w:val="24"/>
          <w:szCs w:val="24"/>
        </w:rPr>
      </w:pPr>
      <w:r>
        <w:rPr>
          <w:rStyle w:val="10"/>
          <w:rFonts w:hint="eastAsia" w:ascii="仿宋" w:hAnsi="仿宋" w:eastAsia="仿宋" w:cs="仿宋"/>
          <w:i w:val="0"/>
          <w:iCs w:val="0"/>
          <w:caps w:val="0"/>
          <w:color w:val="000000"/>
          <w:spacing w:val="0"/>
          <w:sz w:val="31"/>
          <w:szCs w:val="31"/>
          <w:bdr w:val="none" w:color="auto" w:sz="0" w:space="0"/>
        </w:rPr>
        <w:t>    </w:t>
      </w:r>
      <w:r>
        <w:rPr>
          <w:rStyle w:val="10"/>
          <w:rFonts w:hint="eastAsia" w:ascii="黑体" w:hAnsi="宋体" w:eastAsia="黑体" w:cs="黑体"/>
          <w:i w:val="0"/>
          <w:iCs w:val="0"/>
          <w:caps w:val="0"/>
          <w:color w:val="000000"/>
          <w:spacing w:val="0"/>
          <w:sz w:val="31"/>
          <w:szCs w:val="31"/>
          <w:bdr w:val="none" w:color="auto" w:sz="0" w:space="0"/>
        </w:rPr>
        <w:t>四、2024年年度推进法治政府建设初步安排</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1"/>
          <w:szCs w:val="31"/>
          <w:bdr w:val="none" w:color="auto" w:sz="0" w:space="0"/>
        </w:rPr>
        <w:t>（一）继续深入学习贯彻法治思想，深入贯彻落实思想。学习贯彻落实习近平法治思想和党的二十大精神的丰富内涵和精神实质，注重学习效果和理论指导实际，提高基层党员干部学法、守法、执法的思想认识、业务能力和工作水平，进一步广泛开展普法守法宣传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1"/>
          <w:szCs w:val="31"/>
          <w:bdr w:val="none" w:color="auto" w:sz="0" w:space="0"/>
        </w:rPr>
        <w:t>（二）加强行政执法监督。加强行政执法检查，建立多渠道多层次的执法监督检查机制，形成执法检查常态化模式；重点抓好综治信访等方面的执法检查，规范行政执法行为；健全执法岗位责任制度，落实职责内容及考核标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1"/>
          <w:szCs w:val="31"/>
          <w:bdr w:val="none" w:color="auto" w:sz="0" w:space="0"/>
        </w:rPr>
        <w:t>（三）加强社会矛盾纠纷调解机制建设。加快推进行政调解与人民调解、司法调解相结合的“大调解”工作机制，妥善化解新时期各类矛盾纠纷，切实维护社会和谐。</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1"/>
          <w:szCs w:val="31"/>
          <w:bdr w:val="none" w:color="auto" w:sz="0" w:space="0"/>
        </w:rPr>
        <w:t>五、其他需要报告的情况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1"/>
          <w:szCs w:val="31"/>
          <w:bdr w:val="none" w:color="auto" w:sz="0" w:space="0"/>
        </w:rPr>
        <w:t>无。</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b w:val="0"/>
          <w:bCs w:val="0"/>
          <w:i w:val="0"/>
          <w:iCs w:val="0"/>
          <w:caps w:val="0"/>
          <w:color w:val="000000"/>
          <w:spacing w:val="0"/>
          <w:sz w:val="24"/>
          <w:szCs w:val="24"/>
        </w:rPr>
      </w:pPr>
    </w:p>
    <w:p>
      <w:pPr>
        <w:ind w:left="0" w:leftChars="0" w:firstLine="838" w:firstLineChars="262"/>
        <w:jc w:val="both"/>
        <w:rPr>
          <w:rFonts w:hint="eastAsia" w:ascii="仿宋" w:hAnsi="仿宋" w:eastAsia="仿宋" w:cs="仿宋"/>
          <w:b w:val="0"/>
          <w:bCs w:val="0"/>
          <w:sz w:val="32"/>
          <w:szCs w:val="32"/>
        </w:rPr>
      </w:pPr>
    </w:p>
    <w:p>
      <w:pPr>
        <w:ind w:left="0" w:leftChars="0" w:firstLine="838" w:firstLineChars="262"/>
        <w:jc w:val="both"/>
        <w:rPr>
          <w:rFonts w:hint="eastAsia" w:ascii="仿宋" w:hAnsi="仿宋" w:eastAsia="仿宋" w:cs="仿宋"/>
          <w:b w:val="0"/>
          <w:bCs w:val="0"/>
          <w:sz w:val="32"/>
          <w:szCs w:val="32"/>
        </w:rPr>
      </w:pPr>
    </w:p>
    <w:p>
      <w:pPr>
        <w:ind w:left="0" w:leftChars="0" w:firstLine="838" w:firstLineChars="262"/>
        <w:jc w:val="both"/>
        <w:rPr>
          <w:rFonts w:hint="eastAsia" w:ascii="仿宋" w:hAnsi="仿宋" w:eastAsia="仿宋" w:cs="仿宋"/>
          <w:b w:val="0"/>
          <w:bCs w:val="0"/>
          <w:sz w:val="32"/>
          <w:szCs w:val="32"/>
        </w:rPr>
      </w:pPr>
    </w:p>
    <w:p>
      <w:pPr>
        <w:ind w:left="0" w:leftChars="0" w:firstLine="838" w:firstLineChars="262"/>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东大街道党工委  东大街道办事处</w:t>
      </w:r>
    </w:p>
    <w:p>
      <w:pPr>
        <w:ind w:left="0" w:leftChars="0" w:firstLine="838" w:firstLineChars="262"/>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2024年2月28日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lNDA3MjI4MGM3MWE3OGU5ZjNhNzU5NzU2MGYwYzgifQ=="/>
    <w:docVar w:name="KSO_WPS_MARK_KEY" w:val="a448a6b6-d457-473b-9967-c4b521884a88"/>
  </w:docVars>
  <w:rsids>
    <w:rsidRoot w:val="00000000"/>
    <w:rsid w:val="0A2B3919"/>
    <w:rsid w:val="0D082052"/>
    <w:rsid w:val="132247FA"/>
    <w:rsid w:val="15A9411A"/>
    <w:rsid w:val="26192BF6"/>
    <w:rsid w:val="2A8C360C"/>
    <w:rsid w:val="2BD46410"/>
    <w:rsid w:val="38320462"/>
    <w:rsid w:val="56EE6E7C"/>
    <w:rsid w:val="582C40E6"/>
    <w:rsid w:val="595219A0"/>
    <w:rsid w:val="5AFF28B7"/>
    <w:rsid w:val="76B86E8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autoRedefine/>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4"/>
    <w:autoRedefine/>
    <w:qFormat/>
    <w:uiPriority w:val="0"/>
    <w:pPr>
      <w:ind w:firstLine="420" w:firstLineChars="100"/>
    </w:pPr>
    <w:rPr>
      <w:rFonts w:ascii="Times New Roman" w:hAnsi="Times New Roman" w:eastAsia="宋体" w:cs="Times New Roman"/>
    </w:rPr>
  </w:style>
  <w:style w:type="paragraph" w:styleId="3">
    <w:name w:val="Body Text"/>
    <w:basedOn w:val="1"/>
    <w:next w:val="1"/>
    <w:autoRedefine/>
    <w:qFormat/>
    <w:uiPriority w:val="0"/>
    <w:pPr>
      <w:ind w:left="120"/>
    </w:pPr>
    <w:rPr>
      <w:rFonts w:ascii="宋体" w:hAnsi="宋体" w:eastAsia="宋体" w:cs="宋体"/>
      <w:sz w:val="29"/>
      <w:szCs w:val="29"/>
      <w:lang w:val="zh-CN" w:eastAsia="zh-CN" w:bidi="zh-CN"/>
    </w:rPr>
  </w:style>
  <w:style w:type="paragraph" w:styleId="4">
    <w:name w:val="Body Text First Indent 2"/>
    <w:basedOn w:val="5"/>
    <w:autoRedefine/>
    <w:qFormat/>
    <w:uiPriority w:val="0"/>
    <w:pPr>
      <w:widowControl w:val="0"/>
      <w:ind w:firstLine="420" w:firstLineChars="200"/>
      <w:jc w:val="both"/>
    </w:pPr>
    <w:rPr>
      <w:rFonts w:ascii="Calibri" w:hAnsi="Calibri" w:eastAsia="宋体" w:cs="黑体"/>
      <w:snapToGrid w:val="0"/>
      <w:kern w:val="0"/>
      <w:sz w:val="21"/>
      <w:szCs w:val="24"/>
      <w:lang w:val="en-US" w:eastAsia="zh-CN" w:bidi="ar-SA"/>
    </w:rPr>
  </w:style>
  <w:style w:type="paragraph" w:styleId="5">
    <w:name w:val="Body Text Indent"/>
    <w:basedOn w:val="1"/>
    <w:next w:val="6"/>
    <w:autoRedefine/>
    <w:qFormat/>
    <w:uiPriority w:val="0"/>
    <w:pPr>
      <w:ind w:firstLine="640" w:firstLineChars="200"/>
    </w:pPr>
    <w:rPr>
      <w:snapToGrid w:val="0"/>
      <w:kern w:val="0"/>
      <w:szCs w:val="24"/>
    </w:rPr>
  </w:style>
  <w:style w:type="paragraph" w:styleId="6">
    <w:name w:val="Normal Indent"/>
    <w:basedOn w:val="1"/>
    <w:autoRedefine/>
    <w:qFormat/>
    <w:uiPriority w:val="0"/>
    <w:pPr>
      <w:ind w:firstLine="420" w:firstLineChars="200"/>
    </w:pPr>
  </w:style>
  <w:style w:type="paragraph" w:styleId="7">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2024-02-28T00:39:00Z</dcterms:created>
  <dc:creator>Administrator</dc:creator>
  <cp:lastModifiedBy>Administrator</cp:lastModifiedBy>
  <dcterms:modified xsi:type="dcterms:W3CDTF">2024-03-26T01:15:52Z</dcterms:modified>
  <dc:title>青春不散场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AEE24FA2DF1D4255B122A045D5693889_13</vt:lpwstr>
  </property>
</Properties>
</file>