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jc w:val="left"/>
        <w:outlineLvl w:val="9"/>
        <w:rPr>
          <w:rFonts w:hint="eastAsia" w:ascii="仿宋_GB2312" w:hAnsi="仿宋_GB2312" w:eastAsia="仿宋_GB2312" w:cs="仿宋_GB2312"/>
          <w:color w:val="auto"/>
          <w:sz w:val="32"/>
          <w:szCs w:val="32"/>
          <w:lang w:val="en-US" w:eastAsia="zh-CN"/>
        </w:rP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459" w:lineRule="atLeast"/>
        <w:ind w:firstLine="718" w:firstLineChars="342"/>
        <w:jc w:val="center"/>
        <w:rPr>
          <w:rFonts w:hint="eastAsia"/>
        </w:rPr>
      </w:pPr>
    </w:p>
    <w:p>
      <w:pPr>
        <w:widowControl w:val="0"/>
        <w:snapToGrid w:val="0"/>
        <w:spacing w:line="459" w:lineRule="atLeast"/>
        <w:ind w:firstLine="718" w:firstLineChars="342"/>
        <w:jc w:val="center"/>
        <w:rPr>
          <w:rFonts w:hint="eastAsia"/>
        </w:rPr>
      </w:pPr>
    </w:p>
    <w:p>
      <w:pPr>
        <w:widowControl w:val="0"/>
        <w:snapToGrid w:val="0"/>
        <w:spacing w:line="459" w:lineRule="atLeast"/>
        <w:jc w:val="center"/>
        <w:rPr>
          <w:rFonts w:hint="eastAsia" w:ascii="仿宋_GB2312" w:eastAsia="仿宋_GB2312"/>
          <w:sz w:val="31"/>
        </w:rPr>
      </w:pPr>
      <w:r>
        <w:rPr>
          <w:rFonts w:hint="eastAsia" w:ascii="仿宋_GB2312" w:eastAsia="仿宋_GB2312"/>
          <w:sz w:val="31"/>
        </w:rPr>
        <w:t>许魏发改〔20</w:t>
      </w:r>
      <w:r>
        <w:rPr>
          <w:rFonts w:hint="eastAsia" w:ascii="仿宋_GB2312" w:eastAsia="仿宋_GB2312"/>
          <w:sz w:val="31"/>
          <w:lang w:val="en-US" w:eastAsia="zh-CN"/>
        </w:rPr>
        <w:t>24</w:t>
      </w:r>
      <w:r>
        <w:rPr>
          <w:rFonts w:hint="eastAsia" w:ascii="仿宋_GB2312" w:eastAsia="仿宋_GB2312"/>
          <w:sz w:val="31"/>
        </w:rPr>
        <w:t>〕</w:t>
      </w:r>
      <w:r>
        <w:rPr>
          <w:rFonts w:hint="eastAsia" w:ascii="仿宋_GB2312" w:eastAsia="仿宋_GB2312"/>
          <w:sz w:val="31"/>
          <w:lang w:val="en-US" w:eastAsia="zh-CN"/>
        </w:rPr>
        <w:t>58</w:t>
      </w:r>
      <w:bookmarkStart w:id="0" w:name="_GoBack"/>
      <w:bookmarkEnd w:id="0"/>
      <w:r>
        <w:rPr>
          <w:rFonts w:hint="eastAsia" w:ascii="仿宋_GB2312" w:eastAsia="仿宋_GB2312"/>
          <w:sz w:val="31"/>
        </w:rPr>
        <w:t>号</w:t>
      </w:r>
    </w:p>
    <w:p>
      <w:pPr>
        <w:widowControl w:val="0"/>
        <w:snapToGrid w:val="0"/>
        <w:spacing w:line="459" w:lineRule="atLeast"/>
        <w:jc w:val="center"/>
        <w:rPr>
          <w:rFonts w:hint="eastAsia" w:ascii="仿宋_GB2312" w:eastAsia="仿宋_GB2312"/>
          <w:sz w:val="31"/>
        </w:rPr>
      </w:pPr>
    </w:p>
    <w:p>
      <w:pPr>
        <w:widowControl w:val="0"/>
        <w:snapToGrid w:val="0"/>
        <w:spacing w:line="459" w:lineRule="atLeast"/>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b w:val="0"/>
          <w:bCs/>
          <w:spacing w:val="0"/>
          <w:sz w:val="44"/>
          <w:szCs w:val="44"/>
          <w:lang w:val="en-US" w:eastAsia="zh-CN"/>
        </w:rPr>
        <w:t>关于对许昌市魏都区智慧冷链物流园基础设施项目可行性研究报告的批复</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jc w:val="left"/>
        <w:outlineLvl w:val="9"/>
        <w:rPr>
          <w:rFonts w:hint="eastAsia" w:ascii="仿宋_GB2312" w:hAnsi="仿宋_GB2312" w:eastAsia="仿宋_GB2312" w:cs="仿宋_GB2312"/>
          <w:b w:val="0"/>
          <w:bCs w:val="0"/>
          <w:snapToGrid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jc w:val="lef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napToGrid w:val="0"/>
          <w:spacing w:val="0"/>
          <w:sz w:val="32"/>
          <w:szCs w:val="32"/>
          <w:lang w:val="en-US" w:eastAsia="zh-CN"/>
        </w:rPr>
        <w:t>许昌市魏都投资有限责任公司</w:t>
      </w:r>
      <w:r>
        <w:rPr>
          <w:rFonts w:hint="eastAsia" w:ascii="仿宋_GB2312" w:hAnsi="仿宋_GB2312" w:eastAsia="仿宋_GB2312" w:cs="仿宋_GB2312"/>
          <w:b w:val="0"/>
          <w:bCs w:val="0"/>
          <w:snapToGrid w:val="0"/>
          <w:spacing w:val="0"/>
          <w:sz w:val="32"/>
          <w:szCs w:val="32"/>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jc w:val="left"/>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报来许昌市魏都区智慧冷链物流园基础设施项目立项的请示</w:t>
      </w:r>
      <w:r>
        <w:rPr>
          <w:rFonts w:hint="eastAsia" w:ascii="仿宋_GB2312" w:hAnsi="仿宋_GB2312" w:eastAsia="仿宋_GB2312" w:cs="仿宋_GB2312"/>
          <w:b w:val="0"/>
          <w:bCs w:val="0"/>
          <w:color w:val="auto"/>
          <w:sz w:val="32"/>
          <w:szCs w:val="32"/>
          <w:lang w:val="en-US" w:eastAsia="zh-CN"/>
        </w:rPr>
        <w:t>及有关材料已收悉。经研究，</w:t>
      </w:r>
      <w:r>
        <w:rPr>
          <w:rFonts w:hint="eastAsia" w:ascii="仿宋_GB2312" w:hAnsi="仿宋_GB2312" w:eastAsia="仿宋_GB2312" w:cs="仿宋_GB2312"/>
          <w:b w:val="0"/>
          <w:bCs w:val="0"/>
          <w:i w:val="0"/>
          <w:caps w:val="0"/>
          <w:color w:val="auto"/>
          <w:spacing w:val="0"/>
          <w:sz w:val="32"/>
          <w:szCs w:val="32"/>
          <w:shd w:val="clear" w:color="auto" w:fill="FFFFFF"/>
        </w:rPr>
        <w:t>批复如下</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jc w:val="left"/>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一、</w:t>
      </w:r>
      <w:r>
        <w:rPr>
          <w:rFonts w:hint="eastAsia" w:ascii="仿宋_GB2312" w:hAnsi="仿宋_GB2312" w:eastAsia="仿宋_GB2312" w:cs="仿宋_GB2312"/>
          <w:b w:val="0"/>
          <w:bCs w:val="0"/>
          <w:spacing w:val="0"/>
          <w:sz w:val="32"/>
          <w:szCs w:val="32"/>
          <w:lang w:eastAsia="zh-CN"/>
        </w:rPr>
        <w:t>同意</w:t>
      </w:r>
      <w:r>
        <w:rPr>
          <w:rFonts w:hint="eastAsia" w:ascii="仿宋_GB2312" w:hAnsi="仿宋_GB2312" w:eastAsia="仿宋_GB2312" w:cs="仿宋_GB2312"/>
          <w:b w:val="0"/>
          <w:bCs w:val="0"/>
          <w:spacing w:val="0"/>
          <w:sz w:val="32"/>
          <w:szCs w:val="32"/>
          <w:lang w:val="en-US" w:eastAsia="zh-CN"/>
        </w:rPr>
        <w:t>实施</w:t>
      </w:r>
      <w:r>
        <w:rPr>
          <w:rFonts w:hint="eastAsia" w:ascii="仿宋_GB2312" w:hAnsi="仿宋_GB2312" w:eastAsia="仿宋_GB2312" w:cs="仿宋_GB2312"/>
          <w:b w:val="0"/>
          <w:bCs w:val="0"/>
          <w:color w:val="auto"/>
          <w:sz w:val="32"/>
          <w:szCs w:val="32"/>
          <w:lang w:val="en-US" w:eastAsia="zh-CN"/>
        </w:rPr>
        <w:t>许昌市魏都区智慧冷链物流园基础设施项目</w:t>
      </w:r>
      <w:r>
        <w:rPr>
          <w:rFonts w:hint="eastAsia" w:ascii="仿宋_GB2312" w:hAnsi="仿宋_GB2312" w:eastAsia="仿宋_GB2312" w:cs="仿宋_GB2312"/>
          <w:b w:val="0"/>
          <w:bCs w:val="0"/>
          <w:spacing w:val="0"/>
          <w:sz w:val="32"/>
          <w:szCs w:val="32"/>
          <w:lang w:val="en-US" w:eastAsia="zh-CN"/>
        </w:rPr>
        <w:t>，原则</w:t>
      </w:r>
      <w:r>
        <w:rPr>
          <w:rFonts w:hint="eastAsia" w:ascii="仿宋_GB2312" w:hAnsi="仿宋_GB2312" w:eastAsia="仿宋_GB2312" w:cs="仿宋_GB2312"/>
          <w:b w:val="0"/>
          <w:bCs w:val="0"/>
          <w:spacing w:val="0"/>
          <w:sz w:val="32"/>
          <w:szCs w:val="32"/>
          <w:lang w:eastAsia="zh-CN"/>
        </w:rPr>
        <w:t>同意京秀工程咨询有限公司</w:t>
      </w:r>
      <w:r>
        <w:rPr>
          <w:rFonts w:hint="eastAsia" w:ascii="仿宋_GB2312" w:hAnsi="仿宋_GB2312" w:eastAsia="仿宋_GB2312" w:cs="仿宋_GB2312"/>
          <w:b w:val="0"/>
          <w:bCs w:val="0"/>
          <w:sz w:val="32"/>
          <w:szCs w:val="32"/>
          <w:lang w:val="en-US" w:eastAsia="zh-CN"/>
        </w:rPr>
        <w:t>编制的</w:t>
      </w:r>
      <w:r>
        <w:rPr>
          <w:rFonts w:hint="eastAsia" w:ascii="仿宋_GB2312" w:hAnsi="仿宋_GB2312" w:eastAsia="仿宋_GB2312" w:cs="仿宋_GB2312"/>
          <w:b w:val="0"/>
          <w:bCs w:val="0"/>
          <w:sz w:val="32"/>
          <w:szCs w:val="32"/>
        </w:rPr>
        <w:t>项目</w:t>
      </w:r>
      <w:r>
        <w:rPr>
          <w:rFonts w:hint="eastAsia" w:ascii="仿宋_GB2312" w:hAnsi="仿宋_GB2312" w:eastAsia="仿宋_GB2312" w:cs="仿宋_GB2312"/>
          <w:b w:val="0"/>
          <w:bCs w:val="0"/>
          <w:sz w:val="32"/>
          <w:szCs w:val="32"/>
          <w:lang w:val="en-US" w:eastAsia="zh-CN"/>
        </w:rPr>
        <w:t>可行性研究报告</w:t>
      </w:r>
      <w:r>
        <w:rPr>
          <w:rFonts w:hint="eastAsia" w:ascii="仿宋_GB2312" w:hAnsi="仿宋_GB2312" w:eastAsia="仿宋_GB2312" w:cs="仿宋_GB2312"/>
          <w:b w:val="0"/>
          <w:bCs w:val="0"/>
          <w:spacing w:val="0"/>
          <w:sz w:val="32"/>
          <w:szCs w:val="32"/>
          <w:lang w:val="en-US" w:eastAsia="zh-CN"/>
        </w:rPr>
        <w:t>的基本内容</w:t>
      </w:r>
      <w:r>
        <w:rPr>
          <w:rFonts w:hint="eastAsia" w:ascii="仿宋_GB2312" w:hAnsi="仿宋_GB2312" w:eastAsia="仿宋_GB2312" w:cs="仿宋_GB2312"/>
          <w:b w:val="0"/>
          <w:bCs w:val="0"/>
          <w:spacing w:val="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pacing w:val="0"/>
          <w:sz w:val="32"/>
          <w:szCs w:val="32"/>
          <w:lang w:val="en-US" w:eastAsia="zh-CN"/>
        </w:rPr>
        <w:t>二、</w:t>
      </w:r>
      <w:r>
        <w:rPr>
          <w:rFonts w:hint="eastAsia" w:ascii="仿宋_GB2312" w:hAnsi="仿宋_GB2312" w:eastAsia="仿宋_GB2312" w:cs="仿宋_GB2312"/>
          <w:b w:val="0"/>
          <w:bCs w:val="0"/>
          <w:spacing w:val="0"/>
          <w:sz w:val="32"/>
          <w:szCs w:val="32"/>
        </w:rPr>
        <w:t>项目建设地点位于</w:t>
      </w:r>
      <w:r>
        <w:rPr>
          <w:rFonts w:hint="eastAsia" w:ascii="仿宋_GB2312" w:hAnsi="仿宋_GB2312" w:eastAsia="仿宋_GB2312" w:cs="仿宋_GB2312"/>
          <w:b w:val="0"/>
          <w:bCs w:val="0"/>
          <w:spacing w:val="0"/>
          <w:sz w:val="32"/>
          <w:szCs w:val="32"/>
          <w:lang w:val="en-US" w:eastAsia="zh-CN"/>
        </w:rPr>
        <w:t>许昌市魏都区</w:t>
      </w:r>
      <w:r>
        <w:rPr>
          <w:rFonts w:hint="eastAsia" w:ascii="仿宋_GB2312" w:hAnsi="仿宋_GB2312" w:eastAsia="仿宋_GB2312" w:cs="仿宋_GB2312"/>
          <w:b w:val="0"/>
          <w:bCs w:val="0"/>
          <w:spacing w:val="0"/>
          <w:sz w:val="32"/>
          <w:szCs w:val="32"/>
          <w:lang w:eastAsia="zh-CN"/>
        </w:rPr>
        <w:t>灞陵路南段东侧。</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三、</w:t>
      </w:r>
      <w:r>
        <w:rPr>
          <w:rFonts w:hint="eastAsia" w:ascii="仿宋_GB2312" w:hAnsi="仿宋_GB2312" w:eastAsia="仿宋_GB2312" w:cs="仿宋_GB2312"/>
          <w:b w:val="0"/>
          <w:bCs w:val="0"/>
          <w:spacing w:val="0"/>
          <w:sz w:val="32"/>
          <w:szCs w:val="32"/>
        </w:rPr>
        <w:t>项目建设内容及规模</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项目用地面积17656.00㎡（约26.48亩），项目总建筑面积28233.57㎡，其中地上建筑面积27417.57㎡，地下建筑面积816.00㎡，主要建设内容包括：常温物流分拣中心5867.82㎡，物流仓库11148.86㎡、多温区冷库6240.00㎡，研发用房4896.00㎡，门卫80.89㎡。同时配套道路硬化、绿化、给排水、电力、围墙、大门等室外公用工程。</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spacing w:val="0"/>
          <w:sz w:val="32"/>
          <w:szCs w:val="32"/>
          <w:lang w:val="en-US" w:eastAsia="zh-CN"/>
        </w:rPr>
        <w:t>四、</w:t>
      </w:r>
      <w:r>
        <w:rPr>
          <w:rFonts w:hint="eastAsia" w:ascii="仿宋_GB2312" w:hAnsi="仿宋_GB2312" w:eastAsia="仿宋_GB2312" w:cs="仿宋_GB2312"/>
          <w:b w:val="0"/>
          <w:bCs w:val="0"/>
          <w:spacing w:val="0"/>
          <w:sz w:val="32"/>
          <w:szCs w:val="32"/>
        </w:rPr>
        <w:t>项目</w:t>
      </w:r>
      <w:r>
        <w:rPr>
          <w:rFonts w:hint="eastAsia" w:ascii="仿宋_GB2312" w:hAnsi="仿宋_GB2312" w:eastAsia="仿宋_GB2312" w:cs="仿宋_GB2312"/>
          <w:b w:val="0"/>
          <w:bCs w:val="0"/>
          <w:sz w:val="32"/>
          <w:szCs w:val="32"/>
          <w:lang w:val="en-US" w:eastAsia="zh-CN"/>
        </w:rPr>
        <w:t>计划总投资</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13195.96万元。项目建设所需资金来源为申请地方政府专项债券和企业自筹资金。</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五、</w:t>
      </w:r>
      <w:r>
        <w:rPr>
          <w:rFonts w:hint="eastAsia" w:ascii="仿宋_GB2312" w:hAnsi="仿宋_GB2312" w:eastAsia="仿宋_GB2312" w:cs="仿宋_GB2312"/>
          <w:b w:val="0"/>
          <w:bCs w:val="0"/>
          <w:spacing w:val="0"/>
          <w:sz w:val="32"/>
          <w:szCs w:val="32"/>
        </w:rPr>
        <w:t>请项目单位严格遵守环保、节能、消防、安全、卫生、以工代赈等有关规定，组织好工程实施。</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六、</w:t>
      </w:r>
      <w:r>
        <w:rPr>
          <w:rFonts w:hint="eastAsia" w:ascii="仿宋_GB2312" w:hAnsi="仿宋_GB2312" w:eastAsia="仿宋_GB2312" w:cs="仿宋_GB2312"/>
          <w:b w:val="0"/>
          <w:bCs w:val="0"/>
          <w:spacing w:val="0"/>
          <w:sz w:val="32"/>
          <w:szCs w:val="32"/>
          <w:lang w:val="en-US" w:eastAsia="zh-CN"/>
        </w:rPr>
        <w:t>同意</w:t>
      </w:r>
      <w:r>
        <w:rPr>
          <w:rFonts w:hint="eastAsia" w:ascii="仿宋_GB2312" w:hAnsi="仿宋_GB2312" w:eastAsia="仿宋_GB2312" w:cs="仿宋_GB2312"/>
          <w:b w:val="0"/>
          <w:bCs w:val="0"/>
          <w:snapToGrid w:val="0"/>
          <w:spacing w:val="0"/>
          <w:sz w:val="32"/>
          <w:szCs w:val="32"/>
          <w:lang w:val="en-US" w:eastAsia="zh-CN"/>
        </w:rPr>
        <w:t>许昌市魏都投资有限责任公司按照招投标文件规定</w:t>
      </w:r>
      <w:r>
        <w:rPr>
          <w:rFonts w:hint="eastAsia" w:ascii="仿宋_GB2312" w:hAnsi="仿宋_GB2312" w:eastAsia="仿宋_GB2312" w:cs="仿宋_GB2312"/>
          <w:b w:val="0"/>
          <w:bCs w:val="0"/>
          <w:spacing w:val="0"/>
          <w:sz w:val="32"/>
          <w:szCs w:val="32"/>
        </w:rPr>
        <w:t>在勘察、设计、施工、监理</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重要材料及设备采购</w:t>
      </w:r>
      <w:r>
        <w:rPr>
          <w:rFonts w:hint="eastAsia" w:ascii="仿宋_GB2312" w:hAnsi="仿宋_GB2312" w:eastAsia="仿宋_GB2312" w:cs="仿宋_GB2312"/>
          <w:b w:val="0"/>
          <w:bCs w:val="0"/>
          <w:spacing w:val="0"/>
          <w:sz w:val="32"/>
          <w:szCs w:val="32"/>
        </w:rPr>
        <w:t>等环节委托有资质的招标代理机构</w:t>
      </w:r>
      <w:r>
        <w:rPr>
          <w:rFonts w:hint="eastAsia" w:ascii="仿宋_GB2312" w:hAnsi="仿宋_GB2312" w:eastAsia="仿宋_GB2312" w:cs="仿宋_GB2312"/>
          <w:b w:val="0"/>
          <w:bCs w:val="0"/>
          <w:spacing w:val="0"/>
          <w:sz w:val="32"/>
          <w:szCs w:val="32"/>
          <w:lang w:val="en-US" w:eastAsia="zh-CN"/>
        </w:rPr>
        <w:t>组织</w:t>
      </w:r>
      <w:r>
        <w:rPr>
          <w:rFonts w:hint="eastAsia" w:ascii="仿宋_GB2312" w:hAnsi="仿宋_GB2312" w:eastAsia="仿宋_GB2312" w:cs="仿宋_GB2312"/>
          <w:b w:val="0"/>
          <w:bCs w:val="0"/>
          <w:spacing w:val="0"/>
          <w:sz w:val="32"/>
          <w:szCs w:val="32"/>
        </w:rPr>
        <w:t>招标，</w:t>
      </w:r>
      <w:r>
        <w:rPr>
          <w:rFonts w:hint="eastAsia" w:ascii="仿宋_GB2312" w:hAnsi="仿宋_GB2312" w:eastAsia="仿宋_GB2312" w:cs="仿宋_GB2312"/>
          <w:b w:val="0"/>
          <w:bCs w:val="0"/>
          <w:spacing w:val="0"/>
          <w:sz w:val="32"/>
          <w:szCs w:val="32"/>
          <w:lang w:val="en-US" w:eastAsia="zh-CN"/>
        </w:rPr>
        <w:t>并依法</w:t>
      </w:r>
      <w:r>
        <w:rPr>
          <w:rFonts w:hint="eastAsia" w:ascii="仿宋_GB2312" w:hAnsi="仿宋_GB2312" w:eastAsia="仿宋_GB2312" w:cs="仿宋_GB2312"/>
          <w:b w:val="0"/>
          <w:bCs w:val="0"/>
          <w:spacing w:val="0"/>
          <w:sz w:val="32"/>
          <w:szCs w:val="32"/>
        </w:rPr>
        <w:t>发布</w:t>
      </w:r>
      <w:r>
        <w:rPr>
          <w:rFonts w:hint="eastAsia" w:ascii="仿宋_GB2312" w:hAnsi="仿宋_GB2312" w:eastAsia="仿宋_GB2312" w:cs="仿宋_GB2312"/>
          <w:b w:val="0"/>
          <w:bCs w:val="0"/>
          <w:spacing w:val="0"/>
          <w:sz w:val="32"/>
          <w:szCs w:val="32"/>
          <w:lang w:val="en-US" w:eastAsia="zh-CN"/>
        </w:rPr>
        <w:t>同时</w:t>
      </w:r>
      <w:r>
        <w:rPr>
          <w:rFonts w:hint="eastAsia" w:ascii="仿宋_GB2312" w:hAnsi="仿宋_GB2312" w:eastAsia="仿宋_GB2312" w:cs="仿宋_GB2312"/>
          <w:b w:val="0"/>
          <w:bCs w:val="0"/>
          <w:spacing w:val="0"/>
          <w:sz w:val="32"/>
          <w:szCs w:val="32"/>
        </w:rPr>
        <w:t>向有关行政监督部门做好招标文件备案和招标情况报告工作。</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请据此批复开展下步工作，完善规划、环评、节能等相关手续。编制工程初步设计及概算，按程序报有关部门核定。</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840" w:rightChars="400" w:firstLine="641" w:firstLineChars="0"/>
        <w:jc w:val="right"/>
        <w:textAlignment w:val="bottom"/>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2024年10月14日</w:t>
      </w:r>
    </w:p>
    <w:sectPr>
      <w:footerReference r:id="rId5" w:type="default"/>
      <w:pgSz w:w="11906" w:h="16838"/>
      <w:pgMar w:top="1701" w:right="1474" w:bottom="1701" w:left="1474"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sz w:val="24"/>
                              <w:szCs w:val="36"/>
                              <w:lang w:val="en-US" w:eastAsia="zh-CN"/>
                            </w:rPr>
                            <w:t xml:space="preserve">－ </w:t>
                          </w:r>
                          <w:r>
                            <w:rPr>
                              <w:rFonts w:hint="eastAsia" w:asciiTheme="minorEastAsia" w:hAnsiTheme="minorEastAsia" w:eastAsiaTheme="minorEastAsia" w:cstheme="minorEastAsia"/>
                              <w:sz w:val="32"/>
                              <w:szCs w:val="44"/>
                              <w:lang w:eastAsia="zh-CN"/>
                            </w:rPr>
                            <w:fldChar w:fldCharType="begin"/>
                          </w:r>
                          <w:r>
                            <w:rPr>
                              <w:rFonts w:hint="eastAsia" w:asciiTheme="minorEastAsia" w:hAnsiTheme="minorEastAsia" w:eastAsiaTheme="minorEastAsia" w:cstheme="minorEastAsia"/>
                              <w:sz w:val="32"/>
                              <w:szCs w:val="44"/>
                              <w:lang w:eastAsia="zh-CN"/>
                            </w:rPr>
                            <w:instrText xml:space="preserve"> PAGE  \* MERGEFORMAT </w:instrText>
                          </w:r>
                          <w:r>
                            <w:rPr>
                              <w:rFonts w:hint="eastAsia" w:asciiTheme="minorEastAsia" w:hAnsiTheme="minorEastAsia" w:eastAsiaTheme="minorEastAsia" w:cstheme="minorEastAsia"/>
                              <w:sz w:val="32"/>
                              <w:szCs w:val="44"/>
                              <w:lang w:eastAsia="zh-CN"/>
                            </w:rPr>
                            <w:fldChar w:fldCharType="separate"/>
                          </w:r>
                          <w:r>
                            <w:rPr>
                              <w:rFonts w:hint="eastAsia" w:asciiTheme="minorEastAsia" w:hAnsiTheme="minorEastAsia" w:eastAsiaTheme="minorEastAsia" w:cstheme="minorEastAsia"/>
                              <w:sz w:val="32"/>
                              <w:szCs w:val="44"/>
                              <w:lang w:eastAsia="zh-CN"/>
                            </w:rPr>
                            <w:t>1</w:t>
                          </w:r>
                          <w:r>
                            <w:rPr>
                              <w:rFonts w:hint="eastAsia" w:asciiTheme="minorEastAsia" w:hAnsiTheme="minorEastAsia" w:eastAsiaTheme="minorEastAsia" w:cstheme="minorEastAsia"/>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sz w:val="24"/>
                        <w:szCs w:val="36"/>
                        <w:lang w:val="en-US" w:eastAsia="zh-CN"/>
                      </w:rPr>
                      <w:t xml:space="preserve">－ </w:t>
                    </w:r>
                    <w:r>
                      <w:rPr>
                        <w:rFonts w:hint="eastAsia" w:asciiTheme="minorEastAsia" w:hAnsiTheme="minorEastAsia" w:eastAsiaTheme="minorEastAsia" w:cstheme="minorEastAsia"/>
                        <w:sz w:val="32"/>
                        <w:szCs w:val="44"/>
                        <w:lang w:eastAsia="zh-CN"/>
                      </w:rPr>
                      <w:fldChar w:fldCharType="begin"/>
                    </w:r>
                    <w:r>
                      <w:rPr>
                        <w:rFonts w:hint="eastAsia" w:asciiTheme="minorEastAsia" w:hAnsiTheme="minorEastAsia" w:eastAsiaTheme="minorEastAsia" w:cstheme="minorEastAsia"/>
                        <w:sz w:val="32"/>
                        <w:szCs w:val="44"/>
                        <w:lang w:eastAsia="zh-CN"/>
                      </w:rPr>
                      <w:instrText xml:space="preserve"> PAGE  \* MERGEFORMAT </w:instrText>
                    </w:r>
                    <w:r>
                      <w:rPr>
                        <w:rFonts w:hint="eastAsia" w:asciiTheme="minorEastAsia" w:hAnsiTheme="minorEastAsia" w:eastAsiaTheme="minorEastAsia" w:cstheme="minorEastAsia"/>
                        <w:sz w:val="32"/>
                        <w:szCs w:val="44"/>
                        <w:lang w:eastAsia="zh-CN"/>
                      </w:rPr>
                      <w:fldChar w:fldCharType="separate"/>
                    </w:r>
                    <w:r>
                      <w:rPr>
                        <w:rFonts w:hint="eastAsia" w:asciiTheme="minorEastAsia" w:hAnsiTheme="minorEastAsia" w:eastAsiaTheme="minorEastAsia" w:cstheme="minorEastAsia"/>
                        <w:sz w:val="32"/>
                        <w:szCs w:val="44"/>
                        <w:lang w:eastAsia="zh-CN"/>
                      </w:rPr>
                      <w:t>1</w:t>
                    </w:r>
                    <w:r>
                      <w:rPr>
                        <w:rFonts w:hint="eastAsia" w:asciiTheme="minorEastAsia" w:hAnsiTheme="minorEastAsia" w:eastAsiaTheme="minorEastAsia" w:cstheme="minorEastAsia"/>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10111"/>
    <w:rsid w:val="007C4486"/>
    <w:rsid w:val="00BA4175"/>
    <w:rsid w:val="00E94382"/>
    <w:rsid w:val="01582266"/>
    <w:rsid w:val="01EF21D8"/>
    <w:rsid w:val="039560B1"/>
    <w:rsid w:val="04410263"/>
    <w:rsid w:val="05580ED4"/>
    <w:rsid w:val="056401E1"/>
    <w:rsid w:val="07BA68BC"/>
    <w:rsid w:val="07E15B19"/>
    <w:rsid w:val="08856DEC"/>
    <w:rsid w:val="08FE2131"/>
    <w:rsid w:val="09197DB0"/>
    <w:rsid w:val="0AC168AF"/>
    <w:rsid w:val="0B8F0FB0"/>
    <w:rsid w:val="0C2376DC"/>
    <w:rsid w:val="0C5B56E8"/>
    <w:rsid w:val="0EB36C3A"/>
    <w:rsid w:val="0F241926"/>
    <w:rsid w:val="0F69251F"/>
    <w:rsid w:val="106B1DE4"/>
    <w:rsid w:val="11773920"/>
    <w:rsid w:val="11C444E1"/>
    <w:rsid w:val="12241DDA"/>
    <w:rsid w:val="133A27C8"/>
    <w:rsid w:val="13E376AF"/>
    <w:rsid w:val="146F0DFE"/>
    <w:rsid w:val="16C05709"/>
    <w:rsid w:val="17946AD9"/>
    <w:rsid w:val="17D6146D"/>
    <w:rsid w:val="18776A66"/>
    <w:rsid w:val="18D63BB9"/>
    <w:rsid w:val="18DF3935"/>
    <w:rsid w:val="19254211"/>
    <w:rsid w:val="198A3936"/>
    <w:rsid w:val="1A004403"/>
    <w:rsid w:val="1AFA436D"/>
    <w:rsid w:val="1B3151FE"/>
    <w:rsid w:val="1BAF6B05"/>
    <w:rsid w:val="1BE955C7"/>
    <w:rsid w:val="1C1129D3"/>
    <w:rsid w:val="1C5E45B2"/>
    <w:rsid w:val="1E045DCF"/>
    <w:rsid w:val="204E6F74"/>
    <w:rsid w:val="20F93AB9"/>
    <w:rsid w:val="21701C94"/>
    <w:rsid w:val="2170369D"/>
    <w:rsid w:val="219357C5"/>
    <w:rsid w:val="21FC4A83"/>
    <w:rsid w:val="23B171AB"/>
    <w:rsid w:val="2581038C"/>
    <w:rsid w:val="25BA64A5"/>
    <w:rsid w:val="26917DC2"/>
    <w:rsid w:val="27EE4BCD"/>
    <w:rsid w:val="28131937"/>
    <w:rsid w:val="287D54A2"/>
    <w:rsid w:val="28D14296"/>
    <w:rsid w:val="293837E7"/>
    <w:rsid w:val="29714AF7"/>
    <w:rsid w:val="2AA366D6"/>
    <w:rsid w:val="2BCB7CF6"/>
    <w:rsid w:val="2C355D6E"/>
    <w:rsid w:val="2C4174D5"/>
    <w:rsid w:val="2CDA585C"/>
    <w:rsid w:val="2D0E5425"/>
    <w:rsid w:val="2D4B0D53"/>
    <w:rsid w:val="2DA232CA"/>
    <w:rsid w:val="2DD66DCB"/>
    <w:rsid w:val="2E4F45F6"/>
    <w:rsid w:val="2E8B7425"/>
    <w:rsid w:val="2EE16684"/>
    <w:rsid w:val="2EE25A02"/>
    <w:rsid w:val="2F0B4DD5"/>
    <w:rsid w:val="2F445A17"/>
    <w:rsid w:val="2FFA79B8"/>
    <w:rsid w:val="30734186"/>
    <w:rsid w:val="3141241E"/>
    <w:rsid w:val="32B42134"/>
    <w:rsid w:val="33137AD9"/>
    <w:rsid w:val="338F552F"/>
    <w:rsid w:val="33AA66D3"/>
    <w:rsid w:val="33D67027"/>
    <w:rsid w:val="33DC717B"/>
    <w:rsid w:val="342A4354"/>
    <w:rsid w:val="343967F9"/>
    <w:rsid w:val="34497B49"/>
    <w:rsid w:val="35C34CEE"/>
    <w:rsid w:val="35CC3B02"/>
    <w:rsid w:val="365D3C96"/>
    <w:rsid w:val="36BE3413"/>
    <w:rsid w:val="370B314C"/>
    <w:rsid w:val="37175B16"/>
    <w:rsid w:val="391250F6"/>
    <w:rsid w:val="391765F8"/>
    <w:rsid w:val="392A450F"/>
    <w:rsid w:val="3988295B"/>
    <w:rsid w:val="39CE2CD4"/>
    <w:rsid w:val="3B5A50B3"/>
    <w:rsid w:val="3C205893"/>
    <w:rsid w:val="3C9E346A"/>
    <w:rsid w:val="3CDB45C0"/>
    <w:rsid w:val="3D015930"/>
    <w:rsid w:val="3D514C12"/>
    <w:rsid w:val="3D7E2120"/>
    <w:rsid w:val="3D9C7512"/>
    <w:rsid w:val="3E691934"/>
    <w:rsid w:val="3E7414B1"/>
    <w:rsid w:val="3F655193"/>
    <w:rsid w:val="40C27034"/>
    <w:rsid w:val="41734499"/>
    <w:rsid w:val="423845CC"/>
    <w:rsid w:val="42B16343"/>
    <w:rsid w:val="43BB576C"/>
    <w:rsid w:val="447041E2"/>
    <w:rsid w:val="44BB0797"/>
    <w:rsid w:val="45C200A6"/>
    <w:rsid w:val="48DB117D"/>
    <w:rsid w:val="48DC4B38"/>
    <w:rsid w:val="49952BFB"/>
    <w:rsid w:val="4A245CEA"/>
    <w:rsid w:val="4A363CAF"/>
    <w:rsid w:val="4A8B31A4"/>
    <w:rsid w:val="4AA84606"/>
    <w:rsid w:val="4AD776B8"/>
    <w:rsid w:val="4B240B94"/>
    <w:rsid w:val="4B3936D2"/>
    <w:rsid w:val="4C5B45B9"/>
    <w:rsid w:val="4F7565EE"/>
    <w:rsid w:val="4FA85A3F"/>
    <w:rsid w:val="4FC12673"/>
    <w:rsid w:val="5139611F"/>
    <w:rsid w:val="514E7607"/>
    <w:rsid w:val="519120E7"/>
    <w:rsid w:val="519C415B"/>
    <w:rsid w:val="52715BAF"/>
    <w:rsid w:val="52A051E8"/>
    <w:rsid w:val="5332672B"/>
    <w:rsid w:val="53AC4EE6"/>
    <w:rsid w:val="553648C7"/>
    <w:rsid w:val="555404AB"/>
    <w:rsid w:val="55D53E38"/>
    <w:rsid w:val="5660410C"/>
    <w:rsid w:val="56F271B4"/>
    <w:rsid w:val="572A6725"/>
    <w:rsid w:val="577D745D"/>
    <w:rsid w:val="57D337E3"/>
    <w:rsid w:val="5ACA5E95"/>
    <w:rsid w:val="5B2A5015"/>
    <w:rsid w:val="5B2B1605"/>
    <w:rsid w:val="5B2D5E88"/>
    <w:rsid w:val="5B323CDF"/>
    <w:rsid w:val="5C06475D"/>
    <w:rsid w:val="5DA350BC"/>
    <w:rsid w:val="5DD75341"/>
    <w:rsid w:val="5E390A01"/>
    <w:rsid w:val="5F0B56F7"/>
    <w:rsid w:val="5F5510AE"/>
    <w:rsid w:val="5F855433"/>
    <w:rsid w:val="61491B86"/>
    <w:rsid w:val="61671D60"/>
    <w:rsid w:val="63531A67"/>
    <w:rsid w:val="63A35DFC"/>
    <w:rsid w:val="63CB4BD5"/>
    <w:rsid w:val="63D07AD2"/>
    <w:rsid w:val="64F54A34"/>
    <w:rsid w:val="65C62655"/>
    <w:rsid w:val="65D12305"/>
    <w:rsid w:val="66477817"/>
    <w:rsid w:val="67400E0D"/>
    <w:rsid w:val="675D2FB2"/>
    <w:rsid w:val="676D4A4E"/>
    <w:rsid w:val="67AB6BCA"/>
    <w:rsid w:val="67CB2379"/>
    <w:rsid w:val="67F86206"/>
    <w:rsid w:val="68785DD0"/>
    <w:rsid w:val="68EE79FA"/>
    <w:rsid w:val="69D72179"/>
    <w:rsid w:val="69DF727B"/>
    <w:rsid w:val="69F501EC"/>
    <w:rsid w:val="6ADA3FAD"/>
    <w:rsid w:val="6BBE587D"/>
    <w:rsid w:val="6BD22CDA"/>
    <w:rsid w:val="6CAA5A1A"/>
    <w:rsid w:val="6DEB54C0"/>
    <w:rsid w:val="6F022403"/>
    <w:rsid w:val="6F213890"/>
    <w:rsid w:val="6F2F3D35"/>
    <w:rsid w:val="6F6949A1"/>
    <w:rsid w:val="6FD3738D"/>
    <w:rsid w:val="70E43A9A"/>
    <w:rsid w:val="71600BAE"/>
    <w:rsid w:val="71831F8E"/>
    <w:rsid w:val="71B65952"/>
    <w:rsid w:val="71EE4C72"/>
    <w:rsid w:val="72960D08"/>
    <w:rsid w:val="72EF55E1"/>
    <w:rsid w:val="731F1B91"/>
    <w:rsid w:val="7380345E"/>
    <w:rsid w:val="73CE36E7"/>
    <w:rsid w:val="741C5020"/>
    <w:rsid w:val="743620E5"/>
    <w:rsid w:val="748129B0"/>
    <w:rsid w:val="75923051"/>
    <w:rsid w:val="75BF3FCB"/>
    <w:rsid w:val="765A1E3A"/>
    <w:rsid w:val="78264E9C"/>
    <w:rsid w:val="784B7BCB"/>
    <w:rsid w:val="78692EDA"/>
    <w:rsid w:val="78B729A6"/>
    <w:rsid w:val="79926E07"/>
    <w:rsid w:val="7BC16634"/>
    <w:rsid w:val="7C4D5C50"/>
    <w:rsid w:val="7D854EF8"/>
    <w:rsid w:val="7DC018B8"/>
    <w:rsid w:val="7E4D1904"/>
    <w:rsid w:val="7EC225A2"/>
    <w:rsid w:val="7ED854DE"/>
    <w:rsid w:val="7EF2488C"/>
    <w:rsid w:val="7F3B5E12"/>
    <w:rsid w:val="7FF46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578" w:lineRule="atLeast"/>
      <w:ind w:left="0" w:right="0" w:firstLine="0"/>
      <w:jc w:val="both"/>
      <w:textAlignment w:val="baseline"/>
    </w:pPr>
    <w:rPr>
      <w:rFonts w:ascii="Times New Roman" w:eastAsia="宋体" w:hAnsiTheme="minorHAnsi" w:cstheme="minorBidi"/>
      <w:color w:val="000000"/>
      <w:spacing w:val="0"/>
      <w:w w:val="100"/>
      <w:sz w:val="21"/>
      <w:szCs w:val="22"/>
      <w:u w:val="none" w:color="000000"/>
      <w:vertAlign w:val="baseline"/>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vank</dc:creator>
  <cp:lastModifiedBy>tbark</cp:lastModifiedBy>
  <cp:lastPrinted>2023-05-06T08:11:00Z</cp:lastPrinted>
  <dcterms:modified xsi:type="dcterms:W3CDTF">2024-10-14T06:42:52Z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04446137A5694920B9CB237B1D81F0E0</vt:lpwstr>
  </property>
</Properties>
</file>