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020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魏都区人社局</w:t>
      </w:r>
      <w:r>
        <w:rPr>
          <w:rFonts w:hint="eastAsia"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rPr>
        <w:t>2024年法治政府建设</w:t>
      </w:r>
      <w:r>
        <w:rPr>
          <w:rFonts w:hint="eastAsia" w:ascii="Times New Roman" w:hAnsi="Times New Roman" w:eastAsia="方正小标宋简体" w:cs="Times New Roman"/>
          <w:sz w:val="44"/>
          <w:szCs w:val="44"/>
          <w:lang w:eastAsia="zh-CN"/>
        </w:rPr>
        <w:t>情况的</w:t>
      </w:r>
      <w:r>
        <w:rPr>
          <w:rFonts w:hint="default" w:ascii="Times New Roman" w:hAnsi="Times New Roman" w:eastAsia="方正小标宋简体" w:cs="Times New Roman"/>
          <w:sz w:val="44"/>
          <w:szCs w:val="44"/>
        </w:rPr>
        <w:t>报告</w:t>
      </w:r>
    </w:p>
    <w:p w14:paraId="4554F0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293FE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魏都区人社</w:t>
      </w:r>
      <w:r>
        <w:rPr>
          <w:rFonts w:hint="default" w:ascii="Times New Roman" w:hAnsi="Times New Roman" w:eastAsia="仿宋_GB2312" w:cs="Times New Roman"/>
          <w:sz w:val="32"/>
          <w:szCs w:val="32"/>
          <w:lang w:val="en-US" w:eastAsia="zh-CN"/>
        </w:rPr>
        <w:t>局在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政府的坚强领导下，</w:t>
      </w:r>
      <w:r>
        <w:rPr>
          <w:rFonts w:hint="eastAsia" w:ascii="Times New Roman" w:hAnsi="Times New Roman" w:eastAsia="仿宋_GB2312" w:cs="Times New Roman"/>
          <w:sz w:val="32"/>
          <w:szCs w:val="32"/>
          <w:lang w:val="en-US" w:eastAsia="zh-CN"/>
        </w:rPr>
        <w:t>在市人社局的业务指导下，</w:t>
      </w:r>
      <w:r>
        <w:rPr>
          <w:rFonts w:hint="default" w:ascii="Times New Roman" w:hAnsi="Times New Roman" w:eastAsia="仿宋_GB2312" w:cs="Times New Roman"/>
          <w:sz w:val="32"/>
          <w:szCs w:val="32"/>
          <w:lang w:val="en-US" w:eastAsia="zh-CN"/>
        </w:rPr>
        <w:t>坚持以习近平新时代中国特色社会主义思想为</w:t>
      </w:r>
      <w:r>
        <w:rPr>
          <w:rFonts w:hint="eastAsia"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lang w:val="en-US" w:eastAsia="zh-CN"/>
        </w:rPr>
        <w:t>，深入学习贯彻习近平法治思想，全面贯彻党的二十大和二十届二中、三中全会精神，认真落实党中央、国务院关于法治政府建设的决策部署，扎实推进法治政府建设各项工作，取得显著成效。现将有关情况报告如下：</w:t>
      </w:r>
    </w:p>
    <w:p w14:paraId="0905B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一、党政主要负责人履行推进法治建设第一责任人职责，加强法治政府建设的有关情况</w:t>
      </w:r>
    </w:p>
    <w:p w14:paraId="2DE89F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一是</w:t>
      </w:r>
      <w:r>
        <w:rPr>
          <w:rFonts w:hint="eastAsia" w:ascii="Times New Roman" w:hAnsi="Times New Roman" w:eastAsia="仿宋_GB2312" w:cs="Times New Roman"/>
          <w:b/>
          <w:bCs/>
          <w:sz w:val="32"/>
          <w:szCs w:val="32"/>
        </w:rPr>
        <w:t>深入学习贯彻习近平法治思想</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将学习贯彻习近平法治思想作为重大政治任务，纳入局党组理论学习中心组学习重点内容，全年组织集中学习</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次，开展专题研讨</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次。通过开展线上线下培训等方式，引导全局干部职工深刻领悟习近平法治思想的基本精神、核心要义、工作要求，不断提高运用法治思维和法治方式深化改革、推动发展、化解矛盾、维护稳定的能力。</w:t>
      </w:r>
      <w:r>
        <w:rPr>
          <w:rFonts w:hint="eastAsia" w:ascii="Times New Roman" w:hAnsi="Times New Roman" w:eastAsia="仿宋_GB2312" w:cs="Times New Roman"/>
          <w:b/>
          <w:bCs/>
          <w:sz w:val="32"/>
          <w:szCs w:val="32"/>
          <w:lang w:eastAsia="zh-CN"/>
        </w:rPr>
        <w:t>二是</w:t>
      </w:r>
      <w:r>
        <w:rPr>
          <w:rFonts w:hint="default" w:ascii="Times New Roman" w:hAnsi="Times New Roman" w:eastAsia="仿宋_GB2312" w:cs="Times New Roman"/>
          <w:b/>
          <w:bCs/>
          <w:sz w:val="32"/>
          <w:szCs w:val="32"/>
        </w:rPr>
        <w:t>落实第一责任人职责</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局主要负责同志切实履行推进法治政府建设第一责任人职责，多次主持召开党组会、局务会，研究部署法治重点工作。坚持科学民主依法决策，严格执行重大决策程序有关规定，“三重一大” 事项均按规定提交党组会、局务会集体讨论决定。印发《2024年人力资源和社会保障法治工作要点》，对法治人社建设重点任务进行细化分解，明确责任部门和完成时限，确保各项任务落到实处</w:t>
      </w:r>
      <w:bookmarkStart w:id="0" w:name="_GoBack"/>
      <w:bookmarkEnd w:id="0"/>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三是</w:t>
      </w:r>
      <w:r>
        <w:rPr>
          <w:rFonts w:hint="default" w:ascii="Times New Roman" w:hAnsi="Times New Roman" w:eastAsia="仿宋_GB2312" w:cs="Times New Roman"/>
          <w:b/>
          <w:bCs/>
          <w:sz w:val="32"/>
          <w:szCs w:val="32"/>
        </w:rPr>
        <w:t>健全工作机制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成立以</w:t>
      </w:r>
      <w:r>
        <w:rPr>
          <w:rFonts w:hint="eastAsia" w:ascii="Times New Roman" w:hAnsi="Times New Roman" w:eastAsia="仿宋_GB2312" w:cs="Times New Roman"/>
          <w:sz w:val="32"/>
          <w:szCs w:val="32"/>
          <w:lang w:eastAsia="zh-CN"/>
        </w:rPr>
        <w:t>局长</w:t>
      </w:r>
      <w:r>
        <w:rPr>
          <w:rFonts w:hint="default" w:ascii="Times New Roman" w:hAnsi="Times New Roman" w:eastAsia="仿宋_GB2312" w:cs="Times New Roman"/>
          <w:sz w:val="32"/>
          <w:szCs w:val="32"/>
        </w:rPr>
        <w:t>为组长的法治人社建设工作领导小组，定期召开会议研究部署法治工作，形成主要领导亲自抓、分管领导具体抓、各</w:t>
      </w:r>
      <w:r>
        <w:rPr>
          <w:rFonts w:hint="eastAsia" w:ascii="Times New Roman" w:hAnsi="Times New Roman" w:eastAsia="仿宋_GB2312" w:cs="Times New Roman"/>
          <w:sz w:val="32"/>
          <w:szCs w:val="32"/>
          <w:lang w:eastAsia="zh-CN"/>
        </w:rPr>
        <w:t>股</w:t>
      </w:r>
      <w:r>
        <w:rPr>
          <w:rFonts w:hint="default" w:ascii="Times New Roman" w:hAnsi="Times New Roman" w:eastAsia="仿宋_GB2312" w:cs="Times New Roman"/>
          <w:sz w:val="32"/>
          <w:szCs w:val="32"/>
        </w:rPr>
        <w:t>室（单位）协同配合的工作格局。</w:t>
      </w:r>
      <w:r>
        <w:rPr>
          <w:rFonts w:hint="eastAsia"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lang w:eastAsia="zh-CN"/>
        </w:rPr>
        <w:t>在党组会上专题研究法治建设工作内容</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次、领导班子专门听取法治政府建设工作汇报1次。</w:t>
      </w:r>
      <w:r>
        <w:rPr>
          <w:rFonts w:hint="default" w:ascii="Times New Roman" w:hAnsi="Times New Roman" w:eastAsia="仿宋_GB2312" w:cs="Times New Roman"/>
          <w:sz w:val="32"/>
          <w:szCs w:val="32"/>
        </w:rPr>
        <w:t>将法治建设纳入年度工作计划和目标考核体系，与业务工作同部署、同推进、同考核，确保法治建设各项任务落到实处。</w:t>
      </w:r>
    </w:p>
    <w:p w14:paraId="18B06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二、推进法治政府建设的主要举措和成效</w:t>
      </w:r>
    </w:p>
    <w:p w14:paraId="4E1D75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）依法</w:t>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"coco://sendMessage?ext={"s$wiki_link":"https://m.baike.com/wikiid/8749930699870754308"}&amp;msg=%E5%85%A8%E9%9D%A2%E5%B1%A5%E8%A1%8C" \t "https://www.doubao.com/thread/_blank"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全面履行</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t>部门职能</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推进就业创业工作</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认真贯彻落实《中共中央 国务院关于实施就业优先战略促进高质量充分就业的意见》，综合施策，加力推进就业工作。全年城镇新增就业8902人，完成年度目标任务的119%。加大创业扶持力度，发放创业担保贷款7819.2万元。开展各类职业技能培训4955人次，提升劳动者就业创业能力。</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完善社会保障体系</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积极推进社会保险制度改革，渐进式延迟法定退休年龄改革稳妥有序推进，个人养老金制度在</w:t>
      </w:r>
      <w:r>
        <w:rPr>
          <w:rFonts w:hint="eastAsia"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范围内实施，新就业形态人员职业伤害保障试点取得积极进展。加强社保基金监管，开展专项检查</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次，确保基金安全运行。</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加强人才队伍建设</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加强高层次人才和急需紧缺人才培养引进，全年新增高技能人才</w:t>
      </w:r>
      <w:r>
        <w:rPr>
          <w:rFonts w:hint="eastAsia" w:ascii="Times New Roman" w:hAnsi="Times New Roman" w:eastAsia="仿宋_GB2312" w:cs="Times New Roman"/>
          <w:sz w:val="32"/>
          <w:szCs w:val="32"/>
          <w:lang w:val="en-US" w:eastAsia="zh-CN"/>
        </w:rPr>
        <w:t>4121</w:t>
      </w:r>
      <w:r>
        <w:rPr>
          <w:rFonts w:hint="default" w:ascii="Times New Roman" w:hAnsi="Times New Roman" w:eastAsia="仿宋_GB2312" w:cs="Times New Roman"/>
          <w:sz w:val="32"/>
          <w:szCs w:val="32"/>
        </w:rPr>
        <w:t>人。举办各类人才招聘会</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场，提供就业岗位</w:t>
      </w:r>
      <w:r>
        <w:rPr>
          <w:rFonts w:hint="default" w:ascii="Times New Roman" w:hAnsi="Times New Roman" w:eastAsia="仿宋_GB2312" w:cs="Times New Roman"/>
          <w:color w:val="auto"/>
          <w:sz w:val="32"/>
          <w:szCs w:val="32"/>
          <w:lang w:val="en-US" w:eastAsia="zh-CN"/>
        </w:rPr>
        <w:t>28183</w:t>
      </w:r>
      <w:r>
        <w:rPr>
          <w:rFonts w:hint="default" w:ascii="Times New Roman" w:hAnsi="Times New Roman" w:eastAsia="仿宋_GB2312" w:cs="Times New Roman"/>
          <w:sz w:val="32"/>
          <w:szCs w:val="32"/>
        </w:rPr>
        <w:t>个，促进人才与岗位精准对接。</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充分利用“许昌英才计划”3.0版政策及我区每年引进高技能人才相关政策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发挥我区优势,吸引区内外高层次人才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壮大我区人才队伍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2024年我区12人入选“许昌英才计划”。</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bCs/>
          <w:sz w:val="32"/>
          <w:szCs w:val="32"/>
        </w:rPr>
        <w:t>构建和谐劳动关系</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sz w:val="32"/>
          <w:szCs w:val="32"/>
        </w:rPr>
        <w:t>健全劳动关系协商协调机制，加强劳动保障监察执法，加强劳动保障监察执法，加大对拖欠农民工工资等违法行为的打击力度。全年为1200名劳动者解决工资878.81万元。加强劳动人事争议调解仲裁，各级调解组织和仲裁机构共办理争议案件90件，结案率</w:t>
      </w:r>
      <w:r>
        <w:rPr>
          <w:rFonts w:hint="eastAsia" w:ascii="Times New Roman" w:hAnsi="Times New Roman" w:eastAsia="仿宋_GB2312" w:cs="Times New Roman"/>
          <w:sz w:val="32"/>
          <w:szCs w:val="32"/>
          <w:lang w:eastAsia="zh-CN"/>
        </w:rPr>
        <w:t>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%，调解成功率达到</w:t>
      </w:r>
      <w:r>
        <w:rPr>
          <w:rFonts w:hint="eastAsia"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 ，有效化解了劳动纠纷，维护了劳动关系和谐稳定。</w:t>
      </w:r>
    </w:p>
    <w:p w14:paraId="045391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）提高制度建设质量</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加强规范性文件管理</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严格落实《国务院办公厅关于加强行政规范性文件制定和监督管理工作的通知》，加强规范性文件合法性审核和备案审查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严格落实规范性文件制定、审核、发布和备案程序，对规范性文件进行定期清理和动态调整。2024年，共</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规范性文件</w:t>
      </w:r>
      <w:r>
        <w:rPr>
          <w:rFonts w:hint="eastAsia" w:ascii="Times New Roman" w:hAnsi="Times New Roman" w:eastAsia="仿宋_GB2312" w:cs="Times New Roman"/>
          <w:sz w:val="32"/>
          <w:szCs w:val="32"/>
          <w:lang w:eastAsia="zh-CN"/>
        </w:rPr>
        <w:t>审查</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件，全部按规定进行了合法性审核和备案，确保规范性文件合法合规。确保规范性文件的合法性和有效性。</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健全决策机制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完善重大行政决策程序制度，制定《</w:t>
      </w:r>
      <w:r>
        <w:rPr>
          <w:rFonts w:hint="eastAsia" w:ascii="Times New Roman" w:hAnsi="Times New Roman" w:eastAsia="仿宋_GB2312" w:cs="Times New Roman"/>
          <w:sz w:val="32"/>
          <w:szCs w:val="32"/>
          <w:lang w:eastAsia="zh-CN"/>
        </w:rPr>
        <w:t>魏都区</w:t>
      </w:r>
      <w:r>
        <w:rPr>
          <w:rFonts w:hint="default" w:ascii="Times New Roman" w:hAnsi="Times New Roman" w:eastAsia="仿宋_GB2312" w:cs="Times New Roman"/>
          <w:sz w:val="32"/>
          <w:szCs w:val="32"/>
        </w:rPr>
        <w:t>人社局重大行政决策程序规定》，明确决策范围、程序和责任。建立重大行政决策目录清单制度，对涉及民生保障、经济社会发展等重大事项，纳入目录管理，严格履行公众参与、专家论证、风险评估、合法性审查、集体讨论决定等</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"coco://sendMessage?ext={"s$wiki_link":"https://m.baike.com/wikiid/6479213038753882296"}&amp;msg=%E6%B3%95%E5%AE%9A%E7%A8%8B%E5%BA%8F" \t "https://www.doubao.com/thread/_blank"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法定程序</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充分发挥法制机构和法律顾问的作用，对重大行政决策、规范性文件、合同协议等进行合法性审查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确保决策合法合规。</w:t>
      </w:r>
    </w:p>
    <w:p w14:paraId="6D812F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）坚持严格规范公正文明执法</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深化行政执法体制改革</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按照上级要求，推进劳动保障监察执法体制改革，加强执法队伍建设，充实执法人员力量。完善行政执法程序，规范执法行为，严格落实行政执法公示、执法全过程记录、重大执法决定法制审核 “三项制度”，确保行政执法公开透明、合法规范。</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加强行政执法监督</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建立健全行政执法监督机制，加强对行政执法行为的日常监督和专项检查。开展行政执法案卷评查工作，对</w:t>
      </w:r>
      <w:r>
        <w:rPr>
          <w:rFonts w:hint="eastAsia"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劳动保障监察执法案卷进行抽查评查，共评查案卷</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件，对发现的问题及时督促整改，提高行政执法质量和水平。加强</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"coco://sendMessage?ext={"s$wiki_link":"https://m.baike.com/wikiid/5091156839463077214"}&amp;msg=%E8%A1%8C%E6%94%BF%E6%89%A7%E6%B3%95%E4%B8%8E%E5%88%91%E4%BA%8B%E5%8F%B8%E6%B3%95%E8%A1%94%E6%8E%A5" \t "https://www.doubao.com/thread/_blank"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行政执法与刑事司法衔接</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，建立健全信息共享、案情通报、案件移送等制度，完善劳动保障监察执法与公安机关、检察机关、审判机关间的协作配合机制。</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开展专项执法行动</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聚焦重点领域和关键环节，组织开展清理整顿</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"coco://sendMessage?ext={"s$wiki_link":"https://m.baike.com/wikiid/3271392539774590261"}&amp;msg=%E4%BA%BA%E5%8A%9B%E8%B5%84%E6%BA%90%E5%B8%82%E5%9C%BA" \t "https://www.doubao.com/thread/_blank"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人力资源市场</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秩序、农民工工资支付情况专项检查、社会保险基金专项检查等专项执法行动。共开展 “双随机” 抽查</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次，抽查用人单位</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家，及时查处违法违规行为，维护了公平有序的市场秩序。</w:t>
      </w:r>
    </w:p>
    <w:p w14:paraId="44DACC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）强化对行政权力的制约和监督</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b/>
          <w:bCs/>
          <w:sz w:val="32"/>
          <w:szCs w:val="32"/>
          <w:lang w:eastAsia="zh-CN"/>
        </w:rPr>
        <w:t>一是</w:t>
      </w:r>
      <w:r>
        <w:rPr>
          <w:rFonts w:hint="default" w:ascii="Times New Roman" w:hAnsi="Times New Roman" w:eastAsia="仿宋_GB2312" w:cs="Times New Roman"/>
          <w:b/>
          <w:bCs/>
          <w:sz w:val="32"/>
          <w:szCs w:val="32"/>
        </w:rPr>
        <w:t>自觉接受人大监督和政协民主监督</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认真办理人大代表建议和政协委员提案，将其作为接受监督、改进工作的重要契机。</w:t>
      </w:r>
      <w:r>
        <w:rPr>
          <w:rFonts w:hint="eastAsia" w:ascii="Times New Roman" w:hAnsi="Times New Roman" w:eastAsia="仿宋_GB2312" w:cs="Times New Roman"/>
          <w:sz w:val="32"/>
          <w:szCs w:val="32"/>
          <w:lang w:eastAsia="zh-CN"/>
        </w:rPr>
        <w:t>全面共</w:t>
      </w:r>
      <w:r>
        <w:rPr>
          <w:rFonts w:hint="default" w:ascii="Times New Roman" w:hAnsi="Times New Roman" w:eastAsia="仿宋_GB2312" w:cs="Times New Roman"/>
          <w:sz w:val="32"/>
          <w:szCs w:val="32"/>
        </w:rPr>
        <w:t>办理人大建议</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件、政协提案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件，按时办结率、走访率、满意率均达到100% 。</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加强内部监督</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强化审计监督、财务监督和行政监察，对社保基金、就业专项资金等进行专项审计和监督检查，及时发现和纠正存在的问题。加强廉政风险防控，对重点岗位和关键环节进行廉政风险排查，制定防控措施，完善内部控制制度。</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推进政务公开</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坚持以公开为常态、不公开为例外原则，加大政府信息公开力度，拓宽公开渠道，丰富公开内容。通过局官方网站、微信公众号、新闻发布会等形式，及时公开人力资源和社会保障政策法规、工作动态、办事指南、行政审批、行政处罚等信息，主动接受社会监督。全年共发布</w:t>
      </w:r>
      <w:r>
        <w:rPr>
          <w:rFonts w:hint="eastAsia" w:ascii="Times New Roman" w:hAnsi="Times New Roman" w:eastAsia="仿宋_GB2312" w:cs="Times New Roman"/>
          <w:sz w:val="32"/>
          <w:szCs w:val="32"/>
          <w:lang w:eastAsia="zh-CN"/>
        </w:rPr>
        <w:t>公众号</w:t>
      </w:r>
      <w:r>
        <w:rPr>
          <w:rFonts w:hint="eastAsia" w:ascii="Times New Roman" w:hAnsi="Times New Roman" w:eastAsia="仿宋_GB2312" w:cs="Times New Roman"/>
          <w:sz w:val="32"/>
          <w:szCs w:val="32"/>
          <w:lang w:val="en-US" w:eastAsia="zh-CN"/>
        </w:rPr>
        <w:t>278条，其中</w:t>
      </w:r>
      <w:r>
        <w:rPr>
          <w:rFonts w:hint="default" w:ascii="Times New Roman" w:hAnsi="Times New Roman" w:eastAsia="仿宋_GB2312" w:cs="Times New Roman"/>
          <w:sz w:val="32"/>
          <w:szCs w:val="32"/>
        </w:rPr>
        <w:t>政策解读类信息</w:t>
      </w:r>
      <w:r>
        <w:rPr>
          <w:rFonts w:hint="eastAsia" w:ascii="Times New Roman" w:hAnsi="Times New Roman" w:eastAsia="仿宋_GB2312" w:cs="Times New Roman"/>
          <w:sz w:val="32"/>
          <w:szCs w:val="32"/>
          <w:lang w:val="en-US" w:eastAsia="zh-CN"/>
        </w:rPr>
        <w:t>119</w:t>
      </w:r>
      <w:r>
        <w:rPr>
          <w:rFonts w:hint="default" w:ascii="Times New Roman" w:hAnsi="Times New Roman" w:eastAsia="仿宋_GB2312" w:cs="Times New Roman"/>
          <w:sz w:val="32"/>
          <w:szCs w:val="32"/>
        </w:rPr>
        <w:t>条，法律法规</w:t>
      </w:r>
      <w:r>
        <w:rPr>
          <w:rFonts w:hint="eastAsia" w:ascii="Times New Roman" w:hAnsi="Times New Roman" w:eastAsia="仿宋_GB2312" w:cs="Times New Roman"/>
          <w:sz w:val="32"/>
          <w:szCs w:val="32"/>
          <w:lang w:val="en-US" w:eastAsia="zh-CN"/>
        </w:rPr>
        <w:t>108条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制作</w:t>
      </w:r>
      <w:r>
        <w:rPr>
          <w:rFonts w:hint="eastAsia" w:ascii="Times New Roman" w:hAnsi="Times New Roman" w:eastAsia="仿宋_GB2312" w:cs="Times New Roman"/>
          <w:sz w:val="32"/>
          <w:szCs w:val="32"/>
          <w:lang w:eastAsia="zh-CN"/>
        </w:rPr>
        <w:t>法规宣传</w:t>
      </w:r>
      <w:r>
        <w:rPr>
          <w:rFonts w:hint="default" w:ascii="Times New Roman" w:hAnsi="Times New Roman" w:eastAsia="仿宋_GB2312" w:cs="Times New Roman"/>
          <w:sz w:val="32"/>
          <w:szCs w:val="32"/>
        </w:rPr>
        <w:t>短视频</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个。</w:t>
      </w:r>
    </w:p>
    <w:p w14:paraId="58D46D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）依法有效化解社会矛盾纠纷</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加强行政复议和行政应诉工作</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认真贯彻落实《</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"coco://sendMessage?ext={"s$wiki_link":"https://m.baike.com/wikiid/7283084361736650788"}&amp;msg=%E4%B8%AD%E5%8D%8E%E4%BA%BA%E6%B0%91%E5%85%B1%E5%92%8C%E5%9B%BD%E8%A1%8C%E6%94%BF%E5%A4%8D%E8%AE%AE%E6%B3%95" \t "https://www.doubao.com/thread/_blank"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中华人民共和国行政复议法</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》，规范行政复议案件办理程序，提高行政复议办案质量和效率。全年共</w:t>
      </w:r>
      <w:r>
        <w:rPr>
          <w:rFonts w:hint="eastAsia" w:ascii="Times New Roman" w:hAnsi="Times New Roman" w:eastAsia="仿宋_GB2312" w:cs="Times New Roman"/>
          <w:sz w:val="32"/>
          <w:szCs w:val="32"/>
          <w:lang w:eastAsia="zh-CN"/>
        </w:rPr>
        <w:t>办理行政复议</w:t>
      </w:r>
      <w:r>
        <w:rPr>
          <w:rFonts w:hint="eastAsia" w:ascii="Times New Roman" w:hAnsi="Times New Roman" w:eastAsia="仿宋_GB2312" w:cs="Times New Roman"/>
          <w:sz w:val="32"/>
          <w:szCs w:val="32"/>
          <w:lang w:val="en-US" w:eastAsia="zh-CN"/>
        </w:rPr>
        <w:t>5起</w:t>
      </w:r>
      <w:r>
        <w:rPr>
          <w:rFonts w:hint="eastAsia" w:ascii="Times New Roman" w:hAnsi="Times New Roman" w:eastAsia="仿宋_GB2312" w:cs="Times New Roman"/>
          <w:sz w:val="32"/>
          <w:szCs w:val="32"/>
          <w:lang w:eastAsia="zh-CN"/>
        </w:rPr>
        <w:t>、行政诉讼案件</w:t>
      </w:r>
      <w:r>
        <w:rPr>
          <w:rFonts w:hint="eastAsia" w:ascii="Times New Roman" w:hAnsi="Times New Roman" w:eastAsia="仿宋_GB2312" w:cs="Times New Roman"/>
          <w:sz w:val="32"/>
          <w:szCs w:val="32"/>
          <w:lang w:val="en-US" w:eastAsia="zh-CN"/>
        </w:rPr>
        <w:t>12起（其中一审10起，二审1起。再审1起），案件均维持了我单位作出的工伤认定决定，实现了行政诉讼领败诉</w:t>
      </w:r>
      <w:r>
        <w:rPr>
          <w:rFonts w:hint="default" w:ascii="Times New Roman" w:hAnsi="Times New Roman" w:eastAsia="仿宋_GB2312" w:cs="Times New Roman"/>
          <w:sz w:val="32"/>
          <w:szCs w:val="32"/>
        </w:rPr>
        <w:t>。积极应对行政诉讼，落实行政机关负责人出庭应诉制度，行政机关负责人出庭应诉率达到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%以上。加强与法院、检察院的沟通协调，积极配合司法机关做好案件审理工作。</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完善劳动人事争议调解仲裁机制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加强劳动人事争议调解仲裁机构建设，完善调解仲裁制度，提高调解仲裁效能。建立健全劳动人事争议多元处理机制，加强与工会、企业代表组织、司法部门等的协作配合，形成工作合力。全年各级劳动人事争议调解组织和仲裁机构共办理争议案件</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件，其中</w:t>
      </w:r>
      <w:r>
        <w:rPr>
          <w:rFonts w:hint="eastAsia" w:ascii="Times New Roman" w:hAnsi="Times New Roman" w:eastAsia="仿宋_GB2312" w:cs="Times New Roman"/>
          <w:sz w:val="32"/>
          <w:szCs w:val="32"/>
          <w:lang w:eastAsia="zh-CN"/>
        </w:rPr>
        <w:t>裁决结案</w:t>
      </w:r>
      <w:r>
        <w:rPr>
          <w:rFonts w:hint="eastAsia" w:ascii="Times New Roman" w:hAnsi="Times New Roman" w:eastAsia="仿宋_GB2312" w:cs="Times New Roman"/>
          <w:sz w:val="32"/>
          <w:szCs w:val="32"/>
          <w:lang w:val="en-US" w:eastAsia="zh-CN"/>
        </w:rPr>
        <w:t>7件，</w:t>
      </w:r>
      <w:r>
        <w:rPr>
          <w:rFonts w:hint="default" w:ascii="Times New Roman" w:hAnsi="Times New Roman" w:eastAsia="仿宋_GB2312" w:cs="Times New Roman"/>
          <w:sz w:val="32"/>
          <w:szCs w:val="32"/>
        </w:rPr>
        <w:t>调解</w:t>
      </w:r>
      <w:r>
        <w:rPr>
          <w:rFonts w:hint="eastAsia" w:ascii="Times New Roman" w:hAnsi="Times New Roman" w:eastAsia="仿宋_GB2312" w:cs="Times New Roman"/>
          <w:sz w:val="32"/>
          <w:szCs w:val="32"/>
          <w:lang w:eastAsia="zh-CN"/>
        </w:rPr>
        <w:t>结案</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件，调解成功率达到</w:t>
      </w:r>
      <w:r>
        <w:rPr>
          <w:rFonts w:hint="eastAsia"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 以上，仲裁结案率达到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 。</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做好信访工作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贯彻落实《信访工作条例》，加强信访工作法治化建设，规范信访工作程序，及时受理、办理群众来信来访事项。建立健全领导干部接访下访、包案化解等制度，加大对信访积案和突出问题的化解力度。全年共处理信访案件</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件，12345政务服务热线转办件</w:t>
      </w:r>
      <w:r>
        <w:rPr>
          <w:rFonts w:hint="eastAsia" w:ascii="Times New Roman" w:hAnsi="Times New Roman" w:eastAsia="仿宋_GB2312" w:cs="Times New Roman"/>
          <w:sz w:val="32"/>
          <w:szCs w:val="32"/>
          <w:lang w:val="en-US" w:eastAsia="zh-CN"/>
        </w:rPr>
        <w:t>1110</w:t>
      </w:r>
      <w:r>
        <w:rPr>
          <w:rFonts w:hint="default" w:ascii="Times New Roman" w:hAnsi="Times New Roman" w:eastAsia="仿宋_GB2312" w:cs="Times New Roman"/>
          <w:sz w:val="32"/>
          <w:szCs w:val="32"/>
        </w:rPr>
        <w:t>件，</w:t>
      </w:r>
      <w:r>
        <w:rPr>
          <w:rFonts w:hint="eastAsia" w:ascii="Times New Roman" w:hAnsi="Times New Roman" w:eastAsia="仿宋_GB2312" w:cs="Times New Roman"/>
          <w:sz w:val="32"/>
          <w:szCs w:val="32"/>
          <w:lang w:eastAsia="zh-CN"/>
        </w:rPr>
        <w:t>法定时效内办结率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群众满意度不断提升。</w:t>
      </w:r>
    </w:p>
    <w:p w14:paraId="469A3D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）全面提高政府工作人员法治思维和依法行政能力</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加强法治教育培训</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制定年度法治教育培训计划，将法治教育纳入干部职工培训内容，通过举办集中培训、在线学习等方式，组织干部职工深入学习习近平法治思想、宪法、民法典以及人力资源和社会保障法律法规。全年共开展集中培训</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期，培训干部职工</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人次。</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开展学法用法活动</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组织干部职工参加国家工作人员学法用法考试，参考率和通过率均达到 100%。开展行政执法人员业务培训和考试，对考试合格的执法人员颁发行政执法证，确保行政执法人员持证上岗、依法履职。加强法治文化建设，通过举办法律知识竞赛、法治文艺演出等活动，营造浓厚的法治氛围。</w:t>
      </w:r>
    </w:p>
    <w:p w14:paraId="0ED47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三、推进法治政府建设存在的不足、原因和问题整改情况</w:t>
      </w:r>
    </w:p>
    <w:p w14:paraId="4A566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在推进法治政府建设过程中，虽然取得了一定成绩，但也存在一些问题和不足，主要表现在：</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部分干部职工运用法治思维和法治方式解决问题的能力还有待进一步提高；</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行政执法力量相对薄弱，执法人员的业务素质和执法水平有待进一步提升；</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法治宣传教育的针对性和实效性还需进一步增强，部分用人单位和劳动者的法治意识还不够强</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问题整改情况：一是</w:t>
      </w:r>
      <w:r>
        <w:rPr>
          <w:rFonts w:hint="eastAsia" w:ascii="Times New Roman" w:hAnsi="Times New Roman" w:eastAsia="仿宋_GB2312" w:cs="Times New Roman"/>
          <w:sz w:val="32"/>
          <w:szCs w:val="32"/>
          <w:lang w:val="en-US" w:eastAsia="zh-CN"/>
        </w:rPr>
        <w:t>加强法治教育。定期组织法治培训与讲座，邀请法律专家授课，将法治学习纳入绩效考核，增强干部法治意识和学习积极性。同时选派人员参加专业培训，鼓励在职人员考取法律资格证书，提升队伍法律素养。</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规范执法文书。开展执法文书制作专项培训，制定统一规范模板，建立审核制度，确保文书质量。</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创新普法宣传。利用新媒体平台制作生动有趣的普法内容，开展线上线下互动活动，深入基层和企业开展针对性普法宣传。</w:t>
      </w:r>
    </w:p>
    <w:p w14:paraId="1288E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四、下一年度推进法治政府建设的初步安排</w:t>
      </w:r>
    </w:p>
    <w:p w14:paraId="1B1D5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lang w:val="en-US" w:eastAsia="zh-CN"/>
        </w:rPr>
        <w:t>我局将坚持以习近平新时代中国特色社会主义思想为指导，深入学习贯彻习近平法治思想，全面贯彻落实党的二十大和二十届二中、三中全会精神，按照</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政府</w:t>
      </w:r>
      <w:r>
        <w:rPr>
          <w:rFonts w:hint="eastAsia" w:ascii="Times New Roman" w:hAnsi="Times New Roman" w:eastAsia="仿宋_GB2312" w:cs="Times New Roman"/>
          <w:sz w:val="32"/>
          <w:szCs w:val="32"/>
          <w:lang w:val="en-US" w:eastAsia="zh-CN"/>
        </w:rPr>
        <w:t>及上级人社部门</w:t>
      </w:r>
      <w:r>
        <w:rPr>
          <w:rFonts w:hint="default" w:ascii="Times New Roman" w:hAnsi="Times New Roman" w:eastAsia="仿宋_GB2312" w:cs="Times New Roman"/>
          <w:sz w:val="32"/>
          <w:szCs w:val="32"/>
          <w:lang w:val="en-US" w:eastAsia="zh-CN"/>
        </w:rPr>
        <w:t>关于法治政府建设的部署要求，进一步加大工作力度，创新工作方法，努力推动法治政府建设取得新成效。</w:t>
      </w:r>
    </w:p>
    <w:p w14:paraId="79F07B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持续加强法治思想学习贯彻</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把学习贯彻习近平法治思想作为长期政治任务，不断丰富学习形式和内容，提高学习的针对性和实效性。加强对习近平法治思想的宣传阐释，推动习近平法治思想深入人心。</w:t>
      </w:r>
    </w:p>
    <w:p w14:paraId="76F859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进一步提升依法行政能力</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加强对干部职工的法治教育培训，提高运用法治思维和法治方式深化改革、推动发展、化解矛盾、维护稳定的能力。严格执行重大行政决策程序，加强决策合法性审查，提高决策质量。</w:t>
      </w:r>
    </w:p>
    <w:p w14:paraId="2FF8E8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加强行政执法队伍建设</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rPr>
        <w:t>充实行政执法人员力量，加强行政执法人员业务培训和考核，提高执法人员的业务素质和执法水平。完善行政执法监督机制，加强对行政执法行为的监督检查，确保严格规范公正文明执法。</w:t>
      </w:r>
    </w:p>
    <w:p w14:paraId="226056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val="en-US" w:eastAsia="zh-CN"/>
        </w:rPr>
        <w:t>加大法治宣传教育力度</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rPr>
        <w:t>深入开展 “八五” 普法宣传教育活动，创新法治宣传教育方式方法，增强法治宣传教育的针对性和实效性。加强对用人单位和劳动者的法治宣传教育，提高其法治意识和依法维权能力。</w:t>
      </w:r>
    </w:p>
    <w:p w14:paraId="7BA3D5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val="en-US" w:eastAsia="zh-CN"/>
        </w:rPr>
        <w:t>着力解决人力资源和社会保障领域突出问题</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rPr>
        <w:t>围绕就业创业、社会保障、人才队伍建设、劳动关系等重点领域，加强制度建设，完善政策措施，通过法治手段解决好人民群众关心的热点难点问题，维护社会公平正义，促进社会和谐稳定。</w:t>
      </w:r>
    </w:p>
    <w:p w14:paraId="43235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总之，我局将以习近平法治思想为指引，扎实推进法治政府建设各项工作，为推动</w:t>
      </w:r>
      <w:r>
        <w:rPr>
          <w:rFonts w:hint="eastAsia" w:ascii="Times New Roman" w:hAnsi="Times New Roman" w:eastAsia="仿宋_GB2312" w:cs="Times New Roman"/>
          <w:sz w:val="32"/>
          <w:szCs w:val="32"/>
          <w:lang w:val="en-US" w:eastAsia="zh-CN"/>
        </w:rPr>
        <w:t>全区</w:t>
      </w:r>
      <w:r>
        <w:rPr>
          <w:rFonts w:hint="default" w:ascii="Times New Roman" w:hAnsi="Times New Roman" w:eastAsia="仿宋_GB2312" w:cs="Times New Roman"/>
          <w:sz w:val="32"/>
          <w:szCs w:val="32"/>
          <w:lang w:val="en-US" w:eastAsia="zh-CN"/>
        </w:rPr>
        <w:t>人力资源和社会保障事业高质量发展提供坚强有力的法治保障。</w:t>
      </w:r>
    </w:p>
    <w:p w14:paraId="12087F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D7DC3"/>
    <w:rsid w:val="0AE31DBD"/>
    <w:rsid w:val="0C9D2519"/>
    <w:rsid w:val="0DB17243"/>
    <w:rsid w:val="10B8170A"/>
    <w:rsid w:val="1A71579C"/>
    <w:rsid w:val="1B430B6D"/>
    <w:rsid w:val="1BF956CF"/>
    <w:rsid w:val="1FDA677E"/>
    <w:rsid w:val="22196184"/>
    <w:rsid w:val="2C9B5584"/>
    <w:rsid w:val="347100A1"/>
    <w:rsid w:val="39F552D0"/>
    <w:rsid w:val="3B673FAC"/>
    <w:rsid w:val="44DC1567"/>
    <w:rsid w:val="46AD6BC8"/>
    <w:rsid w:val="4A653DAC"/>
    <w:rsid w:val="4CF23909"/>
    <w:rsid w:val="4DE61E05"/>
    <w:rsid w:val="4F8922EB"/>
    <w:rsid w:val="57743881"/>
    <w:rsid w:val="59D05C84"/>
    <w:rsid w:val="5E5D506F"/>
    <w:rsid w:val="60E90E3C"/>
    <w:rsid w:val="6DD864C0"/>
    <w:rsid w:val="706B361B"/>
    <w:rsid w:val="7A136715"/>
    <w:rsid w:val="7AB43E11"/>
    <w:rsid w:val="7DC8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3996</Words>
  <Characters>4109</Characters>
  <Lines>0</Lines>
  <Paragraphs>0</Paragraphs>
  <TotalTime>1</TotalTime>
  <ScaleCrop>false</ScaleCrop>
  <LinksUpToDate>false</LinksUpToDate>
  <CharactersWithSpaces>4122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2025-04-01T01:28:00Z</dcterms:created>
  <dc:creator>Administrator</dc:creator>
  <cp:lastModifiedBy>Administrator</cp:lastModifiedBy>
  <dcterms:modified xsi:type="dcterms:W3CDTF">2025-04-01T02:56:17Z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eyJoZGlkIjoiY2Q2M2IxY2JkZGRmMmFkNjQ1ZDYxNDAxMTVlNThkMzgifQ==</vt:lpwstr>
  </property>
  <property fmtid="{D5CDD505-2E9C-101B-9397-08002B2CF9AE}" pid="4" name="ICV">
    <vt:lpwstr>65583FD80B844B26AABEFEF86F8470F5_12</vt:lpwstr>
  </property>
</Properties>
</file>