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67A5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魏都区</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统计局</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关于</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4</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年</w:t>
      </w:r>
    </w:p>
    <w:p w14:paraId="6A4944E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法治政府建设</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情况的</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报告</w:t>
      </w:r>
    </w:p>
    <w:p w14:paraId="47EC9360">
      <w:pPr>
        <w:keepNext w:val="0"/>
        <w:keepLines w:val="0"/>
        <w:pageBreakBefore w:val="0"/>
        <w:kinsoku/>
        <w:wordWrap/>
        <w:overflowPunct/>
        <w:topLinePunct w:val="0"/>
        <w:autoSpaceDE/>
        <w:bidi w:val="0"/>
        <w:adjustRightInd/>
        <w:snapToGrid/>
        <w:spacing w:line="600" w:lineRule="exact"/>
        <w:ind w:firstLine="880" w:firstLineChars="200"/>
        <w:jc w:val="center"/>
        <w:rPr>
          <w:rFonts w:hint="eastAsia" w:ascii="方正小标宋简体" w:hAnsi="方正小标宋简体" w:eastAsia="方正小标宋简体" w:cs="方正小标宋简体"/>
          <w:color w:val="auto"/>
          <w:sz w:val="44"/>
          <w:szCs w:val="44"/>
          <w:lang w:val="en-US" w:eastAsia="zh-CN"/>
        </w:rPr>
      </w:pPr>
    </w:p>
    <w:p w14:paraId="394C91CD">
      <w:pPr>
        <w:keepNext w:val="0"/>
        <w:keepLines w:val="0"/>
        <w:pageBreakBefore w:val="0"/>
        <w:kinsoku/>
        <w:wordWrap/>
        <w:overflowPunct/>
        <w:topLinePunct w:val="0"/>
        <w:autoSpaceDE/>
        <w:bidi w:val="0"/>
        <w:adjustRightInd/>
        <w:snapToGrid/>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魏都区统计局法治政府建设工作在局领导的指导和同事们的帮助下，以营造和谐统计环境为重点，以提高统计数据质量为核心，以增强领导和群众的防范和惩治统计造假意识为目的，全面推进依法治统工作，现将工作开展情况汇报如下：</w:t>
      </w:r>
    </w:p>
    <w:p w14:paraId="171A16F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党政</w:t>
      </w:r>
      <w:r>
        <w:rPr>
          <w:rFonts w:hint="eastAsia" w:ascii="黑体" w:hAnsi="黑体" w:eastAsia="黑体" w:cs="黑体"/>
          <w:color w:val="auto"/>
          <w:sz w:val="32"/>
          <w:szCs w:val="32"/>
        </w:rPr>
        <w:t>主要负责人履行推进法治建设第一责任人职责</w:t>
      </w:r>
      <w:r>
        <w:rPr>
          <w:rFonts w:hint="eastAsia" w:ascii="黑体" w:hAnsi="黑体" w:eastAsia="黑体" w:cs="黑体"/>
          <w:color w:val="auto"/>
          <w:sz w:val="32"/>
          <w:szCs w:val="32"/>
          <w:lang w:eastAsia="zh-CN"/>
        </w:rPr>
        <w:t>，加强法治政府建设的有关</w:t>
      </w:r>
      <w:r>
        <w:rPr>
          <w:rFonts w:hint="eastAsia" w:ascii="黑体" w:hAnsi="黑体" w:eastAsia="黑体" w:cs="黑体"/>
          <w:color w:val="auto"/>
          <w:sz w:val="32"/>
          <w:szCs w:val="32"/>
        </w:rPr>
        <w:t>情况</w:t>
      </w:r>
    </w:p>
    <w:p w14:paraId="2F1A28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坚持主要负责人履行推进法治建设第一责任人职责，主抓全局法治建设，严格落实重大行政决策制度，带头尊法学法守法用法，对法治政府建设亲自部署、协调、督办，各股室为执行主体，实行“谁执法、谁负责”全员参与的统计法治工作机制，确保事事有人管，件件有人抓。</w:t>
      </w:r>
    </w:p>
    <w:p w14:paraId="36A45E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、推进法治</w:t>
      </w:r>
      <w:r>
        <w:rPr>
          <w:rFonts w:hint="eastAsia" w:ascii="黑体" w:hAnsi="黑体" w:eastAsia="黑体" w:cs="黑体"/>
          <w:color w:val="auto"/>
          <w:sz w:val="32"/>
          <w:szCs w:val="32"/>
          <w:lang w:eastAsia="zh-CN"/>
        </w:rPr>
        <w:t>政府</w:t>
      </w:r>
      <w:r>
        <w:rPr>
          <w:rFonts w:hint="eastAsia" w:ascii="黑体" w:hAnsi="黑体" w:eastAsia="黑体" w:cs="黑体"/>
          <w:color w:val="auto"/>
          <w:sz w:val="32"/>
          <w:szCs w:val="32"/>
        </w:rPr>
        <w:t>建设</w:t>
      </w:r>
      <w:r>
        <w:rPr>
          <w:rFonts w:hint="eastAsia" w:ascii="黑体" w:hAnsi="黑体" w:eastAsia="黑体" w:cs="黑体"/>
          <w:color w:val="auto"/>
          <w:sz w:val="32"/>
          <w:szCs w:val="32"/>
          <w:lang w:eastAsia="zh-CN"/>
        </w:rPr>
        <w:t>的</w:t>
      </w:r>
      <w:r>
        <w:rPr>
          <w:rFonts w:hint="eastAsia" w:ascii="黑体" w:hAnsi="黑体" w:eastAsia="黑体" w:cs="黑体"/>
          <w:color w:val="auto"/>
          <w:sz w:val="32"/>
          <w:szCs w:val="32"/>
        </w:rPr>
        <w:t>主要举措和成效</w:t>
      </w:r>
    </w:p>
    <w:p w14:paraId="1B325489">
      <w:pPr>
        <w:keepNext w:val="0"/>
        <w:keepLines w:val="0"/>
        <w:pageBreakBefore w:val="0"/>
        <w:numPr>
          <w:ilvl w:val="0"/>
          <w:numId w:val="0"/>
        </w:numPr>
        <w:kinsoku/>
        <w:wordWrap/>
        <w:overflowPunct/>
        <w:topLinePunct w:val="0"/>
        <w:autoSpaceDE/>
        <w:bidi w:val="0"/>
        <w:adjustRightInd/>
        <w:snapToGrid/>
        <w:spacing w:line="600" w:lineRule="exact"/>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（一）稳步推进统计法治宣传工作</w:t>
      </w:r>
    </w:p>
    <w:p w14:paraId="46A8FD8E">
      <w:pPr>
        <w:keepNext w:val="0"/>
        <w:keepLines w:val="0"/>
        <w:pageBreakBefore w:val="0"/>
        <w:numPr>
          <w:ilvl w:val="0"/>
          <w:numId w:val="0"/>
        </w:numPr>
        <w:kinsoku/>
        <w:wordWrap/>
        <w:overflowPunct/>
        <w:topLinePunct w:val="0"/>
        <w:autoSpaceDE/>
        <w:bidi w:val="0"/>
        <w:adjustRightInd/>
        <w:snapToGrid/>
        <w:spacing w:line="600" w:lineRule="exact"/>
        <w:ind w:firstLine="640" w:firstLineChars="200"/>
        <w:rPr>
          <w:rFonts w:hint="eastAsia" w:ascii="仿宋" w:hAnsi="仿宋" w:eastAsia="仿宋" w:cs="仿宋"/>
          <w:color w:val="auto"/>
          <w:sz w:val="32"/>
          <w:szCs w:val="32"/>
          <w:lang w:val="en-US" w:eastAsia="zh-CN"/>
        </w:rPr>
      </w:pPr>
      <w:r>
        <w:rPr>
          <w:rFonts w:hint="eastAsia" w:ascii="仿宋_GB2312" w:hAnsi="仿宋_GB2312" w:eastAsia="仿宋_GB2312" w:cs="仿宋_GB2312"/>
          <w:b w:val="0"/>
          <w:bCs w:val="0"/>
          <w:i w:val="0"/>
          <w:caps w:val="0"/>
          <w:color w:val="auto"/>
          <w:spacing w:val="0"/>
          <w:sz w:val="32"/>
          <w:szCs w:val="32"/>
          <w:shd w:val="clear" w:fill="FFFFFF"/>
        </w:rPr>
        <w:t>大力推进统计法治建设，全面提升统计监督效能。</w:t>
      </w:r>
      <w:r>
        <w:rPr>
          <w:rFonts w:hint="eastAsia" w:ascii="仿宋_GB2312" w:hAnsi="仿宋_GB2312" w:eastAsia="仿宋_GB2312" w:cs="仿宋_GB2312"/>
          <w:b/>
          <w:bCs/>
          <w:i w:val="0"/>
          <w:iCs w:val="0"/>
          <w:caps w:val="0"/>
          <w:color w:val="auto"/>
          <w:spacing w:val="0"/>
          <w:sz w:val="32"/>
          <w:szCs w:val="32"/>
          <w:shd w:val="clear" w:fill="FFFFFF"/>
          <w:lang w:eastAsia="zh-CN"/>
        </w:rPr>
        <w:t>一是</w:t>
      </w:r>
      <w:r>
        <w:rPr>
          <w:rFonts w:hint="eastAsia" w:ascii="仿宋_GB2312" w:hAnsi="仿宋_GB2312" w:eastAsia="仿宋_GB2312" w:cs="仿宋_GB2312"/>
          <w:b w:val="0"/>
          <w:bCs w:val="0"/>
          <w:i w:val="0"/>
          <w:caps w:val="0"/>
          <w:color w:val="auto"/>
          <w:spacing w:val="0"/>
          <w:sz w:val="32"/>
          <w:szCs w:val="32"/>
          <w:shd w:val="clear" w:fill="FFFFFF"/>
        </w:rPr>
        <w:t>强化法治宣传教育。</w:t>
      </w:r>
      <w:r>
        <w:rPr>
          <w:rFonts w:hint="eastAsia" w:ascii="仿宋_GB2312" w:hAnsi="仿宋_GB2312" w:eastAsia="仿宋_GB2312" w:cs="仿宋_GB2312"/>
          <w:b w:val="0"/>
          <w:bCs w:val="0"/>
          <w:i w:val="0"/>
          <w:caps w:val="0"/>
          <w:color w:val="auto"/>
          <w:spacing w:val="0"/>
          <w:sz w:val="32"/>
          <w:szCs w:val="32"/>
          <w:shd w:val="clear" w:fill="FFFFFF"/>
          <w:lang w:val="en-US" w:eastAsia="zh-CN"/>
        </w:rPr>
        <w:t>充分利用党支部“三会一课”、中心组理论学习会等方式，并组织全局工作人员参与年度网上学法考试，制定《区统计局领导干部2024年学法计划》，全方位、多层次、多角度地提升我局领导干部和工作人员的法治意识，有效提高局普法宣传的质量和效果，营造尊法、学法、用法、守法的浓厚氛围。</w:t>
      </w:r>
      <w:r>
        <w:rPr>
          <w:rFonts w:hint="eastAsia" w:ascii="仿宋_GB2312" w:hAnsi="仿宋_GB2312" w:eastAsia="仿宋_GB2312" w:cs="仿宋_GB2312"/>
          <w:b w:val="0"/>
          <w:bCs w:val="0"/>
          <w:i w:val="0"/>
          <w:caps w:val="0"/>
          <w:color w:val="auto"/>
          <w:spacing w:val="0"/>
          <w:sz w:val="32"/>
          <w:szCs w:val="32"/>
          <w:shd w:val="clear" w:fill="FFFFFF"/>
        </w:rPr>
        <w:t>传达学习习近平总书记关于统计工作特别是关于防治统计造假重要讲话和指示批示精神、</w:t>
      </w:r>
      <w:r>
        <w:rPr>
          <w:rFonts w:hint="eastAsia" w:ascii="仿宋" w:hAnsi="仿宋" w:eastAsia="仿宋" w:cs="仿宋"/>
          <w:color w:val="auto"/>
          <w:sz w:val="32"/>
          <w:szCs w:val="32"/>
          <w:lang w:val="en-US" w:eastAsia="zh-CN"/>
        </w:rPr>
        <w:t>《统计法》</w:t>
      </w:r>
      <w:r>
        <w:rPr>
          <w:rFonts w:hint="eastAsia" w:ascii="仿宋_GB2312" w:hAnsi="仿宋_GB2312" w:eastAsia="仿宋_GB2312" w:cs="仿宋_GB2312"/>
          <w:b w:val="0"/>
          <w:bCs w:val="0"/>
          <w:i w:val="0"/>
          <w:caps w:val="0"/>
          <w:color w:val="auto"/>
          <w:spacing w:val="0"/>
          <w:sz w:val="32"/>
          <w:szCs w:val="32"/>
          <w:shd w:val="clear" w:fill="FFFFFF"/>
        </w:rPr>
        <w:t>《意见》《办法》《规定》《监督意见》、统计法律法规文件以及有关统计造假典型案例10余次；</w:t>
      </w:r>
      <w:r>
        <w:rPr>
          <w:rFonts w:hint="eastAsia" w:ascii="仿宋_GB2312" w:hAnsi="仿宋_GB2312" w:eastAsia="仿宋_GB2312" w:cs="仿宋_GB2312"/>
          <w:b/>
          <w:bCs/>
          <w:i w:val="0"/>
          <w:caps w:val="0"/>
          <w:color w:val="auto"/>
          <w:spacing w:val="0"/>
          <w:sz w:val="32"/>
          <w:szCs w:val="32"/>
          <w:shd w:val="clear" w:fill="FFFFFF"/>
          <w:lang w:eastAsia="zh-CN"/>
        </w:rPr>
        <w:t>二是</w:t>
      </w:r>
      <w:r>
        <w:rPr>
          <w:rFonts w:hint="eastAsia" w:ascii="仿宋_GB2312" w:hAnsi="仿宋_GB2312" w:eastAsia="仿宋_GB2312" w:cs="仿宋_GB2312"/>
          <w:b w:val="0"/>
          <w:bCs w:val="0"/>
          <w:i w:val="0"/>
          <w:caps w:val="0"/>
          <w:color w:val="auto"/>
          <w:spacing w:val="0"/>
          <w:sz w:val="32"/>
          <w:szCs w:val="32"/>
          <w:shd w:val="clear" w:fill="FFFFFF"/>
        </w:rPr>
        <w:t>严格落实“统计法进党校”，</w:t>
      </w:r>
      <w:r>
        <w:rPr>
          <w:rFonts w:hint="eastAsia" w:ascii="仿宋_GB2312" w:hAnsi="仿宋_GB2312" w:eastAsia="仿宋_GB2312" w:cs="仿宋_GB2312"/>
          <w:b w:val="0"/>
          <w:bCs w:val="0"/>
          <w:i w:val="0"/>
          <w:caps w:val="0"/>
          <w:color w:val="auto"/>
          <w:spacing w:val="0"/>
          <w:sz w:val="32"/>
          <w:szCs w:val="32"/>
          <w:shd w:val="clear" w:fill="FFFFFF"/>
          <w:lang w:val="en-US" w:eastAsia="zh-CN"/>
        </w:rPr>
        <w:t>2024年10月14日，</w:t>
      </w:r>
      <w:r>
        <w:rPr>
          <w:rFonts w:hint="eastAsia" w:ascii="仿宋_GB2312" w:hAnsi="仿宋_GB2312" w:eastAsia="仿宋_GB2312" w:cs="仿宋_GB2312"/>
          <w:b w:val="0"/>
          <w:bCs w:val="0"/>
          <w:i w:val="0"/>
          <w:caps w:val="0"/>
          <w:color w:val="auto"/>
          <w:spacing w:val="0"/>
          <w:sz w:val="32"/>
          <w:szCs w:val="32"/>
          <w:shd w:val="clear" w:fill="FFFFFF"/>
        </w:rPr>
        <w:t>局主要负责同志应邀为区委党校“2024年</w:t>
      </w:r>
      <w:r>
        <w:rPr>
          <w:rFonts w:hint="eastAsia" w:ascii="仿宋_GB2312" w:hAnsi="仿宋_GB2312" w:eastAsia="仿宋_GB2312" w:cs="仿宋_GB2312"/>
          <w:b w:val="0"/>
          <w:bCs w:val="0"/>
          <w:i w:val="0"/>
          <w:caps w:val="0"/>
          <w:color w:val="auto"/>
          <w:spacing w:val="0"/>
          <w:sz w:val="32"/>
          <w:szCs w:val="32"/>
          <w:shd w:val="clear" w:fill="FFFFFF"/>
          <w:lang w:eastAsia="zh-CN"/>
        </w:rPr>
        <w:t>魏都区秋季学期主体班</w:t>
      </w:r>
      <w:r>
        <w:rPr>
          <w:rFonts w:hint="eastAsia" w:ascii="仿宋_GB2312" w:hAnsi="仿宋_GB2312" w:eastAsia="仿宋_GB2312" w:cs="仿宋_GB2312"/>
          <w:b w:val="0"/>
          <w:bCs w:val="0"/>
          <w:i w:val="0"/>
          <w:caps w:val="0"/>
          <w:color w:val="auto"/>
          <w:spacing w:val="0"/>
          <w:sz w:val="32"/>
          <w:szCs w:val="32"/>
          <w:shd w:val="clear" w:fill="FFFFFF"/>
        </w:rPr>
        <w:t>”开展</w:t>
      </w:r>
      <w:r>
        <w:rPr>
          <w:rFonts w:hint="eastAsia" w:ascii="仿宋_GB2312" w:hAnsi="仿宋_GB2312" w:eastAsia="仿宋_GB2312" w:cs="仿宋_GB2312"/>
          <w:b w:val="0"/>
          <w:bCs w:val="0"/>
          <w:i w:val="0"/>
          <w:caps w:val="0"/>
          <w:color w:val="auto"/>
          <w:spacing w:val="0"/>
          <w:sz w:val="32"/>
          <w:szCs w:val="32"/>
          <w:shd w:val="clear" w:fill="FFFFFF"/>
          <w:lang w:eastAsia="zh-CN"/>
        </w:rPr>
        <w:t>以“</w:t>
      </w:r>
      <w:r>
        <w:rPr>
          <w:rFonts w:hint="eastAsia" w:ascii="仿宋_GB2312" w:hAnsi="仿宋_GB2312" w:eastAsia="仿宋_GB2312" w:cs="仿宋_GB2312"/>
          <w:b w:val="0"/>
          <w:bCs w:val="0"/>
          <w:i w:val="0"/>
          <w:caps w:val="0"/>
          <w:color w:val="auto"/>
          <w:spacing w:val="0"/>
          <w:sz w:val="32"/>
          <w:szCs w:val="32"/>
          <w:shd w:val="clear" w:fill="FFFFFF"/>
        </w:rPr>
        <w:t>树立法治思维、坚守统计数据底线</w:t>
      </w:r>
      <w:r>
        <w:rPr>
          <w:rFonts w:hint="eastAsia" w:ascii="仿宋_GB2312" w:hAnsi="仿宋_GB2312" w:eastAsia="仿宋_GB2312" w:cs="仿宋_GB2312"/>
          <w:b w:val="0"/>
          <w:bCs w:val="0"/>
          <w:i w:val="0"/>
          <w:caps w:val="0"/>
          <w:color w:val="auto"/>
          <w:spacing w:val="0"/>
          <w:sz w:val="32"/>
          <w:szCs w:val="32"/>
          <w:shd w:val="clear" w:fill="FFFFFF"/>
          <w:lang w:eastAsia="zh-CN"/>
        </w:rPr>
        <w:t>”为主题的</w:t>
      </w:r>
      <w:r>
        <w:rPr>
          <w:rFonts w:hint="eastAsia" w:ascii="仿宋_GB2312" w:hAnsi="仿宋_GB2312" w:eastAsia="仿宋_GB2312" w:cs="仿宋_GB2312"/>
          <w:b w:val="0"/>
          <w:bCs w:val="0"/>
          <w:i w:val="0"/>
          <w:caps w:val="0"/>
          <w:color w:val="auto"/>
          <w:spacing w:val="0"/>
          <w:sz w:val="32"/>
          <w:szCs w:val="32"/>
          <w:shd w:val="clear" w:fill="FFFFFF"/>
        </w:rPr>
        <w:t>统计法治专题讲座，推动领导干部“关键少数”的带头尊法学法用法，推动树立正确的政绩观。</w:t>
      </w:r>
      <w:r>
        <w:rPr>
          <w:rFonts w:hint="eastAsia" w:ascii="仿宋_GB2312" w:hAnsi="仿宋_GB2312" w:eastAsia="仿宋_GB2312" w:cs="仿宋_GB2312"/>
          <w:b/>
          <w:bCs/>
          <w:i w:val="0"/>
          <w:caps w:val="0"/>
          <w:color w:val="auto"/>
          <w:spacing w:val="0"/>
          <w:sz w:val="32"/>
          <w:szCs w:val="32"/>
          <w:shd w:val="clear" w:fill="FFFFFF"/>
          <w:lang w:val="en-US" w:eastAsia="zh-CN"/>
        </w:rPr>
        <w:t>三是</w:t>
      </w:r>
      <w:r>
        <w:rPr>
          <w:rFonts w:hint="eastAsia" w:ascii="仿宋_GB2312" w:hAnsi="仿宋_GB2312" w:eastAsia="仿宋_GB2312" w:cs="仿宋_GB2312"/>
          <w:b w:val="0"/>
          <w:bCs w:val="0"/>
          <w:i w:val="0"/>
          <w:caps w:val="0"/>
          <w:color w:val="auto"/>
          <w:spacing w:val="0"/>
          <w:sz w:val="32"/>
          <w:szCs w:val="32"/>
          <w:shd w:val="clear" w:fill="FFFFFF"/>
          <w:lang w:val="en-US" w:eastAsia="zh-CN"/>
        </w:rPr>
        <w:t>加强对外统计法治宣传。利用“9.20”中国统计开放日、“12.4”国家宪法日、“12.8”《统计法》颁布纪念日集中宣传活动为契机，面向社会宣传《中华人民共和国宪法》《中华人民共和国民法典》《统计法》等法律法规，进一步加深群众对宪法等法律和统计工作重要性的认识和了解，提高全民统计法律意识。</w:t>
      </w:r>
    </w:p>
    <w:p w14:paraId="0B309D9E">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Chars="200" w:firstLine="321" w:firstLineChars="100"/>
        <w:jc w:val="both"/>
        <w:textAlignment w:val="center"/>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（二）开展“双随机、一公开”抽查</w:t>
      </w:r>
    </w:p>
    <w:p w14:paraId="376B0E01">
      <w:pPr>
        <w:keepNext w:val="0"/>
        <w:keepLines w:val="0"/>
        <w:pageBreakBefore w:val="0"/>
        <w:shd w:val="solid" w:color="FFFFFF" w:fill="auto"/>
        <w:kinsoku/>
        <w:wordWrap/>
        <w:overflowPunct/>
        <w:topLinePunct w:val="0"/>
        <w:autoSpaceDE/>
        <w:autoSpaceDN w:val="0"/>
        <w:bidi w:val="0"/>
        <w:adjustRightInd/>
        <w:snapToGrid/>
        <w:spacing w:line="600" w:lineRule="exact"/>
        <w:ind w:firstLine="640" w:firstLineChars="200"/>
        <w:rPr>
          <w:rFonts w:hint="eastAsia"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lang w:val="en-US" w:eastAsia="zh-CN"/>
        </w:rPr>
        <w:t>根据市场监管局要求，</w:t>
      </w:r>
      <w:r>
        <w:rPr>
          <w:rFonts w:hint="eastAsia" w:ascii="仿宋_GB2312" w:hAnsi="仿宋" w:eastAsia="仿宋_GB2312" w:cs="仿宋"/>
          <w:color w:val="auto"/>
          <w:sz w:val="32"/>
          <w:szCs w:val="32"/>
          <w:shd w:val="clear" w:color="auto" w:fill="FFFFFF"/>
        </w:rPr>
        <w:t>切实</w:t>
      </w:r>
      <w:r>
        <w:rPr>
          <w:rFonts w:ascii="仿宋_GB2312" w:hAnsi="仿宋" w:eastAsia="仿宋_GB2312" w:cs="仿宋"/>
          <w:color w:val="auto"/>
          <w:sz w:val="32"/>
          <w:szCs w:val="32"/>
          <w:shd w:val="clear" w:color="auto" w:fill="FFFFFF"/>
        </w:rPr>
        <w:t>提高源头统计数据质量</w:t>
      </w:r>
      <w:r>
        <w:rPr>
          <w:rFonts w:hint="eastAsia" w:ascii="仿宋_GB2312" w:hAnsi="仿宋" w:eastAsia="仿宋_GB2312" w:cs="仿宋"/>
          <w:color w:val="auto"/>
          <w:sz w:val="32"/>
          <w:szCs w:val="32"/>
          <w:shd w:val="clear" w:color="auto" w:fill="FFFFFF"/>
          <w:lang w:eastAsia="zh-CN"/>
        </w:rPr>
        <w:t>，按照</w:t>
      </w:r>
      <w:r>
        <w:rPr>
          <w:rFonts w:hint="eastAsia" w:ascii="仿宋_GB2312" w:hAnsi="仿宋" w:eastAsia="仿宋_GB2312" w:cs="仿宋"/>
          <w:color w:val="auto"/>
          <w:sz w:val="32"/>
          <w:szCs w:val="32"/>
          <w:shd w:val="clear" w:color="auto" w:fill="FFFFFF"/>
        </w:rPr>
        <w:t>20</w:t>
      </w:r>
      <w:r>
        <w:rPr>
          <w:rFonts w:hint="eastAsia" w:ascii="仿宋_GB2312" w:hAnsi="仿宋" w:eastAsia="仿宋_GB2312" w:cs="仿宋"/>
          <w:color w:val="auto"/>
          <w:sz w:val="32"/>
          <w:szCs w:val="32"/>
          <w:shd w:val="clear" w:color="auto" w:fill="FFFFFF"/>
          <w:lang w:val="en-US" w:eastAsia="zh-CN"/>
        </w:rPr>
        <w:t>24</w:t>
      </w:r>
      <w:r>
        <w:rPr>
          <w:rFonts w:hint="eastAsia" w:ascii="仿宋_GB2312" w:hAnsi="仿宋" w:eastAsia="仿宋_GB2312" w:cs="仿宋"/>
          <w:color w:val="auto"/>
          <w:sz w:val="32"/>
          <w:szCs w:val="32"/>
          <w:shd w:val="clear" w:color="auto" w:fill="FFFFFF"/>
        </w:rPr>
        <w:t>年度“双随机一公开”随机抽查</w:t>
      </w:r>
      <w:r>
        <w:rPr>
          <w:rFonts w:hint="eastAsia" w:ascii="仿宋_GB2312" w:hAnsi="仿宋" w:eastAsia="仿宋_GB2312" w:cs="仿宋"/>
          <w:color w:val="auto"/>
          <w:sz w:val="32"/>
          <w:szCs w:val="32"/>
          <w:shd w:val="clear" w:color="auto" w:fill="FFFFFF"/>
          <w:lang w:eastAsia="zh-CN"/>
        </w:rPr>
        <w:t>工作计划，</w:t>
      </w:r>
      <w:r>
        <w:rPr>
          <w:rFonts w:hint="eastAsia" w:ascii="仿宋_GB2312" w:hAnsi="仿宋" w:eastAsia="仿宋_GB2312" w:cs="仿宋"/>
          <w:color w:val="auto"/>
          <w:sz w:val="32"/>
          <w:szCs w:val="32"/>
          <w:shd w:val="clear" w:color="auto" w:fill="FFFFFF"/>
          <w:lang w:val="en-US" w:eastAsia="zh-CN"/>
        </w:rPr>
        <w:t>11月下旬，</w:t>
      </w:r>
      <w:r>
        <w:rPr>
          <w:rFonts w:hint="eastAsia" w:ascii="仿宋_GB2312" w:hAnsi="仿宋" w:eastAsia="仿宋_GB2312" w:cs="仿宋"/>
          <w:color w:val="auto"/>
          <w:sz w:val="32"/>
          <w:szCs w:val="32"/>
          <w:shd w:val="clear" w:color="auto" w:fill="FFFFFF"/>
          <w:lang w:eastAsia="zh-CN"/>
        </w:rPr>
        <w:t>对名录库“规上”服务业两家企业开展“双随机一公开”检查，通过抽查，没有发现被检企业存在统计造假情况</w:t>
      </w:r>
      <w:r>
        <w:rPr>
          <w:rFonts w:hint="eastAsia" w:ascii="仿宋_GB2312" w:hAnsi="仿宋" w:eastAsia="仿宋_GB2312" w:cs="仿宋"/>
          <w:color w:val="auto"/>
          <w:sz w:val="32"/>
          <w:szCs w:val="32"/>
          <w:shd w:val="clear" w:color="auto" w:fill="FFFFFF"/>
        </w:rPr>
        <w:t>。</w:t>
      </w:r>
    </w:p>
    <w:p w14:paraId="58E297B5">
      <w:pPr>
        <w:pStyle w:val="7"/>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3" w:firstLineChars="200"/>
        <w:jc w:val="left"/>
        <w:rPr>
          <w:rFonts w:hint="eastAsia" w:ascii="楷体" w:hAnsi="楷体" w:eastAsia="楷体" w:cs="楷体"/>
          <w:b/>
          <w:bCs/>
          <w:i w:val="0"/>
          <w:iCs w:val="0"/>
          <w:caps w:val="0"/>
          <w:color w:val="auto"/>
          <w:spacing w:val="0"/>
          <w:kern w:val="0"/>
          <w:sz w:val="32"/>
          <w:szCs w:val="32"/>
          <w:shd w:val="clear" w:color="auto" w:fill="FFFFFF"/>
          <w:lang w:val="en-US" w:eastAsia="zh-CN" w:bidi="ar"/>
        </w:rPr>
      </w:pPr>
      <w:r>
        <w:rPr>
          <w:rFonts w:hint="eastAsia" w:ascii="楷体" w:hAnsi="楷体" w:eastAsia="楷体" w:cs="楷体"/>
          <w:b/>
          <w:bCs/>
          <w:color w:val="auto"/>
          <w:kern w:val="2"/>
          <w:sz w:val="32"/>
          <w:szCs w:val="32"/>
          <w:shd w:val="clear" w:color="auto" w:fill="FFFFFF"/>
          <w:lang w:val="en-US" w:eastAsia="zh-CN" w:bidi="ar-SA"/>
        </w:rPr>
        <w:t>（三）扎实</w:t>
      </w:r>
      <w:r>
        <w:rPr>
          <w:rFonts w:hint="eastAsia" w:ascii="楷体" w:hAnsi="楷体" w:eastAsia="楷体" w:cs="楷体"/>
          <w:b/>
          <w:bCs/>
          <w:i w:val="0"/>
          <w:iCs w:val="0"/>
          <w:caps w:val="0"/>
          <w:color w:val="auto"/>
          <w:spacing w:val="0"/>
          <w:kern w:val="0"/>
          <w:sz w:val="32"/>
          <w:szCs w:val="32"/>
          <w:shd w:val="clear" w:color="auto" w:fill="FFFFFF"/>
          <w:lang w:val="en-US" w:eastAsia="zh-CN" w:bidi="ar"/>
        </w:rPr>
        <w:t>开展基层基础规范化建设</w:t>
      </w:r>
    </w:p>
    <w:p w14:paraId="08FE7519">
      <w:pPr>
        <w:pStyle w:val="7"/>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0" w:firstLineChars="200"/>
        <w:jc w:val="left"/>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pPr>
      <w:r>
        <w:rPr>
          <w:rFonts w:hint="eastAsia" w:ascii="仿宋" w:hAnsi="仿宋" w:eastAsia="仿宋" w:cs="仿宋"/>
          <w:i w:val="0"/>
          <w:iCs w:val="0"/>
          <w:color w:val="auto"/>
          <w:sz w:val="32"/>
          <w:szCs w:val="32"/>
        </w:rPr>
        <w:t>扎实开展统计基层基础</w:t>
      </w:r>
      <w:r>
        <w:rPr>
          <w:rFonts w:hint="eastAsia" w:ascii="仿宋" w:hAnsi="仿宋" w:eastAsia="仿宋" w:cs="仿宋"/>
          <w:i w:val="0"/>
          <w:iCs w:val="0"/>
          <w:color w:val="auto"/>
          <w:sz w:val="32"/>
          <w:szCs w:val="32"/>
          <w:lang w:eastAsia="zh-CN"/>
        </w:rPr>
        <w:t>规范化建设</w:t>
      </w:r>
      <w:r>
        <w:rPr>
          <w:rFonts w:hint="eastAsia" w:ascii="仿宋" w:hAnsi="仿宋" w:eastAsia="仿宋" w:cs="仿宋"/>
          <w:i w:val="0"/>
          <w:iCs w:val="0"/>
          <w:color w:val="auto"/>
          <w:sz w:val="32"/>
          <w:szCs w:val="32"/>
        </w:rPr>
        <w:t>工作</w:t>
      </w:r>
      <w:r>
        <w:rPr>
          <w:rFonts w:hint="eastAsia" w:ascii="仿宋" w:hAnsi="仿宋" w:eastAsia="仿宋" w:cs="仿宋"/>
          <w:i w:val="0"/>
          <w:iCs w:val="0"/>
          <w:color w:val="auto"/>
          <w:sz w:val="32"/>
          <w:szCs w:val="32"/>
          <w:lang w:eastAsia="zh-CN"/>
        </w:rPr>
        <w:t>，按照基层基础规范化建设工作方案，</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组织全局</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干部职工分六个小组深入到</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全区1</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3个</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街道</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办事处、1个开发区以及本辖区内的300多家</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联网直报企业进行统计基层基础规范化建设督查指导，</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通过对</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办公场所、</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人员配备、</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财务报表、统计台账</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等相关资料</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进行</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全面</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核查</w:t>
      </w: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，切实做到基层基础规范化建设工作达标</w:t>
      </w:r>
      <w:r>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t>。</w:t>
      </w:r>
    </w:p>
    <w:p w14:paraId="1D852E96">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（四）政府常务会议学习统计法和中央有关统计工作重要文件情况</w:t>
      </w:r>
    </w:p>
    <w:p w14:paraId="7F207D05">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auto"/>
          <w:spacing w:val="0"/>
          <w:kern w:val="0"/>
          <w:sz w:val="32"/>
          <w:szCs w:val="32"/>
          <w:shd w:val="clear" w:color="auto" w:fill="FFFFFF"/>
          <w:lang w:val="en-US" w:eastAsia="zh-CN" w:bidi="ar"/>
        </w:rPr>
        <w:t>在魏都区政府第十六届第45次政府常务会议，传达学习了统计违法案件的通报，同时学习了《统计法》《意见》《办法》《规定》等相关法律法规文件精神，为纵深推进全面从严治党、推动高质量发展提供坚强有力的统计保障。</w:t>
      </w:r>
    </w:p>
    <w:p w14:paraId="37C6964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w:t>
      </w:r>
      <w:r>
        <w:rPr>
          <w:rFonts w:hint="eastAsia" w:ascii="黑体" w:hAnsi="黑体" w:eastAsia="黑体" w:cs="黑体"/>
          <w:color w:val="auto"/>
          <w:sz w:val="32"/>
          <w:szCs w:val="32"/>
        </w:rPr>
        <w:t>推进法治</w:t>
      </w:r>
      <w:r>
        <w:rPr>
          <w:rFonts w:hint="eastAsia" w:ascii="黑体" w:hAnsi="黑体" w:eastAsia="黑体" w:cs="黑体"/>
          <w:color w:val="auto"/>
          <w:sz w:val="32"/>
          <w:szCs w:val="32"/>
          <w:lang w:eastAsia="zh-CN"/>
        </w:rPr>
        <w:t>政府</w:t>
      </w:r>
      <w:r>
        <w:rPr>
          <w:rFonts w:hint="eastAsia" w:ascii="黑体" w:hAnsi="黑体" w:eastAsia="黑体" w:cs="黑体"/>
          <w:color w:val="auto"/>
          <w:sz w:val="32"/>
          <w:szCs w:val="32"/>
        </w:rPr>
        <w:t>建设</w:t>
      </w:r>
      <w:r>
        <w:rPr>
          <w:rFonts w:hint="eastAsia" w:ascii="黑体" w:hAnsi="黑体" w:eastAsia="黑体" w:cs="黑体"/>
          <w:b w:val="0"/>
          <w:bCs w:val="0"/>
          <w:color w:val="auto"/>
          <w:sz w:val="32"/>
          <w:szCs w:val="32"/>
        </w:rPr>
        <w:t>存在的不足</w:t>
      </w:r>
      <w:r>
        <w:rPr>
          <w:rFonts w:hint="eastAsia" w:ascii="黑体" w:hAnsi="黑体" w:eastAsia="黑体" w:cs="黑体"/>
          <w:b w:val="0"/>
          <w:bCs w:val="0"/>
          <w:color w:val="auto"/>
          <w:sz w:val="32"/>
          <w:szCs w:val="32"/>
          <w:lang w:eastAsia="zh-CN"/>
        </w:rPr>
        <w:t>、原因和问题整改情况</w:t>
      </w:r>
    </w:p>
    <w:p w14:paraId="660E9F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3" w:firstLineChars="200"/>
        <w:jc w:val="left"/>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bCs/>
          <w:color w:val="auto"/>
          <w:spacing w:val="0"/>
          <w:kern w:val="0"/>
          <w:sz w:val="32"/>
          <w:szCs w:val="32"/>
          <w:shd w:val="clear" w:fill="FFFFFF"/>
          <w:lang w:val="en-US" w:eastAsia="zh-CN" w:bidi="ar"/>
        </w:rPr>
        <w:t>一是依法治统氛围不浓。</w:t>
      </w:r>
      <w:r>
        <w:rPr>
          <w:rFonts w:hint="eastAsia" w:ascii="仿宋_GB2312" w:hAnsi="仿宋_GB2312" w:eastAsia="仿宋_GB2312" w:cs="仿宋_GB2312"/>
          <w:i w:val="0"/>
          <w:iCs w:val="0"/>
          <w:caps w:val="0"/>
          <w:color w:val="auto"/>
          <w:spacing w:val="0"/>
          <w:sz w:val="32"/>
          <w:szCs w:val="32"/>
          <w:shd w:val="clear" w:fill="FFFFFF"/>
        </w:rPr>
        <w:t>利用自媒体、新媒体等载体进行统计法治宣传较少，社会公众统计法治意识不够强，统计法律法规知识掌握不牢，对统计数据的精确性要求认识不足</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bCs/>
          <w:color w:val="auto"/>
          <w:spacing w:val="0"/>
          <w:kern w:val="0"/>
          <w:sz w:val="32"/>
          <w:szCs w:val="32"/>
          <w:shd w:val="clear" w:fill="FFFFFF"/>
          <w:lang w:val="en-US" w:eastAsia="zh-CN" w:bidi="ar"/>
        </w:rPr>
        <w:t>二是基层基础较薄弱。</w:t>
      </w:r>
      <w:r>
        <w:rPr>
          <w:rFonts w:hint="eastAsia" w:ascii="仿宋_GB2312" w:hAnsi="仿宋_GB2312" w:eastAsia="仿宋_GB2312" w:cs="仿宋_GB2312"/>
          <w:i w:val="0"/>
          <w:iCs w:val="0"/>
          <w:caps w:val="0"/>
          <w:color w:val="auto"/>
          <w:spacing w:val="0"/>
          <w:sz w:val="32"/>
          <w:szCs w:val="32"/>
          <w:shd w:val="clear" w:fill="FFFFFF"/>
        </w:rPr>
        <w:t>部分企业统计员对专业报表业务知识掌握不够牢固，</w:t>
      </w:r>
      <w:r>
        <w:rPr>
          <w:rFonts w:hint="eastAsia" w:ascii="仿宋_GB2312" w:hAnsi="仿宋_GB2312" w:eastAsia="仿宋_GB2312" w:cs="仿宋_GB2312"/>
          <w:i w:val="0"/>
          <w:iCs w:val="0"/>
          <w:caps w:val="0"/>
          <w:color w:val="auto"/>
          <w:spacing w:val="0"/>
          <w:sz w:val="32"/>
          <w:szCs w:val="32"/>
          <w:shd w:val="clear" w:fill="FFFFFF"/>
          <w:lang w:eastAsia="zh-CN"/>
        </w:rPr>
        <w:t>办事处</w:t>
      </w:r>
      <w:r>
        <w:rPr>
          <w:rFonts w:hint="eastAsia" w:ascii="仿宋_GB2312" w:hAnsi="仿宋_GB2312" w:eastAsia="仿宋_GB2312" w:cs="仿宋_GB2312"/>
          <w:i w:val="0"/>
          <w:iCs w:val="0"/>
          <w:caps w:val="0"/>
          <w:color w:val="auto"/>
          <w:spacing w:val="0"/>
          <w:sz w:val="32"/>
          <w:szCs w:val="32"/>
          <w:shd w:val="clear" w:fill="FFFFFF"/>
        </w:rPr>
        <w:t>企业基层基础较薄弱。</w:t>
      </w:r>
      <w:r>
        <w:rPr>
          <w:rFonts w:hint="eastAsia" w:ascii="仿宋_GB2312" w:hAnsi="仿宋_GB2312" w:eastAsia="仿宋_GB2312" w:cs="仿宋_GB2312"/>
          <w:i w:val="0"/>
          <w:caps w:val="0"/>
          <w:color w:val="auto"/>
          <w:spacing w:val="0"/>
          <w:sz w:val="32"/>
          <w:szCs w:val="32"/>
          <w:shd w:val="clear" w:fill="FFFFFF"/>
        </w:rPr>
        <w:t>基层统计报表人员素质不一,企业报表人员更换频繁、流动性较大,普法教育组织难,时间难落实,效果不明显。</w:t>
      </w:r>
      <w:r>
        <w:rPr>
          <w:rFonts w:hint="eastAsia" w:ascii="仿宋_GB2312" w:hAnsi="仿宋_GB2312" w:eastAsia="仿宋_GB2312" w:cs="仿宋_GB2312"/>
          <w:b/>
          <w:bCs/>
          <w:color w:val="auto"/>
          <w:spacing w:val="0"/>
          <w:kern w:val="0"/>
          <w:sz w:val="32"/>
          <w:szCs w:val="32"/>
          <w:shd w:val="clear" w:fill="FFFFFF"/>
          <w:lang w:val="en-US" w:eastAsia="zh-CN" w:bidi="ar"/>
        </w:rPr>
        <w:t>三是统计执法队伍不足。</w:t>
      </w:r>
      <w:r>
        <w:rPr>
          <w:rFonts w:hint="eastAsia" w:ascii="仿宋_GB2312" w:hAnsi="仿宋_GB2312" w:eastAsia="仿宋_GB2312" w:cs="仿宋_GB2312"/>
          <w:color w:val="auto"/>
          <w:sz w:val="32"/>
          <w:szCs w:val="32"/>
          <w:lang w:val="en-US" w:eastAsia="zh-CN"/>
        </w:rPr>
        <w:t>因</w:t>
      </w:r>
      <w:r>
        <w:rPr>
          <w:rFonts w:hint="eastAsia" w:ascii="仿宋_GB2312" w:hAnsi="仿宋_GB2312" w:eastAsia="仿宋_GB2312" w:cs="仿宋_GB2312"/>
          <w:color w:val="auto"/>
          <w:sz w:val="32"/>
          <w:szCs w:val="32"/>
        </w:rPr>
        <w:t>统计执法力量薄弱，检查力度有待加强。由于我局执法力量迟迟得不到充实，需要借用其他</w:t>
      </w:r>
      <w:r>
        <w:rPr>
          <w:rFonts w:hint="eastAsia" w:ascii="仿宋_GB2312" w:hAnsi="仿宋_GB2312" w:eastAsia="仿宋_GB2312" w:cs="仿宋_GB2312"/>
          <w:color w:val="auto"/>
          <w:sz w:val="32"/>
          <w:szCs w:val="32"/>
          <w:lang w:eastAsia="zh-CN"/>
        </w:rPr>
        <w:t>地区</w:t>
      </w:r>
      <w:r>
        <w:rPr>
          <w:rFonts w:hint="eastAsia" w:ascii="仿宋_GB2312" w:hAnsi="仿宋_GB2312" w:eastAsia="仿宋_GB2312" w:cs="仿宋_GB2312"/>
          <w:color w:val="auto"/>
          <w:sz w:val="32"/>
          <w:szCs w:val="32"/>
        </w:rPr>
        <w:t>执法力量才能正常开展执法检查，导致统计执法检查无法经常性开展。</w:t>
      </w:r>
    </w:p>
    <w:p w14:paraId="14276A51">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下</w:t>
      </w:r>
      <w:r>
        <w:rPr>
          <w:rFonts w:hint="eastAsia" w:ascii="黑体" w:hAnsi="黑体" w:eastAsia="黑体" w:cs="黑体"/>
          <w:color w:val="auto"/>
          <w:sz w:val="32"/>
          <w:szCs w:val="32"/>
          <w:lang w:eastAsia="zh-CN"/>
        </w:rPr>
        <w:t>一年度</w:t>
      </w:r>
      <w:r>
        <w:rPr>
          <w:rFonts w:hint="eastAsia" w:ascii="黑体" w:hAnsi="黑体" w:eastAsia="黑体" w:cs="黑体"/>
          <w:color w:val="auto"/>
          <w:sz w:val="32"/>
          <w:szCs w:val="32"/>
        </w:rPr>
        <w:t>推进法治</w:t>
      </w:r>
      <w:r>
        <w:rPr>
          <w:rFonts w:hint="eastAsia" w:ascii="黑体" w:hAnsi="黑体" w:eastAsia="黑体" w:cs="黑体"/>
          <w:color w:val="auto"/>
          <w:sz w:val="32"/>
          <w:szCs w:val="32"/>
          <w:lang w:eastAsia="zh-CN"/>
        </w:rPr>
        <w:t>政府</w:t>
      </w:r>
      <w:r>
        <w:rPr>
          <w:rFonts w:hint="eastAsia" w:ascii="黑体" w:hAnsi="黑体" w:eastAsia="黑体" w:cs="黑体"/>
          <w:color w:val="auto"/>
          <w:sz w:val="32"/>
          <w:szCs w:val="32"/>
        </w:rPr>
        <w:t>建设</w:t>
      </w:r>
      <w:r>
        <w:rPr>
          <w:rFonts w:hint="eastAsia" w:ascii="黑体" w:hAnsi="黑体" w:eastAsia="黑体" w:cs="黑体"/>
          <w:color w:val="auto"/>
          <w:sz w:val="32"/>
          <w:szCs w:val="32"/>
          <w:lang w:eastAsia="zh-CN"/>
        </w:rPr>
        <w:t>的初步</w:t>
      </w:r>
      <w:r>
        <w:rPr>
          <w:rFonts w:hint="eastAsia" w:ascii="黑体" w:hAnsi="黑体" w:eastAsia="黑体" w:cs="黑体"/>
          <w:color w:val="auto"/>
          <w:sz w:val="32"/>
          <w:szCs w:val="32"/>
        </w:rPr>
        <w:t>安排</w:t>
      </w:r>
    </w:p>
    <w:p w14:paraId="32B47365">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3" w:firstLineChars="200"/>
        <w:jc w:val="both"/>
        <w:textAlignment w:val="center"/>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（一）开展“双随机、一公开”抽查工作</w:t>
      </w:r>
    </w:p>
    <w:p w14:paraId="1E90C313">
      <w:pPr>
        <w:keepNext w:val="0"/>
        <w:keepLines w:val="0"/>
        <w:pageBreakBefore w:val="0"/>
        <w:shd w:val="solid" w:color="FFFFFF" w:fill="auto"/>
        <w:kinsoku/>
        <w:wordWrap/>
        <w:overflowPunct/>
        <w:topLinePunct w:val="0"/>
        <w:autoSpaceDE/>
        <w:autoSpaceDN w:val="0"/>
        <w:bidi w:val="0"/>
        <w:adjustRightInd/>
        <w:snapToGrid/>
        <w:spacing w:line="600" w:lineRule="exact"/>
        <w:ind w:firstLine="640" w:firstLineChars="200"/>
        <w:rPr>
          <w:rFonts w:hint="eastAsia" w:ascii="仿宋_GB2312" w:hAnsi="仿宋" w:eastAsia="仿宋_GB2312" w:cs="仿宋"/>
          <w:color w:val="auto"/>
          <w:sz w:val="32"/>
          <w:szCs w:val="32"/>
          <w:shd w:val="clear" w:color="auto" w:fill="FFFFFF"/>
        </w:rPr>
      </w:pPr>
      <w:r>
        <w:rPr>
          <w:rFonts w:hint="eastAsia" w:ascii="仿宋_GB2312" w:hAnsi="仿宋" w:eastAsia="仿宋_GB2312" w:cs="仿宋"/>
          <w:color w:val="auto"/>
          <w:sz w:val="32"/>
          <w:szCs w:val="32"/>
          <w:shd w:val="clear" w:color="auto" w:fill="FFFFFF"/>
          <w:lang w:eastAsia="zh-CN"/>
        </w:rPr>
        <w:t>为</w:t>
      </w:r>
      <w:r>
        <w:rPr>
          <w:rFonts w:hint="eastAsia" w:ascii="仿宋_GB2312" w:hAnsi="仿宋" w:eastAsia="仿宋_GB2312" w:cs="仿宋"/>
          <w:color w:val="auto"/>
          <w:sz w:val="32"/>
          <w:szCs w:val="32"/>
          <w:shd w:val="clear" w:color="auto" w:fill="FFFFFF"/>
        </w:rPr>
        <w:t>切实</w:t>
      </w:r>
      <w:r>
        <w:rPr>
          <w:rFonts w:ascii="仿宋_GB2312" w:hAnsi="仿宋" w:eastAsia="仿宋_GB2312" w:cs="仿宋"/>
          <w:color w:val="auto"/>
          <w:sz w:val="32"/>
          <w:szCs w:val="32"/>
          <w:shd w:val="clear" w:color="auto" w:fill="FFFFFF"/>
        </w:rPr>
        <w:t>提高源头统计数据质量</w:t>
      </w:r>
      <w:r>
        <w:rPr>
          <w:rFonts w:hint="eastAsia" w:ascii="仿宋_GB2312" w:hAnsi="仿宋" w:eastAsia="仿宋_GB2312" w:cs="仿宋"/>
          <w:color w:val="auto"/>
          <w:sz w:val="32"/>
          <w:szCs w:val="32"/>
          <w:shd w:val="clear" w:color="auto" w:fill="FFFFFF"/>
          <w:lang w:eastAsia="zh-CN"/>
        </w:rPr>
        <w:t>，</w:t>
      </w:r>
      <w:r>
        <w:rPr>
          <w:rFonts w:hint="eastAsia" w:ascii="仿宋_GB2312" w:hAnsi="仿宋" w:eastAsia="仿宋_GB2312" w:cs="仿宋"/>
          <w:color w:val="auto"/>
          <w:sz w:val="32"/>
          <w:szCs w:val="32"/>
          <w:shd w:val="clear" w:color="auto" w:fill="FFFFFF"/>
        </w:rPr>
        <w:t>制定20</w:t>
      </w:r>
      <w:r>
        <w:rPr>
          <w:rFonts w:hint="eastAsia" w:ascii="仿宋_GB2312" w:hAnsi="仿宋" w:eastAsia="仿宋_GB2312" w:cs="仿宋"/>
          <w:color w:val="auto"/>
          <w:sz w:val="32"/>
          <w:szCs w:val="32"/>
          <w:shd w:val="clear" w:color="auto" w:fill="FFFFFF"/>
          <w:lang w:val="en-US" w:eastAsia="zh-CN"/>
        </w:rPr>
        <w:t>25</w:t>
      </w:r>
      <w:r>
        <w:rPr>
          <w:rFonts w:hint="eastAsia" w:ascii="仿宋_GB2312" w:hAnsi="仿宋" w:eastAsia="仿宋_GB2312" w:cs="仿宋"/>
          <w:color w:val="auto"/>
          <w:sz w:val="32"/>
          <w:szCs w:val="32"/>
          <w:shd w:val="clear" w:color="auto" w:fill="FFFFFF"/>
        </w:rPr>
        <w:t>年度“双随机一公开”随机抽查</w:t>
      </w:r>
      <w:r>
        <w:rPr>
          <w:rFonts w:hint="eastAsia" w:ascii="仿宋_GB2312" w:hAnsi="仿宋" w:eastAsia="仿宋_GB2312" w:cs="仿宋"/>
          <w:color w:val="auto"/>
          <w:sz w:val="32"/>
          <w:szCs w:val="32"/>
          <w:shd w:val="clear" w:color="auto" w:fill="FFFFFF"/>
          <w:lang w:eastAsia="zh-CN"/>
        </w:rPr>
        <w:t>工作计划，并对名录库</w:t>
      </w:r>
      <w:r>
        <w:rPr>
          <w:rFonts w:hint="eastAsia" w:ascii="仿宋_GB2312" w:hAnsi="仿宋" w:eastAsia="仿宋_GB2312" w:cs="仿宋"/>
          <w:color w:val="auto"/>
          <w:sz w:val="32"/>
          <w:szCs w:val="32"/>
          <w:shd w:val="clear" w:color="auto" w:fill="FFFFFF"/>
          <w:lang w:val="en-US" w:eastAsia="zh-CN"/>
        </w:rPr>
        <w:t>300多家</w:t>
      </w:r>
      <w:r>
        <w:rPr>
          <w:rFonts w:hint="eastAsia" w:ascii="仿宋_GB2312" w:hAnsi="仿宋" w:eastAsia="仿宋_GB2312" w:cs="仿宋"/>
          <w:color w:val="auto"/>
          <w:sz w:val="32"/>
          <w:szCs w:val="32"/>
          <w:shd w:val="clear" w:color="auto" w:fill="FFFFFF"/>
          <w:lang w:eastAsia="zh-CN"/>
        </w:rPr>
        <w:t>企业开展“双随机一公开”抽查，通过对资产负债表、利润表、统计台账及申报表等相关报表的检查，确保统计数据的真实性</w:t>
      </w:r>
      <w:r>
        <w:rPr>
          <w:rFonts w:hint="eastAsia" w:ascii="仿宋_GB2312" w:hAnsi="仿宋" w:eastAsia="仿宋_GB2312" w:cs="仿宋"/>
          <w:color w:val="auto"/>
          <w:sz w:val="32"/>
          <w:szCs w:val="32"/>
          <w:shd w:val="clear" w:color="auto" w:fill="FFFFFF"/>
        </w:rPr>
        <w:t>。</w:t>
      </w:r>
    </w:p>
    <w:p w14:paraId="0BA51736">
      <w:pPr>
        <w:keepNext w:val="0"/>
        <w:keepLines w:val="0"/>
        <w:pageBreakBefore w:val="0"/>
        <w:widowControl/>
        <w:suppressLineNumbers w:val="0"/>
        <w:kinsoku/>
        <w:wordWrap/>
        <w:overflowPunct/>
        <w:topLinePunct w:val="0"/>
        <w:autoSpaceDE/>
        <w:bidi w:val="0"/>
        <w:adjustRightInd/>
        <w:snapToGrid/>
        <w:spacing w:line="600" w:lineRule="exact"/>
        <w:ind w:firstLine="640" w:firstLineChars="200"/>
        <w:jc w:val="left"/>
        <w:rPr>
          <w:rFonts w:hint="eastAsia" w:ascii="仿宋" w:hAnsi="仿宋" w:eastAsia="仿宋" w:cs="仿宋"/>
          <w:b w:val="0"/>
          <w:bCs w:val="0"/>
          <w:color w:val="auto"/>
          <w:sz w:val="32"/>
          <w:szCs w:val="32"/>
          <w:lang w:val="zh-CN" w:eastAsia="zh-CN"/>
        </w:rPr>
      </w:pPr>
      <w:r>
        <w:rPr>
          <w:rFonts w:hint="eastAsia" w:ascii="楷体" w:hAnsi="楷体" w:eastAsia="楷体" w:cs="楷体"/>
          <w:b w:val="0"/>
          <w:bCs w:val="0"/>
          <w:color w:val="auto"/>
          <w:kern w:val="2"/>
          <w:sz w:val="32"/>
          <w:szCs w:val="32"/>
          <w:shd w:val="clear" w:color="auto" w:fill="FFFFFF"/>
          <w:lang w:val="en-US" w:eastAsia="zh-CN" w:bidi="ar-SA"/>
        </w:rPr>
        <w:t>（二）</w:t>
      </w:r>
      <w:r>
        <w:rPr>
          <w:rFonts w:hint="eastAsia" w:ascii="楷体_GB2312" w:hAnsi="楷体_GB2312" w:eastAsia="楷体_GB2312" w:cs="楷体_GB2312"/>
          <w:b/>
          <w:bCs/>
          <w:color w:val="auto"/>
          <w:sz w:val="32"/>
          <w:szCs w:val="32"/>
          <w:lang w:val="zh-CN" w:eastAsia="zh-CN"/>
        </w:rPr>
        <w:t>加强统计法律法规学习宣传。</w:t>
      </w:r>
      <w:r>
        <w:rPr>
          <w:rFonts w:hint="eastAsia" w:ascii="仿宋_GB2312" w:hAnsi="仿宋_GB2312" w:eastAsia="仿宋_GB2312" w:cs="仿宋_GB2312"/>
          <w:b w:val="0"/>
          <w:bCs w:val="0"/>
          <w:i w:val="0"/>
          <w:caps w:val="0"/>
          <w:color w:val="auto"/>
          <w:spacing w:val="0"/>
          <w:sz w:val="32"/>
          <w:szCs w:val="32"/>
          <w:shd w:val="clear" w:fill="FFFFFF"/>
        </w:rPr>
        <w:t>进一步深入学习贯彻习近平总书记关于统计工作的重要讲话指示批示精神和中央有关统计工作文件，坚持学法与用法结合，加强统计法律法规宣传教育，全面推进依法统计依法治统，确保统计数据真实准确。加强对党政领导干部这一“关键少数”的统计普法宣传教育工作，持续推进新修订的《统计法》进党校，进一步提升领导干部依法统计思维和依法统计能力。</w:t>
      </w:r>
    </w:p>
    <w:p w14:paraId="09AE413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shd w:val="clear" w:color="auto" w:fill="FFFFFF"/>
          <w:lang w:val="en-US" w:eastAsia="zh-CN" w:bidi="ar-SA"/>
        </w:rPr>
        <w:t>（</w:t>
      </w:r>
      <w:r>
        <w:rPr>
          <w:rFonts w:hint="eastAsia" w:ascii="楷体_GB2312" w:hAnsi="楷体_GB2312" w:eastAsia="楷体_GB2312" w:cs="楷体_GB2312"/>
          <w:b/>
          <w:bCs/>
          <w:color w:val="auto"/>
          <w:sz w:val="32"/>
          <w:szCs w:val="32"/>
          <w:lang w:val="zh-CN" w:eastAsia="zh-CN"/>
        </w:rPr>
        <w:t>三</w:t>
      </w:r>
      <w:r>
        <w:rPr>
          <w:rFonts w:hint="eastAsia" w:ascii="楷体" w:hAnsi="楷体" w:eastAsia="楷体" w:cs="楷体"/>
          <w:b/>
          <w:bCs/>
          <w:color w:val="auto"/>
          <w:kern w:val="2"/>
          <w:sz w:val="32"/>
          <w:szCs w:val="32"/>
          <w:shd w:val="clear" w:color="auto" w:fill="FFFFFF"/>
          <w:lang w:val="en-US" w:eastAsia="zh-CN" w:bidi="ar-SA"/>
        </w:rPr>
        <w:t>）</w:t>
      </w:r>
      <w:r>
        <w:rPr>
          <w:rFonts w:hint="eastAsia" w:ascii="楷体" w:hAnsi="楷体" w:eastAsia="楷体" w:cs="楷体"/>
          <w:b/>
          <w:bCs/>
          <w:color w:val="auto"/>
          <w:sz w:val="32"/>
          <w:szCs w:val="32"/>
          <w:lang w:val="en-US" w:eastAsia="zh-CN"/>
        </w:rPr>
        <w:t>加强统计业务培训。</w:t>
      </w:r>
      <w:r>
        <w:rPr>
          <w:rFonts w:hint="eastAsia" w:ascii="仿宋_GB2312" w:hAnsi="仿宋_GB2312" w:eastAsia="仿宋_GB2312" w:cs="仿宋_GB2312"/>
          <w:color w:val="auto"/>
          <w:sz w:val="32"/>
          <w:szCs w:val="32"/>
          <w:lang w:val="en-US" w:eastAsia="zh-CN"/>
        </w:rPr>
        <w:t>有计划、分层次开展基层统计人员岗前培训、能力提升培训和专业技能培训，全面提升基层统计人员业务素质和履职能力。创新培训方式，每季度开展一次统计讲坛，邀请市局领导和班子成员、业务骨干常态化对基层统计人员开展业务培训，适时开展统计应知应会知识考试、统计专业能力竞赛、统计大比武等活动，提升统计专业技术能力。</w:t>
      </w:r>
    </w:p>
    <w:p w14:paraId="6FADF7C4">
      <w:pPr>
        <w:pStyle w:val="7"/>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600" w:lineRule="exact"/>
        <w:ind w:right="0" w:rightChars="0" w:firstLine="643" w:firstLineChars="200"/>
        <w:jc w:val="left"/>
        <w:rPr>
          <w:rFonts w:hint="default" w:ascii="仿宋_GB2312" w:hAnsi="微软雅黑" w:eastAsia="仿宋_GB2312" w:cs="仿宋_GB2312"/>
          <w:i w:val="0"/>
          <w:iCs w:val="0"/>
          <w:caps w:val="0"/>
          <w:color w:val="auto"/>
          <w:spacing w:val="0"/>
          <w:kern w:val="0"/>
          <w:sz w:val="32"/>
          <w:szCs w:val="32"/>
          <w:shd w:val="clear" w:color="auto" w:fill="FFFFFF"/>
          <w:lang w:val="en-US" w:eastAsia="zh-CN" w:bidi="ar"/>
        </w:rPr>
      </w:pPr>
      <w:r>
        <w:rPr>
          <w:rFonts w:hint="eastAsia" w:ascii="楷体" w:hAnsi="楷体" w:eastAsia="楷体" w:cs="楷体"/>
          <w:b/>
          <w:bCs/>
          <w:color w:val="auto"/>
          <w:kern w:val="2"/>
          <w:sz w:val="32"/>
          <w:szCs w:val="32"/>
          <w:shd w:val="clear" w:color="auto" w:fill="FFFFFF"/>
          <w:lang w:val="en-US" w:eastAsia="zh-CN" w:bidi="ar-SA"/>
        </w:rPr>
        <w:t>（</w:t>
      </w:r>
      <w:r>
        <w:rPr>
          <w:rFonts w:hint="eastAsia" w:ascii="楷体_GB2312" w:hAnsi="楷体_GB2312" w:eastAsia="楷体_GB2312" w:cs="楷体_GB2312"/>
          <w:b/>
          <w:bCs/>
          <w:color w:val="auto"/>
          <w:sz w:val="32"/>
          <w:szCs w:val="32"/>
          <w:lang w:val="zh-CN" w:eastAsia="zh-CN"/>
        </w:rPr>
        <w:t>四</w:t>
      </w:r>
      <w:r>
        <w:rPr>
          <w:rFonts w:hint="eastAsia" w:ascii="楷体" w:hAnsi="楷体" w:eastAsia="楷体" w:cs="楷体"/>
          <w:b/>
          <w:bCs/>
          <w:color w:val="auto"/>
          <w:kern w:val="2"/>
          <w:sz w:val="32"/>
          <w:szCs w:val="32"/>
          <w:shd w:val="clear" w:color="auto" w:fill="FFFFFF"/>
          <w:lang w:val="en-US" w:eastAsia="zh-CN" w:bidi="ar-SA"/>
        </w:rPr>
        <w:t>）</w:t>
      </w:r>
      <w:r>
        <w:rPr>
          <w:rFonts w:hint="eastAsia" w:ascii="楷体_GB2312" w:hAnsi="楷体_GB2312" w:eastAsia="楷体_GB2312" w:cs="楷体_GB2312"/>
          <w:b/>
          <w:bCs/>
          <w:color w:val="auto"/>
          <w:sz w:val="32"/>
          <w:szCs w:val="32"/>
          <w:lang w:val="zh-CN" w:eastAsia="zh-CN"/>
        </w:rPr>
        <w:t>强化统计基层基础，夯实统计工作根基</w:t>
      </w:r>
      <w:r>
        <w:rPr>
          <w:rFonts w:hint="eastAsia" w:ascii="仿宋_GB2312" w:hAnsi="仿宋_GB2312" w:eastAsia="仿宋_GB2312" w:cs="仿宋_GB2312"/>
          <w:b/>
          <w:bCs/>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rPr>
        <w:t>一是强化统计业务素质，狠抓业务知识培训，提升专业素质。以提升业务能力、理论水平为重点，加强与兄弟县区互动学习，交流经验、取长补短，不断提升</w:t>
      </w:r>
      <w:r>
        <w:rPr>
          <w:rFonts w:hint="eastAsia" w:ascii="仿宋_GB2312" w:hAnsi="仿宋_GB2312" w:eastAsia="仿宋_GB2312" w:cs="仿宋_GB2312"/>
          <w:b w:val="0"/>
          <w:bCs w:val="0"/>
          <w:i w:val="0"/>
          <w:caps w:val="0"/>
          <w:color w:val="auto"/>
          <w:spacing w:val="0"/>
          <w:sz w:val="32"/>
          <w:szCs w:val="32"/>
          <w:shd w:val="clear" w:fill="FFFFFF"/>
          <w:lang w:eastAsia="zh-CN"/>
        </w:rPr>
        <w:t>全</w:t>
      </w:r>
      <w:r>
        <w:rPr>
          <w:rFonts w:hint="eastAsia" w:ascii="仿宋_GB2312" w:hAnsi="仿宋_GB2312" w:eastAsia="仿宋_GB2312" w:cs="仿宋_GB2312"/>
          <w:b w:val="0"/>
          <w:bCs w:val="0"/>
          <w:i w:val="0"/>
          <w:caps w:val="0"/>
          <w:color w:val="auto"/>
          <w:spacing w:val="0"/>
          <w:sz w:val="32"/>
          <w:szCs w:val="32"/>
          <w:shd w:val="clear" w:fill="FFFFFF"/>
        </w:rPr>
        <w:t>区统计人员的业务能力和工作水平。二是强化统计服务能力，狠抓统计分析，提升统计研判能力。始终将统计分析作为工作核心，提高调研分析、政务信息的写作能力，为区委、区政府提供高质量的统计数据资料。三是进一步加强各乡镇和企业事业单位统计基层基础工作，建立健全统计原始记录和台账，加快统计信息化建设步伐，严格网络安全管理，进一步提高统计现代化水平。</w:t>
      </w:r>
    </w:p>
    <w:p w14:paraId="636C555B">
      <w:pPr>
        <w:pStyle w:val="8"/>
        <w:keepNext w:val="0"/>
        <w:keepLines w:val="0"/>
        <w:pageBreakBefore w:val="0"/>
        <w:kinsoku/>
        <w:wordWrap/>
        <w:overflowPunct/>
        <w:topLinePunct w:val="0"/>
        <w:autoSpaceDE/>
        <w:bidi w:val="0"/>
        <w:adjustRightInd/>
        <w:snapToGrid/>
        <w:spacing w:line="600" w:lineRule="exact"/>
        <w:ind w:left="0" w:leftChars="0" w:firstLine="0" w:firstLineChars="0"/>
        <w:rPr>
          <w:rFonts w:hint="eastAsia" w:ascii="仿宋_GB2312" w:hAnsi="仿宋_GB2312" w:eastAsia="仿宋_GB2312" w:cs="仿宋_GB2312"/>
          <w:b w:val="0"/>
          <w:bCs w:val="0"/>
          <w:i w:val="0"/>
          <w:caps w:val="0"/>
          <w:color w:val="auto"/>
          <w:spacing w:val="0"/>
          <w:sz w:val="32"/>
          <w:szCs w:val="32"/>
          <w:shd w:val="clear" w:fill="FFFFFF"/>
          <w:lang w:val="en-US" w:eastAsia="zh-CN"/>
        </w:rPr>
      </w:pPr>
    </w:p>
    <w:p w14:paraId="653A2FA1">
      <w:pPr>
        <w:pStyle w:val="8"/>
        <w:keepNext w:val="0"/>
        <w:keepLines w:val="0"/>
        <w:pageBreakBefore w:val="0"/>
        <w:kinsoku/>
        <w:wordWrap/>
        <w:overflowPunct/>
        <w:topLinePunct w:val="0"/>
        <w:autoSpaceDE/>
        <w:bidi w:val="0"/>
        <w:adjustRightInd/>
        <w:snapToGrid/>
        <w:spacing w:line="600" w:lineRule="exact"/>
        <w:ind w:firstLine="5760" w:firstLineChars="1800"/>
        <w:rPr>
          <w:rFonts w:hint="default" w:ascii="仿宋_GB2312" w:hAnsi="仿宋_GB2312" w:eastAsia="仿宋_GB2312" w:cs="仿宋_GB2312"/>
          <w:b w:val="0"/>
          <w:bCs w:val="0"/>
          <w:i w:val="0"/>
          <w:caps w:val="0"/>
          <w:color w:val="auto"/>
          <w:spacing w:val="0"/>
          <w:sz w:val="32"/>
          <w:szCs w:val="32"/>
          <w:shd w:val="clear" w:fill="FFFFFF"/>
          <w:lang w:val="en-US" w:eastAsia="zh-CN"/>
        </w:rPr>
      </w:pPr>
      <w:bookmarkStart w:id="0" w:name="_GoBack"/>
      <w:bookmarkEnd w:id="0"/>
    </w:p>
    <w:sectPr>
      <w:headerReference r:id="rId3" w:type="default"/>
      <w:footerReference r:id="rId4" w:type="default"/>
      <w:pgSz w:w="11906" w:h="16838"/>
      <w:pgMar w:top="187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Consolas">
    <w:panose1 w:val="020B0609020204030204"/>
    <w:charset w:val="00"/>
    <w:family w:val="auto"/>
    <w:pitch w:val="default"/>
    <w:sig w:usb0="E10002FF" w:usb1="4000FCFF" w:usb2="00000009" w:usb3="00000000" w:csb0="6000019F" w:csb1="DFD7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1B3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1A91BE">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91A91BE">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EA41">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C67F8C"/>
    <w:multiLevelType w:val="singleLevel"/>
    <w:tmpl w:val="DAC67F8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NWFhZTFhOGU0ZjY1NDE5ZDZlMzNjZGNiODgyNDMifQ=="/>
  </w:docVars>
  <w:rsids>
    <w:rsidRoot w:val="00000000"/>
    <w:rsid w:val="00732B71"/>
    <w:rsid w:val="019445AC"/>
    <w:rsid w:val="046A1322"/>
    <w:rsid w:val="08FC2489"/>
    <w:rsid w:val="0A9F6731"/>
    <w:rsid w:val="0AC201BF"/>
    <w:rsid w:val="0AEC3D39"/>
    <w:rsid w:val="0C382844"/>
    <w:rsid w:val="128A7651"/>
    <w:rsid w:val="1429212E"/>
    <w:rsid w:val="190902CE"/>
    <w:rsid w:val="1B5A7774"/>
    <w:rsid w:val="1B754257"/>
    <w:rsid w:val="1DED6942"/>
    <w:rsid w:val="26655E3B"/>
    <w:rsid w:val="2CA51E9C"/>
    <w:rsid w:val="338534D5"/>
    <w:rsid w:val="3919013D"/>
    <w:rsid w:val="3B3B4DB3"/>
    <w:rsid w:val="3C78170E"/>
    <w:rsid w:val="3F4F1659"/>
    <w:rsid w:val="42AA5845"/>
    <w:rsid w:val="46A570A0"/>
    <w:rsid w:val="48931F5D"/>
    <w:rsid w:val="491B5969"/>
    <w:rsid w:val="4B171390"/>
    <w:rsid w:val="4C112686"/>
    <w:rsid w:val="4F7B2933"/>
    <w:rsid w:val="5DA2478D"/>
    <w:rsid w:val="5E24467D"/>
    <w:rsid w:val="62981135"/>
    <w:rsid w:val="651916C1"/>
    <w:rsid w:val="661E2FCC"/>
    <w:rsid w:val="66AA323F"/>
    <w:rsid w:val="677F7C7D"/>
    <w:rsid w:val="67B12B54"/>
    <w:rsid w:val="6A7A4B4E"/>
    <w:rsid w:val="6B1C10F3"/>
    <w:rsid w:val="6C2A79B2"/>
    <w:rsid w:val="6C4C5571"/>
    <w:rsid w:val="6E005207"/>
    <w:rsid w:val="6E6425BD"/>
    <w:rsid w:val="70A26F92"/>
    <w:rsid w:val="70EE5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next w:val="4"/>
    <w:qFormat/>
    <w:uiPriority w:val="0"/>
    <w:pPr>
      <w:ind w:firstLine="420" w:firstLineChars="100"/>
    </w:pPr>
    <w:rPr>
      <w:rFonts w:ascii="Times New Roman" w:hAnsi="Times New Roman" w:eastAsia="宋体" w:cs="Times New Roman"/>
      <w:sz w:val="21"/>
      <w:szCs w:val="22"/>
    </w:rPr>
  </w:style>
  <w:style w:type="paragraph" w:styleId="3">
    <w:name w:val="Body Text"/>
    <w:basedOn w:val="1"/>
    <w:next w:val="1"/>
    <w:qFormat/>
    <w:uiPriority w:val="99"/>
    <w:pPr>
      <w:spacing w:line="600" w:lineRule="exact"/>
    </w:pPr>
    <w:rPr>
      <w:rFonts w:ascii="??_GB2312" w:eastAsia="Times New Roman"/>
      <w:sz w:val="30"/>
    </w:rPr>
  </w:style>
  <w:style w:type="paragraph" w:customStyle="1" w:styleId="4">
    <w:name w:val="列出段落2"/>
    <w:basedOn w:val="1"/>
    <w:qFormat/>
    <w:uiPriority w:val="0"/>
    <w:pPr>
      <w:ind w:firstLine="420" w:firstLineChars="20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rPr>
      <w:kern w:val="0"/>
      <w:sz w:val="24"/>
      <w:lang w:val="en-US" w:eastAsia="zh-CN" w:bidi="ar"/>
    </w:rPr>
  </w:style>
  <w:style w:type="paragraph" w:styleId="8">
    <w:name w:val="Body Text First Indent"/>
    <w:basedOn w:val="3"/>
    <w:qFormat/>
    <w:uiPriority w:val="99"/>
    <w:pPr>
      <w:spacing w:before="40" w:after="40"/>
      <w:ind w:firstLine="420"/>
    </w:pPr>
    <w:rPr>
      <w:rFonts w:ascii="Times New Roman" w:hAnsi="Times New Roman" w:eastAsia="宋体"/>
      <w:b/>
      <w:bCs/>
      <w:szCs w:val="22"/>
    </w:rPr>
  </w:style>
  <w:style w:type="character" w:styleId="11">
    <w:name w:val="Strong"/>
    <w:basedOn w:val="10"/>
    <w:qFormat/>
    <w:uiPriority w:val="0"/>
    <w:rPr>
      <w:b/>
    </w:rPr>
  </w:style>
  <w:style w:type="character" w:styleId="12">
    <w:name w:val="FollowedHyperlink"/>
    <w:basedOn w:val="10"/>
    <w:qFormat/>
    <w:uiPriority w:val="0"/>
    <w:rPr>
      <w:color w:val="333333"/>
      <w:u w:val="none"/>
    </w:rPr>
  </w:style>
  <w:style w:type="character" w:styleId="13">
    <w:name w:val="HTML Definition"/>
    <w:basedOn w:val="10"/>
    <w:qFormat/>
    <w:uiPriority w:val="0"/>
    <w:rPr>
      <w:i/>
    </w:rPr>
  </w:style>
  <w:style w:type="character" w:styleId="14">
    <w:name w:val="Hyperlink"/>
    <w:basedOn w:val="10"/>
    <w:qFormat/>
    <w:uiPriority w:val="0"/>
    <w:rPr>
      <w:color w:val="333333"/>
      <w:u w:val="none"/>
    </w:rPr>
  </w:style>
  <w:style w:type="character" w:styleId="15">
    <w:name w:val="HTML Code"/>
    <w:basedOn w:val="10"/>
    <w:qFormat/>
    <w:uiPriority w:val="0"/>
    <w:rPr>
      <w:rFonts w:hint="default" w:ascii="Consolas" w:hAnsi="Consolas" w:eastAsia="Consolas" w:cs="Consolas"/>
      <w:color w:val="C7254E"/>
      <w:sz w:val="21"/>
      <w:szCs w:val="21"/>
      <w:shd w:val="clear" w:fill="F9F2F4"/>
    </w:rPr>
  </w:style>
  <w:style w:type="character" w:styleId="16">
    <w:name w:val="HTML Keyboard"/>
    <w:basedOn w:val="10"/>
    <w:qFormat/>
    <w:uiPriority w:val="0"/>
    <w:rPr>
      <w:rFonts w:hint="default" w:ascii="Consolas" w:hAnsi="Consolas" w:eastAsia="Consolas" w:cs="Consolas"/>
      <w:color w:val="FFFFFF"/>
      <w:sz w:val="21"/>
      <w:szCs w:val="21"/>
      <w:shd w:val="clear" w:fill="333333"/>
    </w:rPr>
  </w:style>
  <w:style w:type="character" w:styleId="17">
    <w:name w:val="HTML Sample"/>
    <w:basedOn w:val="10"/>
    <w:qFormat/>
    <w:uiPriority w:val="0"/>
    <w:rPr>
      <w:rFonts w:ascii="Consolas" w:hAnsi="Consolas" w:eastAsia="Consolas" w:cs="Consolas"/>
      <w:sz w:val="21"/>
      <w:szCs w:val="21"/>
    </w:rPr>
  </w:style>
  <w:style w:type="character" w:customStyle="1" w:styleId="18">
    <w:name w:val="hover2"/>
    <w:basedOn w:val="10"/>
    <w:qFormat/>
    <w:uiPriority w:val="0"/>
    <w:rPr>
      <w:shd w:val="clear" w:fill="EEEEEE"/>
    </w:rPr>
  </w:style>
  <w:style w:type="character" w:customStyle="1" w:styleId="19">
    <w:name w:val="old"/>
    <w:basedOn w:val="10"/>
    <w:qFormat/>
    <w:uiPriority w:val="0"/>
    <w:rPr>
      <w:color w:val="999999"/>
    </w:rPr>
  </w:style>
  <w:style w:type="character" w:customStyle="1" w:styleId="20">
    <w:name w:val="glyphicon2"/>
    <w:basedOn w:val="10"/>
    <w:qFormat/>
    <w:uiPriority w:val="0"/>
  </w:style>
  <w:style w:type="character" w:customStyle="1" w:styleId="21">
    <w:name w:val="hour_am"/>
    <w:basedOn w:val="10"/>
    <w:qFormat/>
    <w:uiPriority w:val="0"/>
  </w:style>
  <w:style w:type="character" w:customStyle="1" w:styleId="22">
    <w:name w:val="hour_pm"/>
    <w:basedOn w:val="10"/>
    <w:qFormat/>
    <w:uiPriority w:val="0"/>
  </w:style>
  <w:style w:type="paragraph" w:customStyle="1" w:styleId="23">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2261</Words>
  <Characters>2301</Characters>
  <Lines>0</Lines>
  <Paragraphs>0</Paragraphs>
  <TotalTime>22</TotalTime>
  <ScaleCrop>false</ScaleCrop>
  <LinksUpToDate>false</LinksUpToDate>
  <CharactersWithSpaces>2334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2020-06-23T01:29:00Z</dcterms:created>
  <dc:creator>Administrator</dc:creator>
  <cp:lastModifiedBy>dan</cp:lastModifiedBy>
  <cp:lastPrinted>2025-04-03T03:20:00Z</cp:lastPrinted>
  <dcterms:modified xsi:type="dcterms:W3CDTF">2026-01-07T06:43:41Z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50F859215175461A9DFFFA287182020D_13</vt:lpwstr>
  </property>
  <property fmtid="{D5CDD505-2E9C-101B-9397-08002B2CF9AE}" pid="4" name="KSOTemplateDocerSaveRecord">
    <vt:lpwstr>eyJoZGlkIjoiODJlNDA3MjI4MGM3MWE3OGU5ZjNhNzU5NzU2MGYwYzgiLCJ1c2VySWQiOiIzNTE5MjI4ODUifQ==</vt:lpwstr>
  </property>
</Properties>
</file>